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CCD6" w14:textId="44C7C505" w:rsidR="00B9588B" w:rsidRDefault="00BE7FE9">
      <w:r>
        <w:rPr>
          <w:noProof/>
        </w:rPr>
        <w:drawing>
          <wp:inline distT="0" distB="0" distL="0" distR="0" wp14:anchorId="7D1F8581" wp14:editId="70BD1EA7">
            <wp:extent cx="5943600" cy="819150"/>
            <wp:effectExtent l="0" t="0" r="0" b="0"/>
            <wp:docPr id="1" name="Picture 1"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timelin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l="-481" t="18883" r="481" b="63826"/>
                    <a:stretch>
                      <a:fillRect/>
                    </a:stretch>
                  </pic:blipFill>
                  <pic:spPr bwMode="auto">
                    <a:xfrm>
                      <a:off x="0" y="0"/>
                      <a:ext cx="5943600" cy="819150"/>
                    </a:xfrm>
                    <a:prstGeom prst="rect">
                      <a:avLst/>
                    </a:prstGeom>
                    <a:noFill/>
                    <a:ln>
                      <a:noFill/>
                    </a:ln>
                  </pic:spPr>
                </pic:pic>
              </a:graphicData>
            </a:graphic>
          </wp:inline>
        </w:drawing>
      </w:r>
    </w:p>
    <w:p w14:paraId="375DEC60" w14:textId="0C59662C" w:rsidR="00502773" w:rsidRDefault="00AA211D" w:rsidP="00BE7FE9">
      <w:pPr>
        <w:jc w:val="center"/>
        <w:rPr>
          <w:rFonts w:ascii="Century Schoolbook" w:hAnsi="Century Schoolbook"/>
          <w:b/>
          <w:bCs/>
          <w:sz w:val="28"/>
          <w:szCs w:val="28"/>
        </w:rPr>
      </w:pPr>
      <w:r w:rsidRPr="009975D4">
        <w:rPr>
          <w:rFonts w:ascii="Century Schoolbook" w:hAnsi="Century Schoolbook"/>
          <w:b/>
          <w:bCs/>
          <w:sz w:val="28"/>
          <w:szCs w:val="28"/>
        </w:rPr>
        <w:t xml:space="preserve">Building on Past Efforts Determining When to Cut Off Further </w:t>
      </w:r>
      <w:proofErr w:type="spellStart"/>
      <w:r w:rsidRPr="009975D4">
        <w:rPr>
          <w:rFonts w:ascii="Century Schoolbook" w:hAnsi="Century Schoolbook"/>
          <w:b/>
          <w:bCs/>
          <w:sz w:val="28"/>
          <w:szCs w:val="28"/>
        </w:rPr>
        <w:t>Ediscovery</w:t>
      </w:r>
      <w:proofErr w:type="spellEnd"/>
      <w:r w:rsidRPr="009975D4">
        <w:rPr>
          <w:rFonts w:ascii="Century Schoolbook" w:hAnsi="Century Schoolbook"/>
          <w:b/>
          <w:bCs/>
          <w:sz w:val="28"/>
          <w:szCs w:val="28"/>
        </w:rPr>
        <w:t xml:space="preserve"> </w:t>
      </w:r>
      <w:r w:rsidR="00502773">
        <w:rPr>
          <w:rFonts w:ascii="Century Schoolbook" w:hAnsi="Century Schoolbook"/>
          <w:b/>
          <w:bCs/>
          <w:sz w:val="28"/>
          <w:szCs w:val="28"/>
        </w:rPr>
        <w:t>of Relevant Information</w:t>
      </w:r>
      <w:r w:rsidR="00D835C2">
        <w:rPr>
          <w:rFonts w:ascii="Century Schoolbook" w:hAnsi="Century Schoolbook"/>
          <w:b/>
          <w:bCs/>
          <w:sz w:val="28"/>
          <w:szCs w:val="28"/>
        </w:rPr>
        <w:t xml:space="preserve"> Consistent with Rule 26</w:t>
      </w:r>
    </w:p>
    <w:p w14:paraId="10F4CB56" w14:textId="7264B6EC" w:rsidR="00FC1B0F" w:rsidRPr="00FC1B0F" w:rsidRDefault="00FC1B0F" w:rsidP="00FC1B0F">
      <w:pPr>
        <w:rPr>
          <w:rFonts w:ascii="Century Schoolbook" w:hAnsi="Century Schoolbook"/>
        </w:rPr>
      </w:pPr>
      <w:r w:rsidRPr="00FC1B0F">
        <w:rPr>
          <w:rFonts w:ascii="Century Schoolbook" w:hAnsi="Century Schoolbook"/>
        </w:rPr>
        <w:t>The Adv</w:t>
      </w:r>
      <w:r>
        <w:rPr>
          <w:rFonts w:ascii="Century Schoolbook" w:hAnsi="Century Schoolbook"/>
        </w:rPr>
        <w:t>i</w:t>
      </w:r>
      <w:r w:rsidRPr="00FC1B0F">
        <w:rPr>
          <w:rFonts w:ascii="Century Schoolbook" w:hAnsi="Century Schoolbook"/>
        </w:rPr>
        <w:t>s</w:t>
      </w:r>
      <w:r>
        <w:rPr>
          <w:rFonts w:ascii="Century Schoolbook" w:hAnsi="Century Schoolbook"/>
        </w:rPr>
        <w:t>o</w:t>
      </w:r>
      <w:r w:rsidRPr="00FC1B0F">
        <w:rPr>
          <w:rFonts w:ascii="Century Schoolbook" w:hAnsi="Century Schoolbook"/>
        </w:rPr>
        <w:t xml:space="preserve">ry Committee on Civil </w:t>
      </w:r>
      <w:r>
        <w:rPr>
          <w:rFonts w:ascii="Century Schoolbook" w:hAnsi="Century Schoolbook"/>
        </w:rPr>
        <w:t>R</w:t>
      </w:r>
      <w:r w:rsidRPr="00FC1B0F">
        <w:rPr>
          <w:rFonts w:ascii="Century Schoolbook" w:hAnsi="Century Schoolbook"/>
        </w:rPr>
        <w:t xml:space="preserve">ules </w:t>
      </w:r>
      <w:r>
        <w:rPr>
          <w:rFonts w:ascii="Century Schoolbook" w:hAnsi="Century Schoolbook"/>
        </w:rPr>
        <w:t xml:space="preserve">left the implementation of the 2015 </w:t>
      </w:r>
      <w:r w:rsidR="00D835C2">
        <w:rPr>
          <w:rFonts w:ascii="Century Schoolbook" w:hAnsi="Century Schoolbook"/>
        </w:rPr>
        <w:t xml:space="preserve">Rule 26(b)(1) proportionality </w:t>
      </w:r>
      <w:r>
        <w:rPr>
          <w:rFonts w:ascii="Century Schoolbook" w:hAnsi="Century Schoolbook"/>
        </w:rPr>
        <w:t xml:space="preserve">amendments to the bench and bar to develop. The open-ended invitation has led to sustained efforts by different organizations trying to </w:t>
      </w:r>
      <w:r w:rsidR="00CF5678">
        <w:rPr>
          <w:rFonts w:ascii="Century Schoolbook" w:hAnsi="Century Schoolbook"/>
        </w:rPr>
        <w:t xml:space="preserve">provide guidance on </w:t>
      </w:r>
      <w:r>
        <w:rPr>
          <w:rFonts w:ascii="Century Schoolbook" w:hAnsi="Century Schoolbook"/>
        </w:rPr>
        <w:t xml:space="preserve">when to cut off further </w:t>
      </w:r>
      <w:proofErr w:type="spellStart"/>
      <w:r w:rsidR="00D835C2">
        <w:rPr>
          <w:rFonts w:ascii="Century Schoolbook" w:hAnsi="Century Schoolbook"/>
        </w:rPr>
        <w:t>e</w:t>
      </w:r>
      <w:r w:rsidR="007B054B">
        <w:rPr>
          <w:rFonts w:ascii="Century Schoolbook" w:hAnsi="Century Schoolbook"/>
        </w:rPr>
        <w:t>discovery</w:t>
      </w:r>
      <w:proofErr w:type="spellEnd"/>
      <w:r>
        <w:rPr>
          <w:rFonts w:ascii="Century Schoolbook" w:hAnsi="Century Schoolbook"/>
        </w:rPr>
        <w:t xml:space="preserve"> of relevant information </w:t>
      </w:r>
      <w:r w:rsidR="007B054B">
        <w:rPr>
          <w:rFonts w:ascii="Century Schoolbook" w:hAnsi="Century Schoolbook"/>
        </w:rPr>
        <w:t xml:space="preserve">consistent with the rule.  </w:t>
      </w:r>
      <w:proofErr w:type="spellStart"/>
      <w:r w:rsidR="00DE1A6C">
        <w:rPr>
          <w:rFonts w:ascii="Century Schoolbook" w:hAnsi="Century Schoolbook"/>
        </w:rPr>
        <w:t>Ediscovery</w:t>
      </w:r>
      <w:proofErr w:type="spellEnd"/>
      <w:r w:rsidR="00DE1A6C">
        <w:rPr>
          <w:rFonts w:ascii="Century Schoolbook" w:hAnsi="Century Schoolbook"/>
        </w:rPr>
        <w:t xml:space="preserve"> disputes</w:t>
      </w:r>
      <w:r w:rsidR="007B054B">
        <w:rPr>
          <w:rFonts w:ascii="Century Schoolbook" w:hAnsi="Century Schoolbook"/>
        </w:rPr>
        <w:t xml:space="preserve"> arise</w:t>
      </w:r>
      <w:r w:rsidR="00DE1A6C">
        <w:rPr>
          <w:rFonts w:ascii="Century Schoolbook" w:hAnsi="Century Schoolbook"/>
        </w:rPr>
        <w:t xml:space="preserve"> most often </w:t>
      </w:r>
      <w:r w:rsidR="007B054B">
        <w:rPr>
          <w:rFonts w:ascii="Century Schoolbook" w:hAnsi="Century Schoolbook"/>
        </w:rPr>
        <w:t>when ESI is voluminous.  F</w:t>
      </w:r>
      <w:r>
        <w:rPr>
          <w:rFonts w:ascii="Century Schoolbook" w:hAnsi="Century Schoolbook"/>
        </w:rPr>
        <w:t xml:space="preserve">or example, there </w:t>
      </w:r>
      <w:r w:rsidR="007B054B">
        <w:rPr>
          <w:rFonts w:ascii="Century Schoolbook" w:hAnsi="Century Schoolbook"/>
        </w:rPr>
        <w:t>may be</w:t>
      </w:r>
      <w:r>
        <w:rPr>
          <w:rFonts w:ascii="Century Schoolbook" w:hAnsi="Century Schoolbook"/>
        </w:rPr>
        <w:t xml:space="preserve"> 50 custodians </w:t>
      </w:r>
      <w:r w:rsidR="00CF5678">
        <w:rPr>
          <w:rFonts w:ascii="Century Schoolbook" w:hAnsi="Century Schoolbook"/>
        </w:rPr>
        <w:t>holding 250 GBs of email data or 1,500,000 pages of potentially relevant information</w:t>
      </w:r>
      <w:r w:rsidR="00D835C2">
        <w:rPr>
          <w:rFonts w:ascii="Century Schoolbook" w:hAnsi="Century Schoolbook"/>
        </w:rPr>
        <w:t xml:space="preserve"> –where is the cut-off</w:t>
      </w:r>
      <w:r w:rsidR="00CF5678">
        <w:rPr>
          <w:rFonts w:ascii="Century Schoolbook" w:hAnsi="Century Schoolbook"/>
        </w:rPr>
        <w:t>.</w:t>
      </w:r>
      <w:r>
        <w:rPr>
          <w:rFonts w:ascii="Century Schoolbook" w:hAnsi="Century Schoolbook"/>
        </w:rPr>
        <w:t xml:space="preserve"> </w:t>
      </w:r>
    </w:p>
    <w:p w14:paraId="28FE8D26" w14:textId="228209CE" w:rsidR="00502773" w:rsidRDefault="002E17F2" w:rsidP="00D83AC3">
      <w:pPr>
        <w:jc w:val="center"/>
        <w:rPr>
          <w:rFonts w:ascii="Century Schoolbook" w:hAnsi="Century Schoolbook"/>
        </w:rPr>
      </w:pPr>
      <w:r>
        <w:rPr>
          <w:rFonts w:ascii="Century Schoolbook" w:hAnsi="Century Schoolbook"/>
          <w:b/>
          <w:bCs/>
          <w:sz w:val="24"/>
          <w:szCs w:val="24"/>
          <w:u w:val="single"/>
        </w:rPr>
        <w:t xml:space="preserve">A.  </w:t>
      </w:r>
      <w:r w:rsidR="00F23296">
        <w:rPr>
          <w:rFonts w:ascii="Century Schoolbook" w:hAnsi="Century Schoolbook"/>
          <w:b/>
          <w:bCs/>
          <w:sz w:val="24"/>
          <w:szCs w:val="24"/>
          <w:u w:val="single"/>
        </w:rPr>
        <w:t>Scope of</w:t>
      </w:r>
      <w:r w:rsidR="00502773">
        <w:rPr>
          <w:rFonts w:ascii="Century Schoolbook" w:hAnsi="Century Schoolbook"/>
          <w:b/>
          <w:bCs/>
          <w:sz w:val="24"/>
          <w:szCs w:val="24"/>
          <w:u w:val="single"/>
        </w:rPr>
        <w:t xml:space="preserve"> </w:t>
      </w:r>
      <w:r w:rsidR="00502773" w:rsidRPr="00502773">
        <w:rPr>
          <w:rFonts w:ascii="Century Schoolbook" w:hAnsi="Century Schoolbook"/>
          <w:b/>
          <w:bCs/>
          <w:sz w:val="24"/>
          <w:szCs w:val="24"/>
          <w:u w:val="single"/>
        </w:rPr>
        <w:t>Prioritiz</w:t>
      </w:r>
      <w:r w:rsidR="00F23296">
        <w:rPr>
          <w:rFonts w:ascii="Century Schoolbook" w:hAnsi="Century Schoolbook"/>
          <w:b/>
          <w:bCs/>
          <w:sz w:val="24"/>
          <w:szCs w:val="24"/>
          <w:u w:val="single"/>
        </w:rPr>
        <w:t>ed</w:t>
      </w:r>
      <w:r w:rsidR="00502773" w:rsidRPr="00502773">
        <w:rPr>
          <w:rFonts w:ascii="Century Schoolbook" w:hAnsi="Century Schoolbook"/>
          <w:b/>
          <w:bCs/>
          <w:sz w:val="24"/>
          <w:szCs w:val="24"/>
          <w:u w:val="single"/>
        </w:rPr>
        <w:t xml:space="preserve"> Relevant Information</w:t>
      </w:r>
      <w:r w:rsidR="00AA211D" w:rsidRPr="00502773">
        <w:rPr>
          <w:rFonts w:ascii="Century Schoolbook" w:hAnsi="Century Schoolbook"/>
          <w:b/>
          <w:bCs/>
          <w:sz w:val="24"/>
          <w:szCs w:val="24"/>
          <w:u w:val="single"/>
        </w:rPr>
        <w:t xml:space="preserve"> </w:t>
      </w:r>
    </w:p>
    <w:p w14:paraId="4879C11F" w14:textId="79CF452F" w:rsidR="00502773" w:rsidRDefault="00502773" w:rsidP="00502773">
      <w:pPr>
        <w:pStyle w:val="NoSpacing"/>
        <w:rPr>
          <w:rFonts w:ascii="Century Schoolbook" w:hAnsi="Century Schoolbook"/>
        </w:rPr>
      </w:pPr>
      <w:r>
        <w:rPr>
          <w:rFonts w:ascii="Century Schoolbook" w:hAnsi="Century Schoolbook"/>
        </w:rPr>
        <w:t xml:space="preserve">I.  </w:t>
      </w:r>
      <w:r w:rsidR="00D83AC3">
        <w:rPr>
          <w:rFonts w:ascii="Century Schoolbook" w:hAnsi="Century Schoolbook"/>
        </w:rPr>
        <w:t>Fed. R. Civ. P.</w:t>
      </w:r>
      <w:r>
        <w:rPr>
          <w:rFonts w:ascii="Century Schoolbook" w:hAnsi="Century Schoolbook"/>
        </w:rPr>
        <w:t xml:space="preserve"> 26(b)(1)(B)(ii) </w:t>
      </w:r>
      <w:r w:rsidR="00D83AC3">
        <w:rPr>
          <w:rFonts w:ascii="Century Schoolbook" w:hAnsi="Century Schoolbook"/>
        </w:rPr>
        <w:t>– “</w:t>
      </w:r>
      <w:r>
        <w:rPr>
          <w:rFonts w:ascii="Century Schoolbook" w:hAnsi="Century Schoolbook"/>
        </w:rPr>
        <w:t xml:space="preserve">Custodians: Electronically stored information need be provided from the ____ key custodians of the party most likely to possess the information sought [initial </w:t>
      </w:r>
      <w:r w:rsidR="00F23296">
        <w:rPr>
          <w:rFonts w:ascii="Century Schoolbook" w:hAnsi="Century Schoolbook"/>
        </w:rPr>
        <w:t>‘</w:t>
      </w:r>
      <w:r>
        <w:rPr>
          <w:rFonts w:ascii="Century Schoolbook" w:hAnsi="Century Schoolbook"/>
        </w:rPr>
        <w:t>very rough first cut</w:t>
      </w:r>
      <w:r w:rsidR="00F23296">
        <w:rPr>
          <w:rFonts w:ascii="Century Schoolbook" w:hAnsi="Century Schoolbook"/>
        </w:rPr>
        <w:t>’</w:t>
      </w:r>
      <w:r>
        <w:rPr>
          <w:rFonts w:ascii="Century Schoolbook" w:hAnsi="Century Schoolbook"/>
        </w:rPr>
        <w:t xml:space="preserve"> of types of provisions that might be inserted into the rules</w:t>
      </w:r>
      <w:r w:rsidR="00F23296">
        <w:rPr>
          <w:rFonts w:ascii="Century Schoolbook" w:hAnsi="Century Schoolbook"/>
        </w:rPr>
        <w:t>”</w:t>
      </w:r>
      <w:r>
        <w:rPr>
          <w:rFonts w:ascii="Century Schoolbook" w:hAnsi="Century Schoolbook"/>
        </w:rPr>
        <w:t>] (</w:t>
      </w:r>
      <w:r w:rsidRPr="00AA211D">
        <w:rPr>
          <w:rFonts w:ascii="Century Schoolbook" w:hAnsi="Century Schoolbook"/>
          <w:b/>
          <w:bCs/>
        </w:rPr>
        <w:t>Advisory Committee on Civil Rules, March 22-23, 2012,</w:t>
      </w:r>
      <w:r>
        <w:rPr>
          <w:rFonts w:ascii="Century Schoolbook" w:hAnsi="Century Schoolbook"/>
          <w:b/>
          <w:bCs/>
        </w:rPr>
        <w:t xml:space="preserve"> </w:t>
      </w:r>
      <w:r w:rsidRPr="00AA211D">
        <w:rPr>
          <w:rFonts w:ascii="Century Schoolbook" w:hAnsi="Century Schoolbook"/>
          <w:b/>
          <w:bCs/>
        </w:rPr>
        <w:t>agenda book</w:t>
      </w:r>
      <w:r>
        <w:rPr>
          <w:rFonts w:ascii="Century Schoolbook" w:hAnsi="Century Schoolbook"/>
        </w:rPr>
        <w:t xml:space="preserve">) </w:t>
      </w:r>
    </w:p>
    <w:p w14:paraId="2A7A4A63" w14:textId="77777777" w:rsidR="00502773" w:rsidRDefault="00502773" w:rsidP="00502773">
      <w:pPr>
        <w:pStyle w:val="NoSpacing"/>
        <w:rPr>
          <w:rFonts w:ascii="Century Schoolbook" w:hAnsi="Century Schoolbook"/>
        </w:rPr>
      </w:pPr>
    </w:p>
    <w:p w14:paraId="76C4DA53" w14:textId="5CD0129A" w:rsidR="00D83AC3" w:rsidRDefault="00D83AC3" w:rsidP="00D83AC3">
      <w:pPr>
        <w:pStyle w:val="NoSpacing"/>
        <w:rPr>
          <w:rFonts w:ascii="Century Schoolbook" w:hAnsi="Century Schoolbook"/>
        </w:rPr>
      </w:pPr>
      <w:r>
        <w:rPr>
          <w:rFonts w:ascii="Century Schoolbook" w:hAnsi="Century Schoolbook"/>
        </w:rPr>
        <w:t xml:space="preserve">II. “Each requesting party shall limit its email production requests to a total of </w:t>
      </w:r>
      <w:r w:rsidRPr="00D83AC3">
        <w:rPr>
          <w:rFonts w:ascii="Century Schoolbook" w:hAnsi="Century Schoolbook"/>
          <w:i/>
          <w:iCs/>
        </w:rPr>
        <w:t>five</w:t>
      </w:r>
      <w:r>
        <w:rPr>
          <w:rFonts w:ascii="Century Schoolbook" w:hAnsi="Century Schoolbook"/>
        </w:rPr>
        <w:t xml:space="preserve"> custodians per producing party for all such requests.” [</w:t>
      </w:r>
      <w:r w:rsidRPr="00D83AC3">
        <w:rPr>
          <w:rFonts w:ascii="Century Schoolbook" w:hAnsi="Century Schoolbook"/>
          <w:i/>
          <w:iCs/>
        </w:rPr>
        <w:t>italics added</w:t>
      </w:r>
      <w:r>
        <w:rPr>
          <w:rFonts w:ascii="Century Schoolbook" w:hAnsi="Century Schoolbook"/>
        </w:rPr>
        <w:t>] (</w:t>
      </w:r>
      <w:r w:rsidRPr="00025B65">
        <w:rPr>
          <w:rFonts w:ascii="Century Schoolbook" w:hAnsi="Century Schoolbook"/>
          <w:b/>
          <w:bCs/>
        </w:rPr>
        <w:t>Model Order Regarding E-Discovery in Patent Cases Federal Circuit</w:t>
      </w:r>
      <w:r>
        <w:rPr>
          <w:rFonts w:ascii="Century Schoolbook" w:hAnsi="Century Schoolbook"/>
        </w:rPr>
        <w:t>)</w:t>
      </w:r>
    </w:p>
    <w:p w14:paraId="6EB7F6C0" w14:textId="77777777" w:rsidR="00D83AC3" w:rsidRDefault="00D83AC3" w:rsidP="00D83AC3">
      <w:pPr>
        <w:pStyle w:val="NoSpacing"/>
        <w:rPr>
          <w:rFonts w:ascii="Century Schoolbook" w:hAnsi="Century Schoolbook"/>
        </w:rPr>
      </w:pPr>
    </w:p>
    <w:p w14:paraId="7174C910" w14:textId="0B0A6F76" w:rsidR="00502773" w:rsidRDefault="00F23296" w:rsidP="00502773">
      <w:pPr>
        <w:pStyle w:val="NoSpacing"/>
        <w:rPr>
          <w:rFonts w:ascii="Century Schoolbook" w:hAnsi="Century Schoolbook"/>
        </w:rPr>
      </w:pPr>
      <w:r>
        <w:rPr>
          <w:rFonts w:ascii="Century Schoolbook" w:hAnsi="Century Schoolbook"/>
        </w:rPr>
        <w:t>III.  “</w:t>
      </w:r>
      <w:r w:rsidR="00502773">
        <w:rPr>
          <w:rFonts w:ascii="Century Schoolbook" w:hAnsi="Century Schoolbook"/>
        </w:rPr>
        <w:t xml:space="preserve">Requests for production of electronically-stored information shall be governed as follows: Absent an order of the Court upon a showing of good cause or stipulation by the parties, a party from whom ESI has been requested shall not be required to search for responsive ESI: for more than </w:t>
      </w:r>
      <w:r w:rsidR="00502773" w:rsidRPr="00D83AC3">
        <w:rPr>
          <w:rFonts w:ascii="Century Schoolbook" w:hAnsi="Century Schoolbook"/>
          <w:i/>
          <w:iCs/>
        </w:rPr>
        <w:t>ten (10) key custodians</w:t>
      </w:r>
      <w:r w:rsidR="00502773">
        <w:rPr>
          <w:rFonts w:ascii="Century Schoolbook" w:hAnsi="Century Schoolbook"/>
        </w:rPr>
        <w:t>…for more than</w:t>
      </w:r>
      <w:r w:rsidR="00502773" w:rsidRPr="00D83AC3">
        <w:rPr>
          <w:rFonts w:ascii="Century Schoolbook" w:hAnsi="Century Schoolbook"/>
          <w:i/>
          <w:iCs/>
        </w:rPr>
        <w:t xml:space="preserve"> 160</w:t>
      </w:r>
      <w:r w:rsidR="00502773">
        <w:rPr>
          <w:rFonts w:ascii="Century Schoolbook" w:hAnsi="Century Schoolbook"/>
        </w:rPr>
        <w:t xml:space="preserve"> hours, inclusive of time spent identifying potentially responsive ESI, collecting that ESI, searching that ESI.</w:t>
      </w:r>
      <w:r>
        <w:rPr>
          <w:rFonts w:ascii="Century Schoolbook" w:hAnsi="Century Schoolbook"/>
        </w:rPr>
        <w:t>”</w:t>
      </w:r>
      <w:r w:rsidR="00502773">
        <w:rPr>
          <w:rFonts w:ascii="Century Schoolbook" w:hAnsi="Century Schoolbook"/>
        </w:rPr>
        <w:t xml:space="preserve"> </w:t>
      </w:r>
      <w:r w:rsidR="00D83AC3">
        <w:rPr>
          <w:rFonts w:ascii="Century Schoolbook" w:hAnsi="Century Schoolbook"/>
        </w:rPr>
        <w:t>[</w:t>
      </w:r>
      <w:r w:rsidR="00D83AC3" w:rsidRPr="00D83AC3">
        <w:rPr>
          <w:rFonts w:ascii="Century Schoolbook" w:hAnsi="Century Schoolbook"/>
          <w:i/>
          <w:iCs/>
        </w:rPr>
        <w:t xml:space="preserve">italics </w:t>
      </w:r>
      <w:r w:rsidR="00DE1A6C" w:rsidRPr="00D83AC3">
        <w:rPr>
          <w:rFonts w:ascii="Century Schoolbook" w:hAnsi="Century Schoolbook"/>
          <w:i/>
          <w:iCs/>
        </w:rPr>
        <w:t>added</w:t>
      </w:r>
      <w:r w:rsidR="00DE1A6C">
        <w:rPr>
          <w:rFonts w:ascii="Century Schoolbook" w:hAnsi="Century Schoolbook"/>
        </w:rPr>
        <w:t>] (</w:t>
      </w:r>
      <w:r w:rsidR="00502773" w:rsidRPr="00502773">
        <w:rPr>
          <w:rFonts w:ascii="Century Schoolbook" w:hAnsi="Century Schoolbook"/>
          <w:b/>
          <w:bCs/>
        </w:rPr>
        <w:t xml:space="preserve">Hon. Paul Grimm, Discovery Order </w:t>
      </w:r>
      <w:r w:rsidR="00502773">
        <w:rPr>
          <w:rFonts w:ascii="Century Schoolbook" w:hAnsi="Century Schoolbook"/>
          <w:b/>
          <w:bCs/>
        </w:rPr>
        <w:t>D. Md.</w:t>
      </w:r>
      <w:r w:rsidR="00502773">
        <w:rPr>
          <w:rFonts w:ascii="Century Schoolbook" w:hAnsi="Century Schoolbook"/>
        </w:rPr>
        <w:t xml:space="preserve">) </w:t>
      </w:r>
    </w:p>
    <w:p w14:paraId="522ED7D3" w14:textId="77777777" w:rsidR="00F23296" w:rsidRDefault="00F23296" w:rsidP="00502773">
      <w:pPr>
        <w:pStyle w:val="NoSpacing"/>
        <w:rPr>
          <w:rFonts w:ascii="Century Schoolbook" w:hAnsi="Century Schoolbook"/>
        </w:rPr>
      </w:pPr>
    </w:p>
    <w:p w14:paraId="220530B7" w14:textId="720C4C17" w:rsidR="00F23296" w:rsidRPr="00BE7FE9" w:rsidRDefault="00F23296" w:rsidP="00F23296">
      <w:pPr>
        <w:pStyle w:val="NoSpacing"/>
        <w:rPr>
          <w:rFonts w:ascii="Century Schoolbook" w:hAnsi="Century Schoolbook"/>
        </w:rPr>
      </w:pPr>
      <w:r>
        <w:rPr>
          <w:rFonts w:ascii="Century Schoolbook" w:hAnsi="Century Schoolbook"/>
        </w:rPr>
        <w:t>I</w:t>
      </w:r>
      <w:r w:rsidR="007B054B">
        <w:rPr>
          <w:rFonts w:ascii="Century Schoolbook" w:hAnsi="Century Schoolbook"/>
        </w:rPr>
        <w:t>V</w:t>
      </w:r>
      <w:r>
        <w:rPr>
          <w:rFonts w:ascii="Century Schoolbook" w:hAnsi="Century Schoolbook"/>
        </w:rPr>
        <w:t xml:space="preserve">.  </w:t>
      </w:r>
      <w:r w:rsidRPr="00BE7FE9">
        <w:rPr>
          <w:rFonts w:ascii="Century Schoolbook" w:hAnsi="Century Schoolbook"/>
        </w:rPr>
        <w:t>Mandatory discovery of favorable and adverse information relevant to party’s claims and defenses</w:t>
      </w:r>
      <w:r w:rsidR="00DE1A6C">
        <w:rPr>
          <w:rFonts w:ascii="Century Schoolbook" w:hAnsi="Century Schoolbook"/>
        </w:rPr>
        <w:t xml:space="preserve"> within 90 days of filing of complaint.</w:t>
      </w:r>
    </w:p>
    <w:p w14:paraId="3C2AB113" w14:textId="2C56CD2C" w:rsidR="00F23296" w:rsidRPr="00BE7FE9" w:rsidRDefault="00F23296" w:rsidP="00F23296">
      <w:pPr>
        <w:pStyle w:val="NoSpacing"/>
        <w:numPr>
          <w:ilvl w:val="0"/>
          <w:numId w:val="1"/>
        </w:numPr>
        <w:rPr>
          <w:rFonts w:ascii="Century Schoolbook" w:hAnsi="Century Schoolbook"/>
        </w:rPr>
      </w:pPr>
      <w:r>
        <w:rPr>
          <w:rFonts w:ascii="Century Schoolbook" w:hAnsi="Century Schoolbook"/>
        </w:rPr>
        <w:t xml:space="preserve">Required to </w:t>
      </w:r>
      <w:r w:rsidR="00D83AC3">
        <w:rPr>
          <w:rFonts w:ascii="Century Schoolbook" w:hAnsi="Century Schoolbook"/>
        </w:rPr>
        <w:t>“</w:t>
      </w:r>
      <w:r>
        <w:rPr>
          <w:rFonts w:ascii="Century Schoolbook" w:hAnsi="Century Schoolbook"/>
        </w:rPr>
        <w:t>l</w:t>
      </w:r>
      <w:r w:rsidRPr="00BE7FE9">
        <w:rPr>
          <w:rFonts w:ascii="Century Schoolbook" w:hAnsi="Century Schoolbook"/>
        </w:rPr>
        <w:t>ist ESI by categories and describe specific categories with particularity</w:t>
      </w:r>
      <w:r w:rsidR="00D83AC3">
        <w:rPr>
          <w:rFonts w:ascii="Century Schoolbook" w:hAnsi="Century Schoolbook"/>
        </w:rPr>
        <w:t>”</w:t>
      </w:r>
    </w:p>
    <w:p w14:paraId="4CD80283" w14:textId="288BBA5E" w:rsidR="00F23296" w:rsidRDefault="00F23296" w:rsidP="00F23296">
      <w:pPr>
        <w:pStyle w:val="NoSpacing"/>
        <w:numPr>
          <w:ilvl w:val="0"/>
          <w:numId w:val="1"/>
        </w:numPr>
        <w:rPr>
          <w:rFonts w:ascii="Century Schoolbook" w:hAnsi="Century Schoolbook"/>
        </w:rPr>
      </w:pPr>
      <w:r>
        <w:rPr>
          <w:rFonts w:ascii="Century Schoolbook" w:hAnsi="Century Schoolbook"/>
        </w:rPr>
        <w:t xml:space="preserve">Required </w:t>
      </w:r>
      <w:r w:rsidR="00D83AC3">
        <w:rPr>
          <w:rFonts w:ascii="Century Schoolbook" w:hAnsi="Century Schoolbook"/>
        </w:rPr>
        <w:t>“</w:t>
      </w:r>
      <w:r>
        <w:rPr>
          <w:rFonts w:ascii="Century Schoolbook" w:hAnsi="Century Schoolbook"/>
        </w:rPr>
        <w:t>to</w:t>
      </w:r>
      <w:r w:rsidRPr="00BE7FE9">
        <w:rPr>
          <w:rFonts w:ascii="Century Schoolbook" w:hAnsi="Century Schoolbook"/>
        </w:rPr>
        <w:t xml:space="preserve"> confer and attempt to agree on matters relating to disclosure and production, </w:t>
      </w:r>
      <w:r w:rsidR="00DE1A6C" w:rsidRPr="00BE7FE9">
        <w:rPr>
          <w:rFonts w:ascii="Century Schoolbook" w:hAnsi="Century Schoolbook"/>
        </w:rPr>
        <w:t>including</w:t>
      </w:r>
      <w:r w:rsidRPr="00BE7FE9">
        <w:rPr>
          <w:rFonts w:ascii="Century Schoolbook" w:hAnsi="Century Schoolbook"/>
        </w:rPr>
        <w:t xml:space="preserve"> appropriate ESI searches, including custodians</w:t>
      </w:r>
      <w:r>
        <w:rPr>
          <w:rFonts w:ascii="Century Schoolbook" w:hAnsi="Century Schoolbook"/>
        </w:rPr>
        <w:t xml:space="preserve"> </w:t>
      </w:r>
      <w:r w:rsidRPr="00BE7FE9">
        <w:rPr>
          <w:rFonts w:ascii="Century Schoolbook" w:hAnsi="Century Schoolbook"/>
        </w:rPr>
        <w:t>and search terms, or other use of technology assisted review</w:t>
      </w:r>
      <w:r w:rsidR="00D83AC3">
        <w:rPr>
          <w:rFonts w:ascii="Century Schoolbook" w:hAnsi="Century Schoolbook"/>
        </w:rPr>
        <w:t>”</w:t>
      </w:r>
      <w:r>
        <w:rPr>
          <w:rFonts w:ascii="Century Schoolbook" w:hAnsi="Century Schoolbook"/>
        </w:rPr>
        <w:t xml:space="preserve"> (</w:t>
      </w:r>
      <w:r w:rsidRPr="00CB43F3">
        <w:rPr>
          <w:rFonts w:ascii="Century Schoolbook" w:hAnsi="Century Schoolbook"/>
          <w:b/>
          <w:bCs/>
        </w:rPr>
        <w:t xml:space="preserve">Mandatory Initial Discovery Pilot Projects -- D. </w:t>
      </w:r>
      <w:proofErr w:type="spellStart"/>
      <w:r w:rsidRPr="00CB43F3">
        <w:rPr>
          <w:rFonts w:ascii="Century Schoolbook" w:hAnsi="Century Schoolbook"/>
          <w:b/>
          <w:bCs/>
        </w:rPr>
        <w:t>Ariz</w:t>
      </w:r>
      <w:proofErr w:type="spellEnd"/>
      <w:r w:rsidRPr="00CB43F3">
        <w:rPr>
          <w:rFonts w:ascii="Century Schoolbook" w:hAnsi="Century Schoolbook"/>
          <w:b/>
          <w:bCs/>
        </w:rPr>
        <w:t>; ND Ill</w:t>
      </w:r>
      <w:r>
        <w:rPr>
          <w:rFonts w:ascii="Century Schoolbook" w:hAnsi="Century Schoolbook"/>
        </w:rPr>
        <w:t>)</w:t>
      </w:r>
    </w:p>
    <w:p w14:paraId="6090AB77" w14:textId="77777777" w:rsidR="00F23296" w:rsidRDefault="00F23296" w:rsidP="00F23296">
      <w:pPr>
        <w:pStyle w:val="NoSpacing"/>
        <w:ind w:left="720"/>
        <w:rPr>
          <w:rFonts w:ascii="Century Schoolbook" w:hAnsi="Century Schoolbook"/>
        </w:rPr>
      </w:pPr>
    </w:p>
    <w:p w14:paraId="6A1A9031" w14:textId="256CBEB0" w:rsidR="00F23296" w:rsidRDefault="00F23296" w:rsidP="00F23296">
      <w:pPr>
        <w:pStyle w:val="NoSpacing"/>
        <w:rPr>
          <w:rFonts w:ascii="Century Schoolbook" w:hAnsi="Century Schoolbook"/>
        </w:rPr>
      </w:pPr>
      <w:r>
        <w:rPr>
          <w:rFonts w:ascii="Century Schoolbook" w:hAnsi="Century Schoolbook"/>
        </w:rPr>
        <w:t>V. “It took around three months from case filing for the court to enter a case-management order setting a discovery deadline, and the typical discovery period runs at least seven months after that, before any extensions.</w:t>
      </w:r>
    </w:p>
    <w:p w14:paraId="181AA023" w14:textId="2598C71D" w:rsidR="00F23296" w:rsidRDefault="00F23296" w:rsidP="00F23296">
      <w:pPr>
        <w:pStyle w:val="NoSpacing"/>
        <w:numPr>
          <w:ilvl w:val="0"/>
          <w:numId w:val="5"/>
        </w:numPr>
        <w:rPr>
          <w:rFonts w:ascii="Century Schoolbook" w:hAnsi="Century Schoolbook"/>
        </w:rPr>
      </w:pPr>
      <w:r>
        <w:rPr>
          <w:rFonts w:ascii="Century Schoolbook" w:hAnsi="Century Schoolbook"/>
        </w:rPr>
        <w:lastRenderedPageBreak/>
        <w:t>It takes, then, about 10 months to plan and carry out discovery in the median case in which discovery is completed.” (</w:t>
      </w:r>
      <w:r w:rsidRPr="00025B65">
        <w:rPr>
          <w:rFonts w:ascii="Century Schoolbook" w:hAnsi="Century Schoolbook"/>
          <w:b/>
          <w:bCs/>
        </w:rPr>
        <w:t>Federal Judicial Center, Mandatory Initial Discovery Pilot Final Report</w:t>
      </w:r>
      <w:r>
        <w:rPr>
          <w:rFonts w:ascii="Century Schoolbook" w:hAnsi="Century Schoolbook"/>
        </w:rPr>
        <w:t>).</w:t>
      </w:r>
    </w:p>
    <w:p w14:paraId="4B4D2150" w14:textId="5D4A55A9" w:rsidR="00F23296" w:rsidRPr="00F23296" w:rsidRDefault="002E17F2" w:rsidP="00F23296">
      <w:pPr>
        <w:pStyle w:val="NoSpacing"/>
        <w:jc w:val="center"/>
        <w:rPr>
          <w:rFonts w:ascii="Century Schoolbook" w:hAnsi="Century Schoolbook"/>
          <w:b/>
          <w:bCs/>
          <w:sz w:val="24"/>
          <w:szCs w:val="24"/>
          <w:u w:val="single"/>
        </w:rPr>
      </w:pPr>
      <w:r>
        <w:rPr>
          <w:rFonts w:ascii="Century Schoolbook" w:hAnsi="Century Schoolbook"/>
          <w:b/>
          <w:bCs/>
          <w:sz w:val="24"/>
          <w:szCs w:val="24"/>
          <w:u w:val="single"/>
        </w:rPr>
        <w:t xml:space="preserve">B.  </w:t>
      </w:r>
      <w:r w:rsidR="00F23296" w:rsidRPr="00F23296">
        <w:rPr>
          <w:rFonts w:ascii="Century Schoolbook" w:hAnsi="Century Schoolbook"/>
          <w:b/>
          <w:bCs/>
          <w:sz w:val="24"/>
          <w:szCs w:val="24"/>
          <w:u w:val="single"/>
        </w:rPr>
        <w:t>Prioritizing Relevant Information</w:t>
      </w:r>
    </w:p>
    <w:p w14:paraId="5474A49D" w14:textId="77777777" w:rsidR="00F23296" w:rsidRDefault="00F23296" w:rsidP="00BE7FE9">
      <w:pPr>
        <w:pStyle w:val="NoSpacing"/>
        <w:rPr>
          <w:rFonts w:ascii="Century Schoolbook" w:hAnsi="Century Schoolbook"/>
        </w:rPr>
      </w:pPr>
    </w:p>
    <w:p w14:paraId="343F5B2C" w14:textId="48362C5C" w:rsidR="00F23296" w:rsidRPr="00CB43F3" w:rsidRDefault="00F23296" w:rsidP="00F23296">
      <w:pPr>
        <w:pStyle w:val="NoSpacing"/>
        <w:rPr>
          <w:rFonts w:ascii="Century Schoolbook" w:hAnsi="Century Schoolbook"/>
        </w:rPr>
      </w:pPr>
      <w:r>
        <w:rPr>
          <w:rFonts w:ascii="Century Schoolbook" w:hAnsi="Century Schoolbook"/>
        </w:rPr>
        <w:t xml:space="preserve">I.  </w:t>
      </w:r>
      <w:r w:rsidR="00D835C2">
        <w:rPr>
          <w:rFonts w:ascii="Century Schoolbook" w:hAnsi="Century Schoolbook"/>
        </w:rPr>
        <w:t>“</w:t>
      </w:r>
      <w:r w:rsidRPr="00CB43F3">
        <w:rPr>
          <w:rFonts w:ascii="Century Schoolbook" w:hAnsi="Century Schoolbook"/>
        </w:rPr>
        <w:t>Prioritize by importance. Key custodians are those with the more relevant information, while secondary and tertiary custodians may have limited or redundant information that relates to narrow topics.</w:t>
      </w:r>
    </w:p>
    <w:p w14:paraId="7D99780E" w14:textId="77777777" w:rsidR="00F23296" w:rsidRPr="00CB43F3" w:rsidRDefault="00F23296" w:rsidP="00F23296">
      <w:pPr>
        <w:pStyle w:val="NoSpacing"/>
        <w:numPr>
          <w:ilvl w:val="0"/>
          <w:numId w:val="3"/>
        </w:numPr>
        <w:rPr>
          <w:rFonts w:ascii="Century Schoolbook" w:hAnsi="Century Schoolbook"/>
        </w:rPr>
      </w:pPr>
      <w:r w:rsidRPr="00CB43F3">
        <w:rPr>
          <w:rFonts w:ascii="Century Schoolbook" w:hAnsi="Century Schoolbook"/>
        </w:rPr>
        <w:t xml:space="preserve">Disclosure of identities of key custodians – Some names will be </w:t>
      </w:r>
      <w:proofErr w:type="gramStart"/>
      <w:r w:rsidRPr="00CB43F3">
        <w:rPr>
          <w:rFonts w:ascii="Century Schoolbook" w:hAnsi="Century Schoolbook"/>
        </w:rPr>
        <w:t>on</w:t>
      </w:r>
      <w:proofErr w:type="gramEnd"/>
      <w:r w:rsidRPr="00CB43F3">
        <w:rPr>
          <w:rFonts w:ascii="Century Schoolbook" w:hAnsi="Century Schoolbook"/>
        </w:rPr>
        <w:t xml:space="preserve"> your </w:t>
      </w:r>
      <w:r>
        <w:rPr>
          <w:rFonts w:ascii="Century Schoolbook" w:hAnsi="Century Schoolbook"/>
        </w:rPr>
        <w:t>R</w:t>
      </w:r>
      <w:r w:rsidRPr="00CB43F3">
        <w:rPr>
          <w:rFonts w:ascii="Century Schoolbook" w:hAnsi="Century Schoolbook"/>
        </w:rPr>
        <w:t>ule 26(a)(1) disclosures, but some – such as secondary or tertiary custodians – may not be.</w:t>
      </w:r>
    </w:p>
    <w:p w14:paraId="039F9F76" w14:textId="3C00BD23" w:rsidR="00F23296" w:rsidRDefault="00F23296" w:rsidP="00F23296">
      <w:pPr>
        <w:pStyle w:val="NoSpacing"/>
        <w:numPr>
          <w:ilvl w:val="0"/>
          <w:numId w:val="3"/>
        </w:numPr>
        <w:rPr>
          <w:rFonts w:ascii="Century Schoolbook" w:hAnsi="Century Schoolbook"/>
        </w:rPr>
      </w:pPr>
      <w:r w:rsidRPr="00CB43F3">
        <w:rPr>
          <w:rFonts w:ascii="Century Schoolbook" w:hAnsi="Century Schoolbook"/>
        </w:rPr>
        <w:t>By voluntarily and cooperatively disclosing the identity of key custodians to facilitate ESI discussions, you need not concede they are automatically relevant for purposes of Rule 26(a)(1) disclosures.</w:t>
      </w:r>
      <w:r>
        <w:rPr>
          <w:rFonts w:ascii="Century Schoolbook" w:hAnsi="Century Schoolbook"/>
        </w:rPr>
        <w:t>” (</w:t>
      </w:r>
      <w:r w:rsidRPr="00CB43F3">
        <w:rPr>
          <w:rFonts w:ascii="Century Schoolbook" w:hAnsi="Century Schoolbook"/>
          <w:b/>
          <w:bCs/>
        </w:rPr>
        <w:t>Sedona Conference “Jumpstart Outline’</w:t>
      </w:r>
      <w:r>
        <w:rPr>
          <w:rFonts w:ascii="Century Schoolbook" w:hAnsi="Century Schoolbook"/>
        </w:rPr>
        <w:t>)</w:t>
      </w:r>
    </w:p>
    <w:p w14:paraId="46DCCFDE" w14:textId="77777777" w:rsidR="00F23296" w:rsidRDefault="00F23296" w:rsidP="00F23296">
      <w:pPr>
        <w:pStyle w:val="NoSpacing"/>
        <w:ind w:left="720"/>
        <w:rPr>
          <w:rFonts w:ascii="Century Schoolbook" w:hAnsi="Century Schoolbook"/>
        </w:rPr>
      </w:pPr>
    </w:p>
    <w:p w14:paraId="5AD74DE1" w14:textId="5AF9E30F" w:rsidR="00F23296" w:rsidRDefault="00F23296" w:rsidP="00F23296">
      <w:pPr>
        <w:pStyle w:val="NoSpacing"/>
        <w:rPr>
          <w:rFonts w:ascii="Century Schoolbook" w:hAnsi="Century Schoolbook"/>
        </w:rPr>
      </w:pPr>
      <w:r>
        <w:rPr>
          <w:rFonts w:ascii="Century Schoolbook" w:hAnsi="Century Schoolbook"/>
        </w:rPr>
        <w:t xml:space="preserve">II.  “The New Framework’s methodology starts by assessing and prioritizing the importance of discoverable information that custodians possess or control. </w:t>
      </w:r>
    </w:p>
    <w:p w14:paraId="10D397D8" w14:textId="77777777" w:rsidR="00F23296" w:rsidRDefault="00F23296" w:rsidP="00F23296">
      <w:pPr>
        <w:pStyle w:val="NoSpacing"/>
        <w:numPr>
          <w:ilvl w:val="0"/>
          <w:numId w:val="5"/>
        </w:numPr>
        <w:rPr>
          <w:rFonts w:ascii="Century Schoolbook" w:hAnsi="Century Schoolbook"/>
        </w:rPr>
      </w:pPr>
      <w:r>
        <w:rPr>
          <w:rFonts w:ascii="Century Schoolbook" w:hAnsi="Century Schoolbook"/>
        </w:rPr>
        <w:t xml:space="preserve">It also assesses the degree of burden in accessing and recovering that information from their individual sources (devices). </w:t>
      </w:r>
    </w:p>
    <w:p w14:paraId="0172BF16" w14:textId="6E656C68" w:rsidR="00D83AC3" w:rsidRDefault="00F23296" w:rsidP="00F23296">
      <w:pPr>
        <w:pStyle w:val="NoSpacing"/>
        <w:numPr>
          <w:ilvl w:val="0"/>
          <w:numId w:val="5"/>
        </w:numPr>
        <w:rPr>
          <w:rFonts w:ascii="Century Schoolbook" w:hAnsi="Century Schoolbook"/>
        </w:rPr>
      </w:pPr>
      <w:r>
        <w:rPr>
          <w:rFonts w:ascii="Century Schoolbook" w:hAnsi="Century Schoolbook"/>
        </w:rPr>
        <w:t>As an aid to assist the user in assessing and prioritizing custodians, a ‘heat ma</w:t>
      </w:r>
      <w:r w:rsidR="00D83AC3">
        <w:rPr>
          <w:rFonts w:ascii="Century Schoolbook" w:hAnsi="Century Schoolbook"/>
        </w:rPr>
        <w:t>p</w:t>
      </w:r>
      <w:r>
        <w:rPr>
          <w:rFonts w:ascii="Century Schoolbook" w:hAnsi="Century Schoolbook"/>
        </w:rPr>
        <w:t>’ illustrates preliminary assessments, which can be used to identify obvious targets of discovery, facilitate party discovery negotiations, and produce leads to further refine discovery.</w:t>
      </w:r>
    </w:p>
    <w:p w14:paraId="2074EA8D" w14:textId="46FA2AA4" w:rsidR="00F23296" w:rsidRDefault="00F23296" w:rsidP="00F23296">
      <w:pPr>
        <w:pStyle w:val="NoSpacing"/>
        <w:numPr>
          <w:ilvl w:val="0"/>
          <w:numId w:val="5"/>
        </w:numPr>
        <w:rPr>
          <w:rFonts w:ascii="Century Schoolbook" w:hAnsi="Century Schoolbook"/>
        </w:rPr>
      </w:pPr>
      <w:r>
        <w:rPr>
          <w:rFonts w:ascii="Century Schoolbook" w:hAnsi="Century Schoolbook"/>
        </w:rPr>
        <w:t>Appendix F contains an excel spreadsheet with more than 100 lines of itemizations to estimate costs in discovery from five of the most popular data sources.</w:t>
      </w:r>
      <w:r w:rsidR="00D83AC3">
        <w:rPr>
          <w:rFonts w:ascii="Century Schoolbook" w:hAnsi="Century Schoolbook"/>
        </w:rPr>
        <w:t>”</w:t>
      </w:r>
      <w:r>
        <w:rPr>
          <w:rFonts w:ascii="Century Schoolbook" w:hAnsi="Century Schoolbook"/>
        </w:rPr>
        <w:t xml:space="preserve"> Typical costs were inserted in the cost calculator, which can be adjusted by the user to meet the circumstances. </w:t>
      </w:r>
      <w:r w:rsidR="00CC7107">
        <w:rPr>
          <w:rFonts w:ascii="Century Schoolbook" w:hAnsi="Century Schoolbook"/>
        </w:rPr>
        <w:t>(</w:t>
      </w:r>
      <w:r w:rsidRPr="00FF1510">
        <w:rPr>
          <w:rFonts w:ascii="Century Schoolbook" w:hAnsi="Century Schoolbook"/>
          <w:b/>
          <w:bCs/>
        </w:rPr>
        <w:t>New Framework, Rabiej Litigation Law Center</w:t>
      </w:r>
      <w:r>
        <w:rPr>
          <w:rFonts w:ascii="Century Schoolbook" w:hAnsi="Century Schoolbook"/>
        </w:rPr>
        <w:t>)</w:t>
      </w:r>
    </w:p>
    <w:p w14:paraId="6B24FD46" w14:textId="05154BE3" w:rsidR="00D30036" w:rsidRDefault="00D30036" w:rsidP="00BE7FE9">
      <w:pPr>
        <w:pStyle w:val="NoSpacing"/>
        <w:rPr>
          <w:rFonts w:ascii="Century Schoolbook" w:hAnsi="Century Schoolbook"/>
        </w:rPr>
      </w:pPr>
    </w:p>
    <w:p w14:paraId="1D0CF4D8" w14:textId="377C1224" w:rsidR="00D30036" w:rsidRDefault="00F23296" w:rsidP="00BE7FE9">
      <w:pPr>
        <w:pStyle w:val="NoSpacing"/>
        <w:rPr>
          <w:rFonts w:ascii="Century Schoolbook" w:hAnsi="Century Schoolbook"/>
        </w:rPr>
      </w:pPr>
      <w:r>
        <w:rPr>
          <w:rFonts w:ascii="Century Schoolbook" w:hAnsi="Century Schoolbook"/>
        </w:rPr>
        <w:t>I</w:t>
      </w:r>
      <w:r w:rsidR="009975D4">
        <w:rPr>
          <w:rFonts w:ascii="Century Schoolbook" w:hAnsi="Century Schoolbook"/>
        </w:rPr>
        <w:t xml:space="preserve">II. </w:t>
      </w:r>
      <w:r>
        <w:rPr>
          <w:rFonts w:ascii="Century Schoolbook" w:hAnsi="Century Schoolbook"/>
        </w:rPr>
        <w:t>“</w:t>
      </w:r>
      <w:r w:rsidR="00D30036">
        <w:rPr>
          <w:rFonts w:ascii="Century Schoolbook" w:hAnsi="Century Schoolbook"/>
        </w:rPr>
        <w:t>Exchanging information on relevant data sources, including those not being searched, or scheduling early disclosures on the topic of ESI;</w:t>
      </w:r>
    </w:p>
    <w:p w14:paraId="4BBBE727" w14:textId="1F4CF0C8" w:rsidR="00D30036" w:rsidRDefault="00D30036" w:rsidP="009975D4">
      <w:pPr>
        <w:pStyle w:val="NoSpacing"/>
        <w:numPr>
          <w:ilvl w:val="0"/>
          <w:numId w:val="2"/>
        </w:numPr>
        <w:rPr>
          <w:rFonts w:ascii="Century Schoolbook" w:hAnsi="Century Schoolbook"/>
        </w:rPr>
      </w:pPr>
      <w:r w:rsidRPr="00F23296">
        <w:rPr>
          <w:rFonts w:ascii="Century Schoolbook" w:hAnsi="Century Schoolbook"/>
          <w:i/>
          <w:iCs/>
        </w:rPr>
        <w:t>Developing case-long budgets</w:t>
      </w:r>
      <w:r>
        <w:rPr>
          <w:rFonts w:ascii="Century Schoolbook" w:hAnsi="Century Schoolbook"/>
        </w:rPr>
        <w:t xml:space="preserve"> based on proportionality principles</w:t>
      </w:r>
      <w:r w:rsidR="00F23296">
        <w:rPr>
          <w:rFonts w:ascii="Century Schoolbook" w:hAnsi="Century Schoolbook"/>
        </w:rPr>
        <w:t>” [</w:t>
      </w:r>
      <w:r w:rsidR="00F23296" w:rsidRPr="00D835C2">
        <w:rPr>
          <w:rFonts w:ascii="Century Schoolbook" w:hAnsi="Century Schoolbook"/>
          <w:i/>
          <w:iCs/>
        </w:rPr>
        <w:t>italics added</w:t>
      </w:r>
      <w:r w:rsidR="00F23296">
        <w:rPr>
          <w:rFonts w:ascii="Century Schoolbook" w:hAnsi="Century Schoolbook"/>
        </w:rPr>
        <w:t>]</w:t>
      </w:r>
      <w:r>
        <w:rPr>
          <w:rFonts w:ascii="Century Schoolbook" w:hAnsi="Century Schoolbook"/>
        </w:rPr>
        <w:t xml:space="preserve"> (</w:t>
      </w:r>
      <w:r w:rsidRPr="00CB43F3">
        <w:rPr>
          <w:rFonts w:ascii="Century Schoolbook" w:hAnsi="Century Schoolbook"/>
          <w:b/>
          <w:bCs/>
        </w:rPr>
        <w:t>Sedona Conference Cooperation Proclamation</w:t>
      </w:r>
      <w:r>
        <w:rPr>
          <w:rFonts w:ascii="Century Schoolbook" w:hAnsi="Century Schoolbook"/>
        </w:rPr>
        <w:t>)</w:t>
      </w:r>
    </w:p>
    <w:p w14:paraId="65BDF5C1" w14:textId="77777777" w:rsidR="002006CD" w:rsidRDefault="002006CD" w:rsidP="002006CD">
      <w:pPr>
        <w:pStyle w:val="NoSpacing"/>
        <w:rPr>
          <w:rFonts w:ascii="Century Schoolbook" w:hAnsi="Century Schoolbook"/>
        </w:rPr>
      </w:pPr>
    </w:p>
    <w:p w14:paraId="1A9F7BE6" w14:textId="28D08560" w:rsidR="002E17F2" w:rsidRDefault="002006CD" w:rsidP="002E17F2">
      <w:pPr>
        <w:pStyle w:val="NoSpacing"/>
        <w:rPr>
          <w:rFonts w:ascii="Century Schoolbook" w:hAnsi="Century Schoolbook" w:cs="Open Sans"/>
          <w:shd w:val="clear" w:color="auto" w:fill="FFFFFF"/>
        </w:rPr>
      </w:pPr>
      <w:r>
        <w:rPr>
          <w:rFonts w:ascii="Century Schoolbook" w:hAnsi="Century Schoolbook" w:cs="Open Sans"/>
          <w:shd w:val="clear" w:color="auto" w:fill="FFFFFF"/>
        </w:rPr>
        <w:t>IV. “</w:t>
      </w:r>
      <w:r w:rsidRPr="002006CD">
        <w:rPr>
          <w:rFonts w:ascii="Century Schoolbook" w:hAnsi="Century Schoolbook" w:cs="Open Sans"/>
          <w:shd w:val="clear" w:color="auto" w:fill="FFFFFF"/>
        </w:rPr>
        <w:t>In contrast, a rule requiring parties to share discovery expenses would focus litigants and courts on the information that’s important to claims and defenses while serving as a self-executing restraint against runaway discovery requests.  Also, by placing the cost-benefit decision with the party in the best position to limit those costs – the requesting party – such a rule would significantly decrease motion practice concerning the scope of discovery.</w:t>
      </w:r>
      <w:r>
        <w:rPr>
          <w:rFonts w:ascii="Century Schoolbook" w:hAnsi="Century Schoolbook" w:cs="Open Sans"/>
          <w:shd w:val="clear" w:color="auto" w:fill="FFFFFF"/>
        </w:rPr>
        <w:t>”  (</w:t>
      </w:r>
      <w:r w:rsidRPr="002006CD">
        <w:rPr>
          <w:rFonts w:ascii="Century Schoolbook" w:hAnsi="Century Schoolbook" w:cs="Open Sans"/>
          <w:b/>
          <w:bCs/>
          <w:shd w:val="clear" w:color="auto" w:fill="FFFFFF"/>
        </w:rPr>
        <w:t>Lawyers for Civil Justice</w:t>
      </w:r>
      <w:r>
        <w:rPr>
          <w:rFonts w:ascii="Century Schoolbook" w:hAnsi="Century Schoolbook" w:cs="Open Sans"/>
          <w:shd w:val="clear" w:color="auto" w:fill="FFFFFF"/>
        </w:rPr>
        <w:t>)</w:t>
      </w:r>
    </w:p>
    <w:p w14:paraId="614DA56B" w14:textId="77777777" w:rsidR="002006CD" w:rsidRPr="002006CD" w:rsidRDefault="002006CD" w:rsidP="002E17F2">
      <w:pPr>
        <w:pStyle w:val="NoSpacing"/>
        <w:rPr>
          <w:rFonts w:ascii="Century Schoolbook" w:hAnsi="Century Schoolbook"/>
        </w:rPr>
      </w:pPr>
    </w:p>
    <w:p w14:paraId="1426ED43" w14:textId="62997B0E" w:rsidR="00775E4F" w:rsidRDefault="00775E4F" w:rsidP="00775E4F">
      <w:pPr>
        <w:pStyle w:val="NoSpacing"/>
        <w:rPr>
          <w:rFonts w:ascii="Century Schoolbook" w:hAnsi="Century Schoolbook"/>
        </w:rPr>
      </w:pPr>
      <w:r>
        <w:rPr>
          <w:rFonts w:ascii="Century Schoolbook" w:hAnsi="Century Schoolbook"/>
        </w:rPr>
        <w:t>V</w:t>
      </w:r>
      <w:r w:rsidR="00D835C2">
        <w:rPr>
          <w:rFonts w:ascii="Century Schoolbook" w:hAnsi="Century Schoolbook"/>
        </w:rPr>
        <w:t xml:space="preserve">. </w:t>
      </w:r>
      <w:r>
        <w:rPr>
          <w:rFonts w:ascii="Century Schoolbook" w:hAnsi="Century Schoolbook"/>
        </w:rPr>
        <w:t>“</w:t>
      </w:r>
      <w:r w:rsidRPr="00775E4F">
        <w:rPr>
          <w:rFonts w:ascii="Century Schoolbook" w:hAnsi="Century Schoolbook"/>
        </w:rPr>
        <w:t>B</w:t>
      </w:r>
      <w:r>
        <w:rPr>
          <w:rFonts w:ascii="Century Schoolbook" w:hAnsi="Century Schoolbook"/>
        </w:rPr>
        <w:t>est</w:t>
      </w:r>
      <w:r w:rsidRPr="00775E4F">
        <w:rPr>
          <w:rFonts w:ascii="Century Schoolbook" w:hAnsi="Century Schoolbook"/>
        </w:rPr>
        <w:t xml:space="preserve"> P</w:t>
      </w:r>
      <w:r>
        <w:rPr>
          <w:rFonts w:ascii="Century Schoolbook" w:hAnsi="Century Schoolbook"/>
        </w:rPr>
        <w:t>ractice</w:t>
      </w:r>
      <w:r w:rsidRPr="00775E4F">
        <w:rPr>
          <w:rFonts w:ascii="Century Schoolbook" w:hAnsi="Century Schoolbook"/>
        </w:rPr>
        <w:t xml:space="preserve"> 5: In many cases, the parties will start discovery by producing information relevant to the most important issues in a case, available from the most easily accessible sources. </w:t>
      </w:r>
    </w:p>
    <w:p w14:paraId="31406B81" w14:textId="77777777" w:rsidR="00775E4F" w:rsidRDefault="00775E4F" w:rsidP="00775E4F">
      <w:pPr>
        <w:pStyle w:val="NoSpacing"/>
        <w:numPr>
          <w:ilvl w:val="0"/>
          <w:numId w:val="2"/>
        </w:numPr>
        <w:rPr>
          <w:rFonts w:ascii="Century Schoolbook" w:hAnsi="Century Schoolbook"/>
        </w:rPr>
      </w:pPr>
      <w:r w:rsidRPr="00775E4F">
        <w:rPr>
          <w:rFonts w:ascii="Century Schoolbook" w:hAnsi="Century Schoolbook"/>
        </w:rPr>
        <w:t xml:space="preserve">In a case in which the parties have not done so, or in which discovery is likely to be voluminous or complex, or in which there is likely to be significant disagreement about relevance or proportionality, the parties and the judge should consider and discuss starting discovery with the subjects and sources that are most clearly proportional to the needs of the case. </w:t>
      </w:r>
    </w:p>
    <w:p w14:paraId="2E273889" w14:textId="574CA087" w:rsidR="00775E4F" w:rsidRDefault="00775E4F" w:rsidP="00775E4F">
      <w:pPr>
        <w:pStyle w:val="NoSpacing"/>
        <w:numPr>
          <w:ilvl w:val="0"/>
          <w:numId w:val="2"/>
        </w:numPr>
        <w:rPr>
          <w:rFonts w:ascii="Century Schoolbook" w:hAnsi="Century Schoolbook"/>
        </w:rPr>
      </w:pPr>
      <w:r w:rsidRPr="00775E4F">
        <w:rPr>
          <w:rFonts w:ascii="Century Schoolbook" w:hAnsi="Century Schoolbook"/>
        </w:rPr>
        <w:lastRenderedPageBreak/>
        <w:t>The parties and the judge can use the results of that discovery to guide decisions about further discovery.</w:t>
      </w:r>
      <w:r w:rsidR="00D835C2">
        <w:rPr>
          <w:rFonts w:ascii="Century Schoolbook" w:hAnsi="Century Schoolbook"/>
        </w:rPr>
        <w:t>”</w:t>
      </w:r>
      <w:r>
        <w:rPr>
          <w:rFonts w:ascii="Century Schoolbook" w:hAnsi="Century Schoolbook"/>
        </w:rPr>
        <w:t xml:space="preserve"> (</w:t>
      </w:r>
      <w:r w:rsidRPr="00775E4F">
        <w:rPr>
          <w:rFonts w:ascii="Century Schoolbook" w:hAnsi="Century Schoolbook"/>
          <w:b/>
          <w:bCs/>
        </w:rPr>
        <w:t>Duke Law Best Practices Implementing Proportionality Amendments</w:t>
      </w:r>
      <w:r>
        <w:rPr>
          <w:rFonts w:ascii="Century Schoolbook" w:hAnsi="Century Schoolbook"/>
        </w:rPr>
        <w:t>)</w:t>
      </w:r>
    </w:p>
    <w:p w14:paraId="48AA8D51" w14:textId="77777777" w:rsidR="00775E4F" w:rsidRPr="00775E4F" w:rsidRDefault="00775E4F" w:rsidP="00775E4F">
      <w:pPr>
        <w:pStyle w:val="NoSpacing"/>
        <w:rPr>
          <w:rFonts w:ascii="Century Schoolbook" w:hAnsi="Century Schoolbook"/>
        </w:rPr>
      </w:pPr>
    </w:p>
    <w:p w14:paraId="453C3F06" w14:textId="3512B75B" w:rsidR="002E17F2" w:rsidRDefault="002E17F2" w:rsidP="002E17F2">
      <w:pPr>
        <w:pStyle w:val="NoSpacing"/>
        <w:rPr>
          <w:rFonts w:ascii="Century Schoolbook" w:hAnsi="Century Schoolbook"/>
        </w:rPr>
      </w:pPr>
      <w:r>
        <w:rPr>
          <w:rFonts w:ascii="Century Schoolbook" w:hAnsi="Century Schoolbook"/>
        </w:rPr>
        <w:t>V</w:t>
      </w:r>
      <w:r w:rsidR="002006CD">
        <w:rPr>
          <w:rFonts w:ascii="Century Schoolbook" w:hAnsi="Century Schoolbook"/>
        </w:rPr>
        <w:t>I</w:t>
      </w:r>
      <w:r>
        <w:rPr>
          <w:rFonts w:ascii="Century Schoolbook" w:hAnsi="Century Schoolbook"/>
        </w:rPr>
        <w:t xml:space="preserve">.  </w:t>
      </w:r>
      <w:r w:rsidR="00D835C2">
        <w:rPr>
          <w:rFonts w:ascii="Century Schoolbook" w:hAnsi="Century Schoolbook"/>
        </w:rPr>
        <w:t>“</w:t>
      </w:r>
      <w:r>
        <w:rPr>
          <w:rFonts w:ascii="Century Schoolbook" w:hAnsi="Century Schoolbook"/>
        </w:rPr>
        <w:t xml:space="preserve">Counsel and parties should </w:t>
      </w:r>
      <w:r w:rsidR="00D83AC3">
        <w:rPr>
          <w:rFonts w:ascii="Century Schoolbook" w:hAnsi="Century Schoolbook"/>
        </w:rPr>
        <w:t xml:space="preserve">… </w:t>
      </w:r>
      <w:r>
        <w:rPr>
          <w:rFonts w:ascii="Century Schoolbook" w:hAnsi="Century Schoolbook"/>
        </w:rPr>
        <w:t>continue to cooperate throughout the discovery process, including the identification, preservation, collection, processing, review, and production of electronically stored information.</w:t>
      </w:r>
    </w:p>
    <w:p w14:paraId="334AA3EB" w14:textId="1DB79C1C" w:rsidR="002E17F2" w:rsidRDefault="002E17F2" w:rsidP="002E17F2">
      <w:pPr>
        <w:pStyle w:val="NoSpacing"/>
        <w:numPr>
          <w:ilvl w:val="0"/>
          <w:numId w:val="4"/>
        </w:numPr>
        <w:rPr>
          <w:rFonts w:ascii="Century Schoolbook" w:hAnsi="Century Schoolbook"/>
        </w:rPr>
      </w:pPr>
      <w:r>
        <w:rPr>
          <w:rFonts w:ascii="Century Schoolbook" w:hAnsi="Century Schoolbook"/>
        </w:rPr>
        <w:t xml:space="preserve">Cooperation includes </w:t>
      </w:r>
      <w:r w:rsidRPr="00D83AC3">
        <w:rPr>
          <w:rFonts w:ascii="Century Schoolbook" w:hAnsi="Century Schoolbook"/>
          <w:i/>
          <w:iCs/>
        </w:rPr>
        <w:t>collaboration</w:t>
      </w:r>
      <w:r>
        <w:rPr>
          <w:rFonts w:ascii="Century Schoolbook" w:hAnsi="Century Schoolbook"/>
        </w:rPr>
        <w:t xml:space="preserve"> in developing and implementing a discovery plan to address the steps in the discovery process.</w:t>
      </w:r>
      <w:r w:rsidR="00D83AC3">
        <w:rPr>
          <w:rFonts w:ascii="Century Schoolbook" w:hAnsi="Century Schoolbook"/>
        </w:rPr>
        <w:t xml:space="preserve"> [</w:t>
      </w:r>
      <w:r w:rsidR="00D83AC3" w:rsidRPr="00D835C2">
        <w:rPr>
          <w:rFonts w:ascii="Century Schoolbook" w:hAnsi="Century Schoolbook"/>
          <w:i/>
          <w:iCs/>
        </w:rPr>
        <w:t>italics added</w:t>
      </w:r>
      <w:r w:rsidR="00D83AC3">
        <w:rPr>
          <w:rFonts w:ascii="Century Schoolbook" w:hAnsi="Century Schoolbook"/>
        </w:rPr>
        <w:t>]</w:t>
      </w:r>
    </w:p>
    <w:p w14:paraId="517F46F0" w14:textId="5422E8D4" w:rsidR="002E17F2" w:rsidRDefault="002E17F2" w:rsidP="002E17F2">
      <w:pPr>
        <w:pStyle w:val="NoSpacing"/>
        <w:numPr>
          <w:ilvl w:val="0"/>
          <w:numId w:val="4"/>
        </w:numPr>
        <w:rPr>
          <w:rFonts w:ascii="Century Schoolbook" w:hAnsi="Century Schoolbook"/>
        </w:rPr>
      </w:pPr>
      <w:r>
        <w:rPr>
          <w:rFonts w:ascii="Century Schoolbook" w:hAnsi="Century Schoolbook"/>
        </w:rPr>
        <w:t>Each party should consider developing a data map to capture information about its own data sources and to track how each has been handled</w:t>
      </w:r>
      <w:r w:rsidR="00D83AC3">
        <w:rPr>
          <w:rFonts w:ascii="Century Schoolbook" w:hAnsi="Century Schoolbook"/>
        </w:rPr>
        <w:t>…</w:t>
      </w:r>
      <w:r>
        <w:rPr>
          <w:rFonts w:ascii="Century Schoolbook" w:hAnsi="Century Schoolbook"/>
        </w:rPr>
        <w:t xml:space="preserve"> </w:t>
      </w:r>
    </w:p>
    <w:p w14:paraId="1AD1337D" w14:textId="77777777" w:rsidR="002E17F2" w:rsidRDefault="002E17F2" w:rsidP="002E17F2">
      <w:pPr>
        <w:pStyle w:val="NoSpacing"/>
        <w:numPr>
          <w:ilvl w:val="0"/>
          <w:numId w:val="4"/>
        </w:numPr>
        <w:rPr>
          <w:rFonts w:ascii="Century Schoolbook" w:hAnsi="Century Schoolbook"/>
        </w:rPr>
      </w:pPr>
      <w:r>
        <w:rPr>
          <w:rFonts w:ascii="Century Schoolbook" w:hAnsi="Century Schoolbook"/>
        </w:rPr>
        <w:t>In the initial stages of discovery planning, the parties may want to share their data maps (or summaries) so that they can speak intelligently about what must be collected, processed, and reviewed, what can be treated as secondary (e.g., in a phased plan)</w:t>
      </w:r>
    </w:p>
    <w:p w14:paraId="45230596" w14:textId="1517EAA6" w:rsidR="002E17F2" w:rsidRDefault="002E17F2" w:rsidP="002E17F2">
      <w:pPr>
        <w:pStyle w:val="NoSpacing"/>
        <w:numPr>
          <w:ilvl w:val="0"/>
          <w:numId w:val="4"/>
        </w:numPr>
        <w:rPr>
          <w:rFonts w:ascii="Century Schoolbook" w:hAnsi="Century Schoolbook"/>
        </w:rPr>
      </w:pPr>
      <w:r>
        <w:rPr>
          <w:rFonts w:ascii="Century Schoolbook" w:hAnsi="Century Schoolbook"/>
        </w:rPr>
        <w:t xml:space="preserve">The types of information properly exchanged during discovery planning </w:t>
      </w:r>
      <w:r w:rsidR="00D83AC3">
        <w:rPr>
          <w:rFonts w:ascii="Century Schoolbook" w:hAnsi="Century Schoolbook"/>
        </w:rPr>
        <w:t xml:space="preserve">… </w:t>
      </w:r>
      <w:r>
        <w:rPr>
          <w:rFonts w:ascii="Century Schoolbook" w:hAnsi="Century Schoolbook"/>
        </w:rPr>
        <w:t>include: search terms, names of custodians, systems from which information will be retrieved, and the discovery process developed by the parties for use in the case.</w:t>
      </w:r>
    </w:p>
    <w:p w14:paraId="3E9A03D6" w14:textId="106D5C5B" w:rsidR="00D92D31" w:rsidRPr="00775E4F" w:rsidRDefault="002E17F2" w:rsidP="00D92D31">
      <w:pPr>
        <w:pStyle w:val="NoSpacing"/>
        <w:numPr>
          <w:ilvl w:val="0"/>
          <w:numId w:val="4"/>
        </w:numPr>
        <w:rPr>
          <w:rFonts w:ascii="Century Schoolbook" w:hAnsi="Century Schoolbook"/>
        </w:rPr>
      </w:pPr>
      <w:r w:rsidRPr="00775E4F">
        <w:rPr>
          <w:rFonts w:ascii="Century Schoolbook" w:hAnsi="Century Schoolbook"/>
        </w:rPr>
        <w:t>Accordingly, parties are encouraged to describe the discovery methodology they are employing for their case, including any steps they are taking to validate their results.</w:t>
      </w:r>
      <w:r w:rsidR="00D83AC3" w:rsidRPr="00775E4F">
        <w:rPr>
          <w:rFonts w:ascii="Century Schoolbook" w:hAnsi="Century Schoolbook"/>
        </w:rPr>
        <w:t>”</w:t>
      </w:r>
      <w:r w:rsidRPr="00775E4F">
        <w:rPr>
          <w:rFonts w:ascii="Century Schoolbook" w:hAnsi="Century Schoolbook"/>
        </w:rPr>
        <w:t xml:space="preserve"> (</w:t>
      </w:r>
      <w:r w:rsidRPr="00775E4F">
        <w:rPr>
          <w:rFonts w:ascii="Century Schoolbook" w:hAnsi="Century Schoolbook"/>
          <w:b/>
          <w:bCs/>
        </w:rPr>
        <w:t>Sedona Canada Principles</w:t>
      </w:r>
      <w:r w:rsidRPr="00775E4F">
        <w:rPr>
          <w:rFonts w:ascii="Century Schoolbook" w:hAnsi="Century Schoolbook"/>
        </w:rPr>
        <w:t>)</w:t>
      </w:r>
    </w:p>
    <w:p w14:paraId="69FB7669" w14:textId="77777777" w:rsidR="00775E4F" w:rsidRDefault="00775E4F" w:rsidP="00D92D31">
      <w:pPr>
        <w:pStyle w:val="NoSpacing"/>
        <w:rPr>
          <w:rFonts w:ascii="Century Schoolbook" w:hAnsi="Century Schoolbook"/>
        </w:rPr>
      </w:pPr>
    </w:p>
    <w:p w14:paraId="3E34B765" w14:textId="31169B29" w:rsidR="00D92D31" w:rsidRDefault="00D92D31" w:rsidP="00D92D31">
      <w:pPr>
        <w:pStyle w:val="NoSpacing"/>
        <w:rPr>
          <w:rFonts w:ascii="Century Schoolbook" w:hAnsi="Century Schoolbook"/>
          <w:b/>
          <w:bCs/>
        </w:rPr>
      </w:pPr>
      <w:r>
        <w:rPr>
          <w:rFonts w:ascii="Century Schoolbook" w:hAnsi="Century Schoolbook"/>
        </w:rPr>
        <w:t>V</w:t>
      </w:r>
      <w:r w:rsidR="002006CD">
        <w:rPr>
          <w:rFonts w:ascii="Century Schoolbook" w:hAnsi="Century Schoolbook"/>
        </w:rPr>
        <w:t>I</w:t>
      </w:r>
      <w:r w:rsidR="00775E4F">
        <w:rPr>
          <w:rFonts w:ascii="Century Schoolbook" w:hAnsi="Century Schoolbook"/>
        </w:rPr>
        <w:t>I</w:t>
      </w:r>
      <w:r>
        <w:rPr>
          <w:rFonts w:ascii="Century Schoolbook" w:hAnsi="Century Schoolbook"/>
        </w:rPr>
        <w:t xml:space="preserve">.  Responding party can object to request </w:t>
      </w:r>
      <w:r w:rsidR="00DE1A6C">
        <w:rPr>
          <w:rFonts w:ascii="Century Schoolbook" w:hAnsi="Century Schoolbook"/>
        </w:rPr>
        <w:t>stating,</w:t>
      </w:r>
      <w:r>
        <w:rPr>
          <w:rFonts w:ascii="Century Schoolbook" w:hAnsi="Century Schoolbook"/>
        </w:rPr>
        <w:t xml:space="preserve"> “with specificity the grounds for objecting to the request </w:t>
      </w:r>
      <w:r w:rsidR="00D835C2">
        <w:rPr>
          <w:rFonts w:ascii="Century Schoolbook" w:hAnsi="Century Schoolbook"/>
        </w:rPr>
        <w:t xml:space="preserve">[e.g., for an additional 10 custodians], </w:t>
      </w:r>
      <w:r>
        <w:rPr>
          <w:rFonts w:ascii="Century Schoolbook" w:hAnsi="Century Schoolbook"/>
        </w:rPr>
        <w:t xml:space="preserve">including the reasons” as being overbroad </w:t>
      </w:r>
      <w:bookmarkStart w:id="0" w:name="_Hlk130297022"/>
      <w:r>
        <w:rPr>
          <w:rFonts w:ascii="Century Schoolbook" w:hAnsi="Century Schoolbook"/>
        </w:rPr>
        <w:t>(</w:t>
      </w:r>
      <w:r w:rsidRPr="009975D4">
        <w:rPr>
          <w:rFonts w:ascii="Century Schoolbook" w:hAnsi="Century Schoolbook"/>
          <w:b/>
          <w:bCs/>
        </w:rPr>
        <w:t>Fed. R. Civ. P. 34(b)(2)(B</w:t>
      </w:r>
      <w:bookmarkEnd w:id="0"/>
      <w:r w:rsidRPr="009975D4">
        <w:rPr>
          <w:rFonts w:ascii="Century Schoolbook" w:hAnsi="Century Schoolbook"/>
          <w:b/>
          <w:bCs/>
        </w:rPr>
        <w:t>)</w:t>
      </w:r>
      <w:r>
        <w:rPr>
          <w:rFonts w:ascii="Century Schoolbook" w:hAnsi="Century Schoolbook"/>
        </w:rPr>
        <w:t>) and must state which responsive materials are being “withheld.” (</w:t>
      </w:r>
      <w:r w:rsidRPr="009975D4">
        <w:rPr>
          <w:rFonts w:ascii="Century Schoolbook" w:hAnsi="Century Schoolbook"/>
          <w:b/>
          <w:bCs/>
        </w:rPr>
        <w:t>Fed. R. Civ. P. 34(b)(2)(</w:t>
      </w:r>
      <w:r>
        <w:rPr>
          <w:rFonts w:ascii="Century Schoolbook" w:hAnsi="Century Schoolbook"/>
          <w:b/>
          <w:bCs/>
        </w:rPr>
        <w:t>C))</w:t>
      </w:r>
    </w:p>
    <w:p w14:paraId="5F890C53" w14:textId="77777777" w:rsidR="00D92D31" w:rsidRDefault="00D92D31" w:rsidP="00D92D31">
      <w:pPr>
        <w:pStyle w:val="NoSpacing"/>
        <w:rPr>
          <w:rFonts w:ascii="Century Schoolbook" w:hAnsi="Century Schoolbook"/>
        </w:rPr>
      </w:pPr>
    </w:p>
    <w:p w14:paraId="72729CBC" w14:textId="667EF5AF" w:rsidR="0050404B" w:rsidRDefault="0050404B" w:rsidP="0050404B">
      <w:pPr>
        <w:pStyle w:val="NoSpacing"/>
        <w:rPr>
          <w:rFonts w:ascii="Century Schoolbook" w:hAnsi="Century Schoolbook"/>
        </w:rPr>
      </w:pPr>
      <w:r>
        <w:rPr>
          <w:rFonts w:ascii="Century Schoolbook" w:hAnsi="Century Schoolbook"/>
        </w:rPr>
        <w:t>V</w:t>
      </w:r>
      <w:r w:rsidR="002006CD">
        <w:rPr>
          <w:rFonts w:ascii="Century Schoolbook" w:hAnsi="Century Schoolbook"/>
        </w:rPr>
        <w:t>I</w:t>
      </w:r>
      <w:r w:rsidR="00775E4F">
        <w:rPr>
          <w:rFonts w:ascii="Century Schoolbook" w:hAnsi="Century Schoolbook"/>
        </w:rPr>
        <w:t>II</w:t>
      </w:r>
      <w:r>
        <w:rPr>
          <w:rFonts w:ascii="Century Schoolbook" w:hAnsi="Century Schoolbook"/>
        </w:rPr>
        <w:t xml:space="preserve">.  Sufficient to identify only things that are being produced in response to discovery request, which implicitly means that all other things were not searched and withheld. </w:t>
      </w:r>
    </w:p>
    <w:p w14:paraId="31F3C252" w14:textId="77777777" w:rsidR="0050404B" w:rsidRDefault="0050404B" w:rsidP="0050404B">
      <w:pPr>
        <w:pStyle w:val="NoSpacing"/>
        <w:numPr>
          <w:ilvl w:val="0"/>
          <w:numId w:val="7"/>
        </w:numPr>
        <w:rPr>
          <w:rFonts w:ascii="Century Schoolbook" w:hAnsi="Century Schoolbook"/>
        </w:rPr>
      </w:pPr>
      <w:r>
        <w:rPr>
          <w:rFonts w:ascii="Century Schoolbook" w:hAnsi="Century Schoolbook"/>
        </w:rPr>
        <w:t xml:space="preserve">“An objection may state that a request is overbroad, but if the objection recognizes that some part of the request is appropriate the objection should state the scope that is not overbroad.  </w:t>
      </w:r>
    </w:p>
    <w:p w14:paraId="6F729E86" w14:textId="77777777" w:rsidR="0050404B" w:rsidRDefault="0050404B" w:rsidP="0050404B">
      <w:pPr>
        <w:pStyle w:val="NoSpacing"/>
        <w:numPr>
          <w:ilvl w:val="0"/>
          <w:numId w:val="7"/>
        </w:numPr>
        <w:rPr>
          <w:rFonts w:ascii="Century Schoolbook" w:hAnsi="Century Schoolbook"/>
        </w:rPr>
      </w:pPr>
      <w:r>
        <w:rPr>
          <w:rFonts w:ascii="Century Schoolbook" w:hAnsi="Century Schoolbook"/>
        </w:rPr>
        <w:t xml:space="preserve">Examples would be a statement that the responding party will limit the search to documents or electronically stored information created within a given </w:t>
      </w:r>
      <w:proofErr w:type="gramStart"/>
      <w:r>
        <w:rPr>
          <w:rFonts w:ascii="Century Schoolbook" w:hAnsi="Century Schoolbook"/>
        </w:rPr>
        <w:t>period of time</w:t>
      </w:r>
      <w:proofErr w:type="gramEnd"/>
      <w:r>
        <w:rPr>
          <w:rFonts w:ascii="Century Schoolbook" w:hAnsi="Century Schoolbook"/>
        </w:rPr>
        <w:t xml:space="preserve"> prior to the events in suit, or to specified sources.  </w:t>
      </w:r>
    </w:p>
    <w:p w14:paraId="1B38799C" w14:textId="77777777" w:rsidR="0050404B" w:rsidRPr="00CB43F3" w:rsidRDefault="0050404B" w:rsidP="0050404B">
      <w:pPr>
        <w:pStyle w:val="NoSpacing"/>
        <w:numPr>
          <w:ilvl w:val="0"/>
          <w:numId w:val="7"/>
        </w:numPr>
        <w:rPr>
          <w:rFonts w:ascii="Century Schoolbook" w:hAnsi="Century Schoolbook"/>
        </w:rPr>
      </w:pPr>
      <w:r>
        <w:rPr>
          <w:rFonts w:ascii="Century Schoolbook" w:hAnsi="Century Schoolbook"/>
        </w:rPr>
        <w:t>When there is such an objection, the statement of what has been withheld can properly identify as matters ‘withheld’ anything beyond the scope of the search specified in the objection.”  (</w:t>
      </w:r>
      <w:r w:rsidRPr="009975D4">
        <w:rPr>
          <w:rFonts w:ascii="Century Schoolbook" w:hAnsi="Century Schoolbook"/>
          <w:b/>
          <w:bCs/>
        </w:rPr>
        <w:t>Fed. R. Civ. P. 34, Committee Note</w:t>
      </w:r>
      <w:r>
        <w:rPr>
          <w:rFonts w:ascii="Century Schoolbook" w:hAnsi="Century Schoolbook"/>
        </w:rPr>
        <w:t>)</w:t>
      </w:r>
    </w:p>
    <w:p w14:paraId="2C27158D" w14:textId="77777777" w:rsidR="0050404B" w:rsidRDefault="0050404B" w:rsidP="0050404B">
      <w:pPr>
        <w:pStyle w:val="NoSpacing"/>
        <w:rPr>
          <w:rFonts w:ascii="Century Schoolbook" w:hAnsi="Century Schoolbook"/>
        </w:rPr>
      </w:pPr>
    </w:p>
    <w:p w14:paraId="485254F9" w14:textId="56867FF8" w:rsidR="00F23296" w:rsidRPr="00F23296" w:rsidRDefault="002E17F2" w:rsidP="00F23296">
      <w:pPr>
        <w:pStyle w:val="NoSpacing"/>
        <w:jc w:val="center"/>
        <w:rPr>
          <w:rFonts w:ascii="Century Schoolbook" w:hAnsi="Century Schoolbook"/>
          <w:b/>
          <w:bCs/>
          <w:sz w:val="24"/>
          <w:szCs w:val="24"/>
          <w:u w:val="single"/>
        </w:rPr>
      </w:pPr>
      <w:r>
        <w:rPr>
          <w:rFonts w:ascii="Century Schoolbook" w:hAnsi="Century Schoolbook"/>
          <w:b/>
          <w:bCs/>
          <w:sz w:val="24"/>
          <w:szCs w:val="24"/>
          <w:u w:val="single"/>
        </w:rPr>
        <w:t xml:space="preserve">C.  </w:t>
      </w:r>
      <w:r w:rsidR="00F23296" w:rsidRPr="00F23296">
        <w:rPr>
          <w:rFonts w:ascii="Century Schoolbook" w:hAnsi="Century Schoolbook"/>
          <w:b/>
          <w:bCs/>
          <w:sz w:val="24"/>
          <w:szCs w:val="24"/>
          <w:u w:val="single"/>
        </w:rPr>
        <w:t>Resol</w:t>
      </w:r>
      <w:r w:rsidR="00F23296">
        <w:rPr>
          <w:rFonts w:ascii="Century Schoolbook" w:hAnsi="Century Schoolbook"/>
          <w:b/>
          <w:bCs/>
          <w:sz w:val="24"/>
          <w:szCs w:val="24"/>
          <w:u w:val="single"/>
        </w:rPr>
        <w:t xml:space="preserve">ution of </w:t>
      </w:r>
      <w:r w:rsidR="00F23296" w:rsidRPr="00F23296">
        <w:rPr>
          <w:rFonts w:ascii="Century Schoolbook" w:hAnsi="Century Schoolbook"/>
          <w:b/>
          <w:bCs/>
          <w:sz w:val="24"/>
          <w:szCs w:val="24"/>
          <w:u w:val="single"/>
        </w:rPr>
        <w:t xml:space="preserve">Disputes </w:t>
      </w:r>
      <w:r w:rsidR="00F23296">
        <w:rPr>
          <w:rFonts w:ascii="Century Schoolbook" w:hAnsi="Century Schoolbook"/>
          <w:b/>
          <w:bCs/>
          <w:sz w:val="24"/>
          <w:szCs w:val="24"/>
          <w:u w:val="single"/>
        </w:rPr>
        <w:t>A</w:t>
      </w:r>
      <w:r w:rsidR="00F23296" w:rsidRPr="00F23296">
        <w:rPr>
          <w:rFonts w:ascii="Century Schoolbook" w:hAnsi="Century Schoolbook"/>
          <w:b/>
          <w:bCs/>
          <w:sz w:val="24"/>
          <w:szCs w:val="24"/>
          <w:u w:val="single"/>
        </w:rPr>
        <w:t xml:space="preserve">bout Prioritizing </w:t>
      </w:r>
      <w:r w:rsidR="00F23296">
        <w:rPr>
          <w:rFonts w:ascii="Century Schoolbook" w:hAnsi="Century Schoolbook"/>
          <w:b/>
          <w:bCs/>
          <w:sz w:val="24"/>
          <w:szCs w:val="24"/>
          <w:u w:val="single"/>
        </w:rPr>
        <w:t>R</w:t>
      </w:r>
      <w:r w:rsidR="00F23296" w:rsidRPr="00F23296">
        <w:rPr>
          <w:rFonts w:ascii="Century Schoolbook" w:hAnsi="Century Schoolbook"/>
          <w:b/>
          <w:bCs/>
          <w:sz w:val="24"/>
          <w:szCs w:val="24"/>
          <w:u w:val="single"/>
        </w:rPr>
        <w:t>elevant Information</w:t>
      </w:r>
    </w:p>
    <w:p w14:paraId="644520C8" w14:textId="4B0774E5" w:rsidR="00D30036" w:rsidRDefault="00D30036" w:rsidP="00BE7FE9">
      <w:pPr>
        <w:pStyle w:val="NoSpacing"/>
        <w:rPr>
          <w:rFonts w:ascii="Century Schoolbook" w:hAnsi="Century Schoolbook"/>
        </w:rPr>
      </w:pPr>
    </w:p>
    <w:p w14:paraId="1136DE05" w14:textId="012D7D58" w:rsidR="00CC7107" w:rsidRDefault="009975D4" w:rsidP="00BE7FE9">
      <w:pPr>
        <w:pStyle w:val="NoSpacing"/>
        <w:rPr>
          <w:rFonts w:ascii="Century Schoolbook" w:hAnsi="Century Schoolbook"/>
          <w:b/>
          <w:bCs/>
        </w:rPr>
      </w:pPr>
      <w:r>
        <w:rPr>
          <w:rFonts w:ascii="Century Schoolbook" w:hAnsi="Century Schoolbook"/>
        </w:rPr>
        <w:t xml:space="preserve">I.  </w:t>
      </w:r>
      <w:r w:rsidR="00CC7107">
        <w:rPr>
          <w:rFonts w:ascii="Century Schoolbook" w:hAnsi="Century Schoolbook"/>
        </w:rPr>
        <w:t>“The [New Framework’s] discovery roadmap presents a fuller picture of all potential data sources, custodians, and attendant costs that counsel must consider and evaluate under Rule 26.</w:t>
      </w:r>
      <w:r w:rsidR="00CC7107" w:rsidRPr="00CC7107">
        <w:rPr>
          <w:rFonts w:ascii="Century Schoolbook" w:hAnsi="Century Schoolbook"/>
          <w:b/>
          <w:bCs/>
        </w:rPr>
        <w:t xml:space="preserve"> </w:t>
      </w:r>
    </w:p>
    <w:p w14:paraId="6D7B626C" w14:textId="5CD60488" w:rsidR="00D92D31" w:rsidRDefault="00CC7107" w:rsidP="00CC7107">
      <w:pPr>
        <w:pStyle w:val="NoSpacing"/>
        <w:numPr>
          <w:ilvl w:val="0"/>
          <w:numId w:val="8"/>
        </w:numPr>
        <w:rPr>
          <w:rFonts w:ascii="Century Schoolbook" w:hAnsi="Century Schoolbook"/>
        </w:rPr>
      </w:pPr>
      <w:r>
        <w:rPr>
          <w:rFonts w:ascii="Century Schoolbook" w:hAnsi="Century Schoolbook"/>
        </w:rPr>
        <w:t xml:space="preserve">Under this approach, a judge with the parties’ input can better evaluate the overall reasonableness of counsel’s proportionality assessments, underlying rationales, and discovery decisions and decide whether additional discovery is appropriate focusing </w:t>
      </w:r>
      <w:r>
        <w:rPr>
          <w:rFonts w:ascii="Century Schoolbook" w:hAnsi="Century Schoolbook"/>
        </w:rPr>
        <w:lastRenderedPageBreak/>
        <w:t xml:space="preserve">on individual custodians and data sources.” </w:t>
      </w:r>
      <w:r>
        <w:rPr>
          <w:rFonts w:ascii="Century Schoolbook" w:hAnsi="Century Schoolbook"/>
          <w:b/>
          <w:bCs/>
        </w:rPr>
        <w:t>(</w:t>
      </w:r>
      <w:r w:rsidRPr="00FF1510">
        <w:rPr>
          <w:rFonts w:ascii="Century Schoolbook" w:hAnsi="Century Schoolbook"/>
          <w:b/>
          <w:bCs/>
        </w:rPr>
        <w:t>New Framework, Rabiej Litigation Law Center</w:t>
      </w:r>
      <w:r>
        <w:rPr>
          <w:rFonts w:ascii="Century Schoolbook" w:hAnsi="Century Schoolbook"/>
          <w:b/>
          <w:bCs/>
        </w:rPr>
        <w:t>)</w:t>
      </w:r>
      <w:r>
        <w:rPr>
          <w:rFonts w:ascii="Century Schoolbook" w:hAnsi="Century Schoolbook"/>
        </w:rPr>
        <w:t xml:space="preserve"> </w:t>
      </w:r>
    </w:p>
    <w:p w14:paraId="7236DEAD" w14:textId="77777777" w:rsidR="00D92D31" w:rsidRDefault="00D92D31" w:rsidP="00BE7FE9">
      <w:pPr>
        <w:pStyle w:val="NoSpacing"/>
        <w:rPr>
          <w:rFonts w:ascii="Century Schoolbook" w:hAnsi="Century Schoolbook"/>
        </w:rPr>
      </w:pPr>
    </w:p>
    <w:p w14:paraId="0F3BE4F1" w14:textId="34A0F52E" w:rsidR="00D30036" w:rsidRDefault="00D92D31" w:rsidP="00BE7FE9">
      <w:pPr>
        <w:pStyle w:val="NoSpacing"/>
        <w:rPr>
          <w:rFonts w:ascii="Century Schoolbook" w:hAnsi="Century Schoolbook"/>
        </w:rPr>
      </w:pPr>
      <w:r>
        <w:rPr>
          <w:rFonts w:ascii="Century Schoolbook" w:hAnsi="Century Schoolbook"/>
        </w:rPr>
        <w:t xml:space="preserve">II.  </w:t>
      </w:r>
      <w:r w:rsidR="00D30036">
        <w:rPr>
          <w:rFonts w:ascii="Century Schoolbook" w:hAnsi="Century Schoolbook"/>
        </w:rPr>
        <w:t>Courts should consider the likely benefits of the information sought for resolving factual issues in dispute.</w:t>
      </w:r>
    </w:p>
    <w:p w14:paraId="781C56AC" w14:textId="31082310" w:rsidR="00D30036" w:rsidRDefault="00D30036" w:rsidP="009975D4">
      <w:pPr>
        <w:pStyle w:val="NoSpacing"/>
        <w:numPr>
          <w:ilvl w:val="0"/>
          <w:numId w:val="2"/>
        </w:numPr>
        <w:rPr>
          <w:rFonts w:ascii="Century Schoolbook" w:hAnsi="Century Schoolbook"/>
        </w:rPr>
      </w:pPr>
      <w:r>
        <w:rPr>
          <w:rFonts w:ascii="Century Schoolbook" w:hAnsi="Century Schoolbook"/>
        </w:rPr>
        <w:t xml:space="preserve">Performing this </w:t>
      </w:r>
      <w:r w:rsidR="009975D4">
        <w:rPr>
          <w:rFonts w:ascii="Century Schoolbook" w:hAnsi="Century Schoolbook"/>
        </w:rPr>
        <w:t>kind</w:t>
      </w:r>
      <w:r>
        <w:rPr>
          <w:rFonts w:ascii="Century Schoolbook" w:hAnsi="Century Schoolbook"/>
        </w:rPr>
        <w:t xml:space="preserve"> of assessment can be particularly challenging because it may be difficult to evaluate the importance of the requested information until it is actually produced.</w:t>
      </w:r>
    </w:p>
    <w:p w14:paraId="4EE3161C" w14:textId="477D20DD" w:rsidR="00D30036" w:rsidRDefault="00D30036" w:rsidP="009975D4">
      <w:pPr>
        <w:pStyle w:val="NoSpacing"/>
        <w:numPr>
          <w:ilvl w:val="0"/>
          <w:numId w:val="2"/>
        </w:numPr>
        <w:rPr>
          <w:rFonts w:ascii="Century Schoolbook" w:hAnsi="Century Schoolbook"/>
        </w:rPr>
      </w:pPr>
      <w:r>
        <w:rPr>
          <w:rFonts w:ascii="Century Schoolbook" w:hAnsi="Century Schoolbook"/>
        </w:rPr>
        <w:t xml:space="preserve">Extrinsic information may be </w:t>
      </w:r>
      <w:r w:rsidR="009975D4">
        <w:rPr>
          <w:rFonts w:ascii="Century Schoolbook" w:hAnsi="Century Schoolbook"/>
        </w:rPr>
        <w:t>required to</w:t>
      </w:r>
      <w:r>
        <w:rPr>
          <w:rFonts w:ascii="Century Schoolbook" w:hAnsi="Century Schoolbook"/>
        </w:rPr>
        <w:t xml:space="preserve"> demonstrate the importance of the information sought or the effort required to produce it.</w:t>
      </w:r>
    </w:p>
    <w:p w14:paraId="0C5078FF" w14:textId="77777777" w:rsidR="00D83AC3" w:rsidRDefault="00D30036" w:rsidP="009975D4">
      <w:pPr>
        <w:pStyle w:val="NoSpacing"/>
        <w:numPr>
          <w:ilvl w:val="0"/>
          <w:numId w:val="2"/>
        </w:numPr>
        <w:rPr>
          <w:rFonts w:ascii="Century Schoolbook" w:hAnsi="Century Schoolbook"/>
        </w:rPr>
      </w:pPr>
      <w:r>
        <w:rPr>
          <w:rFonts w:ascii="Century Schoolbook" w:hAnsi="Century Schoolbook"/>
        </w:rPr>
        <w:t xml:space="preserve">Such information may </w:t>
      </w:r>
      <w:proofErr w:type="gramStart"/>
      <w:r>
        <w:rPr>
          <w:rFonts w:ascii="Century Schoolbook" w:hAnsi="Century Schoolbook"/>
        </w:rPr>
        <w:t>include</w:t>
      </w:r>
      <w:proofErr w:type="gramEnd"/>
    </w:p>
    <w:p w14:paraId="0BBC6DB3" w14:textId="77777777" w:rsidR="00D83AC3" w:rsidRDefault="00D30036" w:rsidP="00D83AC3">
      <w:pPr>
        <w:pStyle w:val="NoSpacing"/>
        <w:numPr>
          <w:ilvl w:val="0"/>
          <w:numId w:val="6"/>
        </w:numPr>
        <w:rPr>
          <w:rFonts w:ascii="Century Schoolbook" w:hAnsi="Century Schoolbook"/>
        </w:rPr>
      </w:pPr>
      <w:r>
        <w:rPr>
          <w:rFonts w:ascii="Century Schoolbook" w:hAnsi="Century Schoolbook"/>
        </w:rPr>
        <w:t xml:space="preserve">the parties’ reasoned statements regarding the likely importance of the requested information, </w:t>
      </w:r>
    </w:p>
    <w:p w14:paraId="0009242A" w14:textId="77777777" w:rsidR="00D83AC3" w:rsidRDefault="00D30036" w:rsidP="00D83AC3">
      <w:pPr>
        <w:pStyle w:val="NoSpacing"/>
        <w:numPr>
          <w:ilvl w:val="0"/>
          <w:numId w:val="6"/>
        </w:numPr>
        <w:rPr>
          <w:rFonts w:ascii="Century Schoolbook" w:hAnsi="Century Schoolbook"/>
        </w:rPr>
      </w:pPr>
      <w:r>
        <w:rPr>
          <w:rFonts w:ascii="Century Schoolbook" w:hAnsi="Century Schoolbook"/>
        </w:rPr>
        <w:t xml:space="preserve">whether the requested information was created by ‘key players,’ </w:t>
      </w:r>
    </w:p>
    <w:p w14:paraId="65312BB8" w14:textId="77777777" w:rsidR="00D83AC3" w:rsidRDefault="00D30036" w:rsidP="00D83AC3">
      <w:pPr>
        <w:pStyle w:val="NoSpacing"/>
        <w:numPr>
          <w:ilvl w:val="0"/>
          <w:numId w:val="6"/>
        </w:numPr>
        <w:rPr>
          <w:rFonts w:ascii="Century Schoolbook" w:hAnsi="Century Schoolbook"/>
        </w:rPr>
      </w:pPr>
      <w:r>
        <w:rPr>
          <w:rFonts w:ascii="Century Schoolbook" w:hAnsi="Century Schoolbook"/>
        </w:rPr>
        <w:t xml:space="preserve">whether prior </w:t>
      </w:r>
      <w:r w:rsidR="00CB43F3">
        <w:rPr>
          <w:rFonts w:ascii="Century Schoolbook" w:hAnsi="Century Schoolbook"/>
        </w:rPr>
        <w:t>discovery</w:t>
      </w:r>
      <w:r>
        <w:rPr>
          <w:rFonts w:ascii="Century Schoolbook" w:hAnsi="Century Schoolbook"/>
        </w:rPr>
        <w:t xml:space="preserve"> permits an </w:t>
      </w:r>
      <w:r w:rsidR="00CB43F3">
        <w:rPr>
          <w:rFonts w:ascii="Century Schoolbook" w:hAnsi="Century Schoolbook"/>
        </w:rPr>
        <w:t>inference</w:t>
      </w:r>
      <w:r>
        <w:rPr>
          <w:rFonts w:ascii="Century Schoolbook" w:hAnsi="Century Schoolbook"/>
        </w:rPr>
        <w:t xml:space="preserve"> </w:t>
      </w:r>
      <w:r w:rsidR="00CB43F3">
        <w:rPr>
          <w:rFonts w:ascii="Century Schoolbook" w:hAnsi="Century Schoolbook"/>
        </w:rPr>
        <w:t>that</w:t>
      </w:r>
      <w:r>
        <w:rPr>
          <w:rFonts w:ascii="Century Schoolbook" w:hAnsi="Century Schoolbook"/>
        </w:rPr>
        <w:t xml:space="preserve"> the requested information is likely to be important, </w:t>
      </w:r>
    </w:p>
    <w:p w14:paraId="4B810FE3" w14:textId="77777777" w:rsidR="00615FC7" w:rsidRDefault="00D30036" w:rsidP="00D83AC3">
      <w:pPr>
        <w:pStyle w:val="NoSpacing"/>
        <w:numPr>
          <w:ilvl w:val="0"/>
          <w:numId w:val="6"/>
        </w:numPr>
        <w:rPr>
          <w:rFonts w:ascii="Century Schoolbook" w:hAnsi="Century Schoolbook"/>
        </w:rPr>
      </w:pPr>
      <w:r>
        <w:rPr>
          <w:rFonts w:ascii="Century Schoolbook" w:hAnsi="Century Schoolbook"/>
        </w:rPr>
        <w:t xml:space="preserve">whether the creation of the information </w:t>
      </w:r>
      <w:r w:rsidR="00CB43F3">
        <w:rPr>
          <w:rFonts w:ascii="Century Schoolbook" w:hAnsi="Century Schoolbook"/>
        </w:rPr>
        <w:t>requested</w:t>
      </w:r>
      <w:r>
        <w:rPr>
          <w:rFonts w:ascii="Century Schoolbook" w:hAnsi="Century Schoolbook"/>
        </w:rPr>
        <w:t xml:space="preserve"> </w:t>
      </w:r>
      <w:r w:rsidR="00CB43F3">
        <w:rPr>
          <w:rFonts w:ascii="Century Schoolbook" w:hAnsi="Century Schoolbook"/>
        </w:rPr>
        <w:t>w</w:t>
      </w:r>
      <w:r>
        <w:rPr>
          <w:rFonts w:ascii="Century Schoolbook" w:hAnsi="Century Schoolbook"/>
        </w:rPr>
        <w:t>as contemporaneous with</w:t>
      </w:r>
      <w:r w:rsidR="00CB43F3">
        <w:rPr>
          <w:rFonts w:ascii="Century Schoolbook" w:hAnsi="Century Schoolbook"/>
        </w:rPr>
        <w:t xml:space="preserve"> </w:t>
      </w:r>
      <w:r>
        <w:rPr>
          <w:rFonts w:ascii="Century Schoolbook" w:hAnsi="Century Schoolbook"/>
        </w:rPr>
        <w:t xml:space="preserve">key facts in the case, or </w:t>
      </w:r>
    </w:p>
    <w:p w14:paraId="769DD24B" w14:textId="3BF18993" w:rsidR="00D30036" w:rsidRDefault="00D30036" w:rsidP="00D83AC3">
      <w:pPr>
        <w:pStyle w:val="NoSpacing"/>
        <w:numPr>
          <w:ilvl w:val="0"/>
          <w:numId w:val="6"/>
        </w:numPr>
        <w:rPr>
          <w:rFonts w:ascii="Century Schoolbook" w:hAnsi="Century Schoolbook"/>
        </w:rPr>
      </w:pPr>
      <w:r>
        <w:rPr>
          <w:rFonts w:ascii="Century Schoolbook" w:hAnsi="Century Schoolbook"/>
        </w:rPr>
        <w:t>whether the information requested is unique. (</w:t>
      </w:r>
      <w:r w:rsidRPr="00CB43F3">
        <w:rPr>
          <w:rFonts w:ascii="Century Schoolbook" w:hAnsi="Century Schoolbook"/>
          <w:b/>
          <w:bCs/>
        </w:rPr>
        <w:t xml:space="preserve">Sedona Conference </w:t>
      </w:r>
      <w:r w:rsidR="00CB43F3" w:rsidRPr="00CB43F3">
        <w:rPr>
          <w:rFonts w:ascii="Century Schoolbook" w:hAnsi="Century Schoolbook"/>
          <w:b/>
          <w:bCs/>
        </w:rPr>
        <w:t>Commentary</w:t>
      </w:r>
      <w:r w:rsidRPr="00CB43F3">
        <w:rPr>
          <w:rFonts w:ascii="Century Schoolbook" w:hAnsi="Century Schoolbook"/>
          <w:b/>
          <w:bCs/>
        </w:rPr>
        <w:t xml:space="preserve"> on </w:t>
      </w:r>
      <w:r w:rsidR="00CB43F3" w:rsidRPr="00CB43F3">
        <w:rPr>
          <w:rFonts w:ascii="Century Schoolbook" w:hAnsi="Century Schoolbook"/>
          <w:b/>
          <w:bCs/>
        </w:rPr>
        <w:t>P</w:t>
      </w:r>
      <w:r w:rsidRPr="00CB43F3">
        <w:rPr>
          <w:rFonts w:ascii="Century Schoolbook" w:hAnsi="Century Schoolbook"/>
          <w:b/>
          <w:bCs/>
        </w:rPr>
        <w:t xml:space="preserve">roportionality in Electronic </w:t>
      </w:r>
      <w:r w:rsidR="00CB43F3" w:rsidRPr="00CB43F3">
        <w:rPr>
          <w:rFonts w:ascii="Century Schoolbook" w:hAnsi="Century Schoolbook"/>
          <w:b/>
          <w:bCs/>
        </w:rPr>
        <w:t>Discovery</w:t>
      </w:r>
      <w:r>
        <w:rPr>
          <w:rFonts w:ascii="Century Schoolbook" w:hAnsi="Century Schoolbook"/>
        </w:rPr>
        <w:t>)</w:t>
      </w:r>
    </w:p>
    <w:p w14:paraId="3C379B4D" w14:textId="3C4DBD14" w:rsidR="005639BD" w:rsidRDefault="005639BD" w:rsidP="005639BD">
      <w:pPr>
        <w:pStyle w:val="NoSpacing"/>
        <w:rPr>
          <w:rFonts w:ascii="Century Schoolbook" w:hAnsi="Century Schoolbook"/>
        </w:rPr>
      </w:pPr>
    </w:p>
    <w:p w14:paraId="0D5B7585" w14:textId="77777777" w:rsidR="005639BD" w:rsidRPr="00BE7FE9" w:rsidRDefault="005639BD" w:rsidP="005639BD">
      <w:pPr>
        <w:pStyle w:val="NoSpacing"/>
        <w:rPr>
          <w:rFonts w:ascii="Century Schoolbook" w:hAnsi="Century Schoolbook"/>
        </w:rPr>
      </w:pPr>
    </w:p>
    <w:p w14:paraId="691C2851" w14:textId="1CCAE105" w:rsidR="00BE7FE9" w:rsidRPr="00775E4F" w:rsidRDefault="00BE7FE9" w:rsidP="00BE7FE9">
      <w:pPr>
        <w:pStyle w:val="NoSpacing"/>
        <w:rPr>
          <w:rFonts w:ascii="Century Schoolbook" w:hAnsi="Century Schoolbook"/>
        </w:rPr>
      </w:pPr>
      <w:r>
        <w:t xml:space="preserve"> </w:t>
      </w:r>
    </w:p>
    <w:p w14:paraId="1A3FEC9A" w14:textId="16D63D9D" w:rsidR="009975D4" w:rsidRPr="002006CD" w:rsidRDefault="002006CD" w:rsidP="00BE7FE9">
      <w:pPr>
        <w:pStyle w:val="NoSpacing"/>
        <w:rPr>
          <w:rFonts w:ascii="Century Schoolbook" w:hAnsi="Century Schoolbook"/>
        </w:rPr>
      </w:pPr>
      <w:r w:rsidRPr="002006CD">
        <w:rPr>
          <w:rFonts w:ascii="Century Schoolbook" w:hAnsi="Century Schoolbook" w:cs="Open Sans"/>
          <w:color w:val="666666"/>
          <w:shd w:val="clear" w:color="auto" w:fill="FFFFFF"/>
        </w:rPr>
        <w:t> </w:t>
      </w:r>
    </w:p>
    <w:sectPr w:rsidR="009975D4" w:rsidRPr="002006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7210" w14:textId="77777777" w:rsidR="00BB5C4E" w:rsidRDefault="00BB5C4E" w:rsidP="00F23296">
      <w:pPr>
        <w:spacing w:after="0" w:line="240" w:lineRule="auto"/>
      </w:pPr>
      <w:r>
        <w:separator/>
      </w:r>
    </w:p>
  </w:endnote>
  <w:endnote w:type="continuationSeparator" w:id="0">
    <w:p w14:paraId="206B3722" w14:textId="77777777" w:rsidR="00BB5C4E" w:rsidRDefault="00BB5C4E" w:rsidP="00F2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4A3B" w14:textId="77777777" w:rsidR="0071743D" w:rsidRDefault="00717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004748"/>
      <w:docPartObj>
        <w:docPartGallery w:val="Page Numbers (Bottom of Page)"/>
        <w:docPartUnique/>
      </w:docPartObj>
    </w:sdtPr>
    <w:sdtEndPr>
      <w:rPr>
        <w:noProof/>
      </w:rPr>
    </w:sdtEndPr>
    <w:sdtContent>
      <w:p w14:paraId="4D678AFD" w14:textId="1B6A9B6B" w:rsidR="00F23296" w:rsidRDefault="00F2329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57A61C9" w14:textId="77777777" w:rsidR="00F23296" w:rsidRDefault="00F23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BB0A" w14:textId="77777777" w:rsidR="0071743D" w:rsidRDefault="00717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4343F" w14:textId="77777777" w:rsidR="00BB5C4E" w:rsidRDefault="00BB5C4E" w:rsidP="00F23296">
      <w:pPr>
        <w:spacing w:after="0" w:line="240" w:lineRule="auto"/>
      </w:pPr>
      <w:r>
        <w:separator/>
      </w:r>
    </w:p>
  </w:footnote>
  <w:footnote w:type="continuationSeparator" w:id="0">
    <w:p w14:paraId="61ECC071" w14:textId="77777777" w:rsidR="00BB5C4E" w:rsidRDefault="00BB5C4E" w:rsidP="00F23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B794" w14:textId="77777777" w:rsidR="0071743D" w:rsidRDefault="00717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7A2" w14:textId="09562910" w:rsidR="00403282" w:rsidRPr="00403282" w:rsidRDefault="00403282">
    <w:pPr>
      <w:pStyle w:val="Header"/>
      <w:rPr>
        <w:rFonts w:ascii="Century Schoolbook" w:hAnsi="Century Schoolbook"/>
        <w:b/>
        <w:bCs/>
      </w:rPr>
    </w:pPr>
    <w:r>
      <w:rPr>
        <w:rFonts w:ascii="Century Schoolbook" w:hAnsi="Century Schoolbook"/>
        <w:b/>
        <w:bCs/>
      </w:rPr>
      <w:tab/>
    </w:r>
    <w:r>
      <w:rPr>
        <w:rFonts w:ascii="Century Schoolbook" w:hAnsi="Century Schoolbook"/>
        <w:b/>
        <w:bCs/>
      </w:rPr>
      <w:tab/>
    </w:r>
    <w:r w:rsidRPr="00403282">
      <w:rPr>
        <w:rFonts w:ascii="Century Schoolbook" w:hAnsi="Century Schoolbook"/>
        <w:b/>
        <w:bCs/>
      </w:rPr>
      <w:t xml:space="preserve">HANDOUT </w:t>
    </w:r>
    <w:r w:rsidR="0071743D">
      <w:rPr>
        <w:rFonts w:ascii="Century Schoolbook" w:hAnsi="Century Schoolbook"/>
        <w:b/>
        <w:bCs/>
      </w:rPr>
      <w:t>5</w:t>
    </w:r>
  </w:p>
  <w:p w14:paraId="1F04DD02" w14:textId="77777777" w:rsidR="00403282" w:rsidRDefault="00403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9E61" w14:textId="77777777" w:rsidR="0071743D" w:rsidRDefault="00717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5578"/>
    <w:multiLevelType w:val="hybridMultilevel"/>
    <w:tmpl w:val="4CAA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D1C4C"/>
    <w:multiLevelType w:val="hybridMultilevel"/>
    <w:tmpl w:val="9A70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3540C"/>
    <w:multiLevelType w:val="hybridMultilevel"/>
    <w:tmpl w:val="2EA8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94FA1"/>
    <w:multiLevelType w:val="hybridMultilevel"/>
    <w:tmpl w:val="59FC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F665B6"/>
    <w:multiLevelType w:val="hybridMultilevel"/>
    <w:tmpl w:val="3FAC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802CC"/>
    <w:multiLevelType w:val="hybridMultilevel"/>
    <w:tmpl w:val="CACE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466AC"/>
    <w:multiLevelType w:val="hybridMultilevel"/>
    <w:tmpl w:val="2070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340153"/>
    <w:multiLevelType w:val="hybridMultilevel"/>
    <w:tmpl w:val="E596341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144078806">
    <w:abstractNumId w:val="5"/>
  </w:num>
  <w:num w:numId="2" w16cid:durableId="913516321">
    <w:abstractNumId w:val="4"/>
  </w:num>
  <w:num w:numId="3" w16cid:durableId="556671335">
    <w:abstractNumId w:val="2"/>
  </w:num>
  <w:num w:numId="4" w16cid:durableId="434522726">
    <w:abstractNumId w:val="6"/>
  </w:num>
  <w:num w:numId="5" w16cid:durableId="1529299736">
    <w:abstractNumId w:val="3"/>
  </w:num>
  <w:num w:numId="6" w16cid:durableId="1160315909">
    <w:abstractNumId w:val="7"/>
  </w:num>
  <w:num w:numId="7" w16cid:durableId="1096175481">
    <w:abstractNumId w:val="1"/>
  </w:num>
  <w:num w:numId="8" w16cid:durableId="210884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E9"/>
    <w:rsid w:val="00025B65"/>
    <w:rsid w:val="002006CD"/>
    <w:rsid w:val="00273A0A"/>
    <w:rsid w:val="002E17F2"/>
    <w:rsid w:val="00391C02"/>
    <w:rsid w:val="00403282"/>
    <w:rsid w:val="00502773"/>
    <w:rsid w:val="0050404B"/>
    <w:rsid w:val="00522F5C"/>
    <w:rsid w:val="005639BD"/>
    <w:rsid w:val="00615FC7"/>
    <w:rsid w:val="0071743D"/>
    <w:rsid w:val="00775E4F"/>
    <w:rsid w:val="007B054B"/>
    <w:rsid w:val="00810684"/>
    <w:rsid w:val="009975D4"/>
    <w:rsid w:val="00AA211D"/>
    <w:rsid w:val="00B9588B"/>
    <w:rsid w:val="00BB5C4E"/>
    <w:rsid w:val="00BE7FE9"/>
    <w:rsid w:val="00C108DB"/>
    <w:rsid w:val="00CB43F3"/>
    <w:rsid w:val="00CC7107"/>
    <w:rsid w:val="00CF5678"/>
    <w:rsid w:val="00D30036"/>
    <w:rsid w:val="00D835C2"/>
    <w:rsid w:val="00D83AC3"/>
    <w:rsid w:val="00D92D31"/>
    <w:rsid w:val="00DE1A6C"/>
    <w:rsid w:val="00F17F10"/>
    <w:rsid w:val="00F23296"/>
    <w:rsid w:val="00FC1B0F"/>
    <w:rsid w:val="00FD6C99"/>
    <w:rsid w:val="00FF1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5FB77"/>
  <w15:chartTrackingRefBased/>
  <w15:docId w15:val="{05F62FB8-1CBB-43E8-9AFF-1892C4A8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7FE9"/>
    <w:pPr>
      <w:spacing w:after="0" w:line="240" w:lineRule="auto"/>
    </w:pPr>
  </w:style>
  <w:style w:type="paragraph" w:styleId="Header">
    <w:name w:val="header"/>
    <w:basedOn w:val="Normal"/>
    <w:link w:val="HeaderChar"/>
    <w:uiPriority w:val="99"/>
    <w:unhideWhenUsed/>
    <w:rsid w:val="00F23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296"/>
  </w:style>
  <w:style w:type="paragraph" w:styleId="Footer">
    <w:name w:val="footer"/>
    <w:basedOn w:val="Normal"/>
    <w:link w:val="FooterChar"/>
    <w:uiPriority w:val="99"/>
    <w:unhideWhenUsed/>
    <w:rsid w:val="00F23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 </cp:lastModifiedBy>
  <cp:revision>10</cp:revision>
  <cp:lastPrinted>2023-03-21T17:58:00Z</cp:lastPrinted>
  <dcterms:created xsi:type="dcterms:W3CDTF">2023-03-21T13:48:00Z</dcterms:created>
  <dcterms:modified xsi:type="dcterms:W3CDTF">2023-04-07T17:42:00Z</dcterms:modified>
</cp:coreProperties>
</file>