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3D1F3" w14:textId="77777777" w:rsidR="00D52183" w:rsidRDefault="00D52183" w:rsidP="00D52183">
      <w:pPr>
        <w:jc w:val="center"/>
        <w:rPr>
          <w:b/>
          <w:sz w:val="28"/>
          <w:szCs w:val="28"/>
        </w:rPr>
      </w:pPr>
      <w:r>
        <w:rPr>
          <w:noProof/>
        </w:rPr>
        <w:drawing>
          <wp:inline distT="0" distB="0" distL="0" distR="0" wp14:anchorId="2B5287AE" wp14:editId="182BEA1E">
            <wp:extent cx="5943600" cy="828675"/>
            <wp:effectExtent l="0" t="0" r="0" b="9525"/>
            <wp:docPr id="5" name="Picture 5" descr="Graphical user interface, 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imeline&#10;&#10;Description automatically generated with medium confidence"/>
                    <pic:cNvPicPr>
                      <a:picLocks noChangeAspect="1" noChangeArrowheads="1"/>
                    </pic:cNvPicPr>
                  </pic:nvPicPr>
                  <pic:blipFill rotWithShape="1">
                    <a:blip r:embed="rId8">
                      <a:extLst>
                        <a:ext uri="{28A0092B-C50C-407E-A947-70E740481C1C}">
                          <a14:useLocalDpi xmlns:a14="http://schemas.microsoft.com/office/drawing/2010/main" val="0"/>
                        </a:ext>
                      </a:extLst>
                    </a:blip>
                    <a:srcRect l="-481" t="18882" r="481" b="63826"/>
                    <a:stretch/>
                  </pic:blipFill>
                  <pic:spPr bwMode="auto">
                    <a:xfrm>
                      <a:off x="0" y="0"/>
                      <a:ext cx="5943600" cy="828675"/>
                    </a:xfrm>
                    <a:prstGeom prst="rect">
                      <a:avLst/>
                    </a:prstGeom>
                    <a:noFill/>
                    <a:ln>
                      <a:noFill/>
                    </a:ln>
                    <a:extLst>
                      <a:ext uri="{53640926-AAD7-44D8-BBD7-CCE9431645EC}">
                        <a14:shadowObscured xmlns:a14="http://schemas.microsoft.com/office/drawing/2010/main"/>
                      </a:ext>
                    </a:extLst>
                  </pic:spPr>
                </pic:pic>
              </a:graphicData>
            </a:graphic>
          </wp:inline>
        </w:drawing>
      </w:r>
    </w:p>
    <w:p w14:paraId="483A237B" w14:textId="77777777" w:rsidR="00D52183" w:rsidRPr="00D52183" w:rsidRDefault="00D52183" w:rsidP="00D52183">
      <w:pPr>
        <w:jc w:val="center"/>
        <w:rPr>
          <w:rFonts w:ascii="Times New Roman" w:hAnsi="Times New Roman" w:cs="Times New Roman"/>
          <w:b/>
          <w:sz w:val="24"/>
          <w:szCs w:val="24"/>
        </w:rPr>
      </w:pPr>
      <w:r w:rsidRPr="00D52183">
        <w:rPr>
          <w:rFonts w:ascii="Times New Roman" w:hAnsi="Times New Roman" w:cs="Times New Roman"/>
          <w:b/>
          <w:sz w:val="24"/>
          <w:szCs w:val="24"/>
        </w:rPr>
        <w:t xml:space="preserve">MASS-TORT MDL COMPENDIUM OF </w:t>
      </w:r>
    </w:p>
    <w:p w14:paraId="796FF51B" w14:textId="77777777" w:rsidR="00D52183" w:rsidRPr="00D52183" w:rsidRDefault="00D52183" w:rsidP="00D52183">
      <w:pPr>
        <w:jc w:val="center"/>
        <w:rPr>
          <w:rFonts w:ascii="Times New Roman" w:hAnsi="Times New Roman" w:cs="Times New Roman"/>
          <w:b/>
          <w:sz w:val="24"/>
          <w:szCs w:val="24"/>
        </w:rPr>
      </w:pPr>
      <w:r w:rsidRPr="00D52183">
        <w:rPr>
          <w:rFonts w:ascii="Times New Roman" w:hAnsi="Times New Roman" w:cs="Times New Roman"/>
          <w:b/>
          <w:sz w:val="24"/>
          <w:szCs w:val="24"/>
        </w:rPr>
        <w:t>GUIDELINES AND BEST PRACTICES*</w:t>
      </w:r>
    </w:p>
    <w:p w14:paraId="571AFB54" w14:textId="77777777" w:rsidR="00D52183" w:rsidRPr="00D52183" w:rsidRDefault="00D52183" w:rsidP="00D52183">
      <w:pPr>
        <w:jc w:val="center"/>
        <w:rPr>
          <w:rFonts w:ascii="Times New Roman" w:hAnsi="Times New Roman" w:cs="Times New Roman"/>
          <w:b/>
          <w:sz w:val="24"/>
          <w:szCs w:val="24"/>
        </w:rPr>
      </w:pPr>
      <w:r w:rsidRPr="00D52183">
        <w:rPr>
          <w:rFonts w:ascii="Times New Roman" w:hAnsi="Times New Roman" w:cs="Times New Roman"/>
          <w:b/>
          <w:sz w:val="24"/>
          <w:szCs w:val="24"/>
        </w:rPr>
        <w:t>April 3, 2024</w:t>
      </w:r>
    </w:p>
    <w:p w14:paraId="708BE844" w14:textId="7F1E01DA" w:rsidR="00D52183" w:rsidRPr="00D52183" w:rsidRDefault="00D52183" w:rsidP="00D52183">
      <w:pPr>
        <w:spacing w:line="360" w:lineRule="auto"/>
        <w:ind w:firstLine="720"/>
        <w:jc w:val="both"/>
        <w:rPr>
          <w:rFonts w:ascii="Times New Roman" w:hAnsi="Times New Roman" w:cs="Times New Roman"/>
          <w:sz w:val="24"/>
          <w:szCs w:val="24"/>
        </w:rPr>
      </w:pPr>
      <w:r w:rsidRPr="00D52183">
        <w:rPr>
          <w:rFonts w:ascii="Times New Roman" w:hAnsi="Times New Roman" w:cs="Times New Roman"/>
          <w:sz w:val="24"/>
          <w:szCs w:val="24"/>
        </w:rPr>
        <w:t xml:space="preserve">The </w:t>
      </w:r>
      <w:r w:rsidRPr="00D52183">
        <w:rPr>
          <w:rFonts w:ascii="Times New Roman" w:hAnsi="Times New Roman" w:cs="Times New Roman"/>
          <w:bCs/>
          <w:sz w:val="24"/>
          <w:szCs w:val="24"/>
        </w:rPr>
        <w:t xml:space="preserve">Rabiej Litigation Law </w:t>
      </w:r>
      <w:r w:rsidRPr="00D52183">
        <w:rPr>
          <w:rFonts w:ascii="Times New Roman" w:hAnsi="Times New Roman" w:cs="Times New Roman"/>
          <w:sz w:val="24"/>
          <w:szCs w:val="24"/>
        </w:rPr>
        <w:t xml:space="preserve">Center </w:t>
      </w:r>
      <w:r w:rsidRPr="00D52183">
        <w:rPr>
          <w:rFonts w:ascii="Times New Roman" w:hAnsi="Times New Roman" w:cs="Times New Roman"/>
          <w:bCs/>
          <w:sz w:val="24"/>
          <w:szCs w:val="24"/>
        </w:rPr>
        <w:t xml:space="preserve">continues the work begun at the Center for Judicial Studies, Duke Law School, and at the Complex Litigation Center, George Washington Law School, </w:t>
      </w:r>
      <w:r w:rsidRPr="00D52183">
        <w:rPr>
          <w:rFonts w:ascii="Times New Roman" w:hAnsi="Times New Roman" w:cs="Times New Roman"/>
          <w:sz w:val="24"/>
          <w:szCs w:val="24"/>
        </w:rPr>
        <w:t xml:space="preserve">holding annual bench-bar conferences on class actions, mass-tort MDLs, and </w:t>
      </w:r>
      <w:proofErr w:type="spellStart"/>
      <w:r w:rsidRPr="00D52183">
        <w:rPr>
          <w:rFonts w:ascii="Times New Roman" w:hAnsi="Times New Roman" w:cs="Times New Roman"/>
          <w:sz w:val="24"/>
          <w:szCs w:val="24"/>
        </w:rPr>
        <w:t>ediscovery</w:t>
      </w:r>
      <w:proofErr w:type="spellEnd"/>
      <w:r w:rsidRPr="00D52183">
        <w:rPr>
          <w:rFonts w:ascii="Times New Roman" w:hAnsi="Times New Roman" w:cs="Times New Roman"/>
          <w:sz w:val="24"/>
          <w:szCs w:val="24"/>
        </w:rPr>
        <w:t xml:space="preserve"> in collaboration with law schools around the country. The Center forms teams of volunteer lawyers and other experts to draft the </w:t>
      </w:r>
      <w:r w:rsidRPr="00D52183">
        <w:rPr>
          <w:rFonts w:ascii="Times New Roman" w:hAnsi="Times New Roman" w:cs="Times New Roman"/>
          <w:smallCaps/>
          <w:sz w:val="24"/>
          <w:szCs w:val="24"/>
        </w:rPr>
        <w:t>Complex litigation</w:t>
      </w:r>
      <w:r w:rsidRPr="00D52183">
        <w:rPr>
          <w:rFonts w:ascii="Times New Roman" w:hAnsi="Times New Roman" w:cs="Times New Roman"/>
          <w:sz w:val="24"/>
          <w:szCs w:val="24"/>
        </w:rPr>
        <w:t xml:space="preserve"> </w:t>
      </w:r>
      <w:r w:rsidRPr="00D52183">
        <w:rPr>
          <w:rFonts w:ascii="Times New Roman" w:hAnsi="Times New Roman" w:cs="Times New Roman"/>
          <w:bCs/>
          <w:smallCaps/>
          <w:sz w:val="24"/>
          <w:szCs w:val="24"/>
        </w:rPr>
        <w:t>Compendium of Guidelines and Best Practices</w:t>
      </w:r>
      <w:r w:rsidRPr="00D52183">
        <w:rPr>
          <w:rFonts w:ascii="Times New Roman" w:hAnsi="Times New Roman" w:cs="Times New Roman"/>
          <w:sz w:val="24"/>
          <w:szCs w:val="24"/>
        </w:rPr>
        <w:t xml:space="preserve">, addressing issues identified at its annual conferences.  </w:t>
      </w:r>
    </w:p>
    <w:p w14:paraId="425A5E3B" w14:textId="77777777" w:rsidR="00D52183" w:rsidRPr="00D52183" w:rsidRDefault="00D52183" w:rsidP="00D52183">
      <w:pPr>
        <w:spacing w:line="360" w:lineRule="auto"/>
        <w:ind w:firstLine="720"/>
        <w:jc w:val="both"/>
        <w:rPr>
          <w:rFonts w:ascii="Times New Roman" w:hAnsi="Times New Roman" w:cs="Times New Roman"/>
          <w:sz w:val="24"/>
          <w:szCs w:val="24"/>
        </w:rPr>
      </w:pPr>
      <w:r w:rsidRPr="00D52183">
        <w:rPr>
          <w:rFonts w:ascii="Times New Roman" w:hAnsi="Times New Roman" w:cs="Times New Roman"/>
          <w:sz w:val="24"/>
          <w:szCs w:val="24"/>
        </w:rPr>
        <w:t xml:space="preserve">The </w:t>
      </w:r>
      <w:r w:rsidRPr="00D52183">
        <w:rPr>
          <w:rFonts w:ascii="Times New Roman" w:hAnsi="Times New Roman" w:cs="Times New Roman"/>
          <w:smallCaps/>
          <w:sz w:val="24"/>
          <w:szCs w:val="24"/>
        </w:rPr>
        <w:t>Compendium</w:t>
      </w:r>
      <w:r w:rsidRPr="00D52183">
        <w:rPr>
          <w:rFonts w:ascii="Times New Roman" w:hAnsi="Times New Roman" w:cs="Times New Roman"/>
          <w:sz w:val="24"/>
          <w:szCs w:val="24"/>
        </w:rPr>
        <w:t xml:space="preserve"> will be updated and supplemented annually. The alternative “Permanent No.” assigned to each numbered guideline and best practice is necessary to account for future reorganizations of subject matter and additions of new guidelines and best practices.  Forewords describing each update and supplement are placed at the end of the compendium along with separate acknowledgments of team leaders, collaborating law schools, and contributors for every set of guidelines and best practices.</w:t>
      </w:r>
    </w:p>
    <w:p w14:paraId="1FDDDC12" w14:textId="77777777" w:rsidR="00D52183" w:rsidRPr="00D52183" w:rsidRDefault="00D52183" w:rsidP="00D52183">
      <w:pPr>
        <w:spacing w:line="360" w:lineRule="auto"/>
        <w:ind w:firstLine="720"/>
        <w:jc w:val="both"/>
        <w:rPr>
          <w:rFonts w:ascii="Times New Roman" w:hAnsi="Times New Roman" w:cs="Times New Roman"/>
          <w:sz w:val="24"/>
          <w:szCs w:val="24"/>
        </w:rPr>
      </w:pPr>
    </w:p>
    <w:p w14:paraId="1D5061D4" w14:textId="77777777" w:rsidR="00D52183" w:rsidRPr="00D52183" w:rsidRDefault="00D52183" w:rsidP="00D52183">
      <w:pPr>
        <w:spacing w:line="360" w:lineRule="auto"/>
        <w:ind w:firstLine="720"/>
        <w:jc w:val="both"/>
        <w:rPr>
          <w:rFonts w:ascii="Times New Roman" w:hAnsi="Times New Roman" w:cs="Times New Roman"/>
          <w:sz w:val="24"/>
          <w:szCs w:val="24"/>
        </w:rPr>
      </w:pPr>
    </w:p>
    <w:p w14:paraId="2A041077" w14:textId="77777777" w:rsidR="00D52183" w:rsidRPr="00D52183" w:rsidRDefault="00D52183" w:rsidP="00D52183">
      <w:pPr>
        <w:pBdr>
          <w:bottom w:val="single" w:sz="12" w:space="1" w:color="auto"/>
        </w:pBdr>
        <w:shd w:val="clear" w:color="auto" w:fill="FFFFFF"/>
        <w:spacing w:line="235" w:lineRule="atLeast"/>
        <w:ind w:right="720"/>
        <w:jc w:val="both"/>
        <w:rPr>
          <w:rFonts w:ascii="Times New Roman" w:eastAsia="Times New Roman" w:hAnsi="Times New Roman" w:cs="Times New Roman"/>
          <w:sz w:val="24"/>
          <w:szCs w:val="24"/>
        </w:rPr>
      </w:pPr>
    </w:p>
    <w:p w14:paraId="78F862D2" w14:textId="77777777" w:rsidR="00D52183" w:rsidRPr="00D52183" w:rsidRDefault="00D52183" w:rsidP="00D52183">
      <w:pPr>
        <w:jc w:val="center"/>
        <w:rPr>
          <w:rFonts w:ascii="Times New Roman" w:hAnsi="Times New Roman" w:cs="Times New Roman"/>
          <w:b/>
          <w:sz w:val="24"/>
          <w:szCs w:val="24"/>
        </w:rPr>
      </w:pPr>
    </w:p>
    <w:p w14:paraId="6BF3F7F7" w14:textId="77777777" w:rsidR="00D52183" w:rsidRDefault="00D52183" w:rsidP="00D52183">
      <w:pPr>
        <w:spacing w:after="120" w:line="276" w:lineRule="auto"/>
        <w:jc w:val="both"/>
        <w:rPr>
          <w:rFonts w:ascii="Times New Roman" w:hAnsi="Times New Roman" w:cs="Times New Roman"/>
          <w:sz w:val="24"/>
          <w:szCs w:val="24"/>
        </w:rPr>
      </w:pPr>
      <w:r w:rsidRPr="00D52183">
        <w:rPr>
          <w:rFonts w:ascii="Times New Roman" w:hAnsi="Times New Roman" w:cs="Times New Roman"/>
          <w:sz w:val="24"/>
          <w:szCs w:val="24"/>
        </w:rPr>
        <w:t xml:space="preserve">*Copyright © 2023, Rabiej Litigation Law Center All Rights Reserved. Reprints </w:t>
      </w:r>
      <w:proofErr w:type="gramStart"/>
      <w:r w:rsidRPr="00D52183">
        <w:rPr>
          <w:rFonts w:ascii="Times New Roman" w:hAnsi="Times New Roman" w:cs="Times New Roman"/>
          <w:sz w:val="24"/>
          <w:szCs w:val="24"/>
        </w:rPr>
        <w:t>authorized</w:t>
      </w:r>
      <w:proofErr w:type="gramEnd"/>
      <w:r w:rsidRPr="00D52183">
        <w:rPr>
          <w:rFonts w:ascii="Times New Roman" w:hAnsi="Times New Roman" w:cs="Times New Roman"/>
          <w:sz w:val="24"/>
          <w:szCs w:val="24"/>
        </w:rPr>
        <w:t xml:space="preserve"> but only if attributed to the Rabiej Litigation Law Center. The </w:t>
      </w:r>
      <w:r w:rsidRPr="00D52183">
        <w:rPr>
          <w:rFonts w:ascii="Times New Roman" w:hAnsi="Times New Roman" w:cs="Times New Roman"/>
          <w:smallCaps/>
          <w:sz w:val="24"/>
          <w:szCs w:val="24"/>
        </w:rPr>
        <w:t>compendium</w:t>
      </w:r>
      <w:r w:rsidRPr="00D52183">
        <w:rPr>
          <w:rFonts w:ascii="Times New Roman" w:hAnsi="Times New Roman" w:cs="Times New Roman"/>
          <w:sz w:val="24"/>
          <w:szCs w:val="24"/>
        </w:rPr>
        <w:t xml:space="preserve"> is a document reflecting the consensus views of the contributors, who may not agree with every statement.  This document does not necessarily reflect the views of any law school or its faculty, the Rabiej Litigation Law Center, or any other organization including the Judicial Conference of the United States or any other government unit. </w:t>
      </w:r>
    </w:p>
    <w:p w14:paraId="2262E661" w14:textId="77777777" w:rsidR="00234E19" w:rsidRPr="00D52183" w:rsidRDefault="00234E19" w:rsidP="00D52183">
      <w:pPr>
        <w:spacing w:after="120" w:line="276" w:lineRule="auto"/>
        <w:jc w:val="both"/>
        <w:rPr>
          <w:rFonts w:ascii="Times New Roman" w:hAnsi="Times New Roman" w:cs="Times New Roman"/>
          <w:sz w:val="24"/>
          <w:szCs w:val="24"/>
        </w:rPr>
      </w:pPr>
    </w:p>
    <w:p w14:paraId="25006A0C" w14:textId="77777777" w:rsidR="00D52183" w:rsidRPr="00D52183" w:rsidRDefault="00D52183" w:rsidP="00D52183">
      <w:pPr>
        <w:jc w:val="center"/>
        <w:rPr>
          <w:rFonts w:ascii="Times New Roman" w:hAnsi="Times New Roman" w:cs="Times New Roman"/>
          <w:b/>
          <w:sz w:val="24"/>
          <w:szCs w:val="24"/>
        </w:rPr>
      </w:pPr>
      <w:r w:rsidRPr="00D52183">
        <w:rPr>
          <w:rFonts w:ascii="Times New Roman" w:hAnsi="Times New Roman" w:cs="Times New Roman"/>
          <w:b/>
          <w:sz w:val="24"/>
          <w:szCs w:val="24"/>
        </w:rPr>
        <w:lastRenderedPageBreak/>
        <w:t>MASS-TORT MDL COMPENDIUM OF</w:t>
      </w:r>
    </w:p>
    <w:p w14:paraId="1BF10309" w14:textId="77777777" w:rsidR="00D52183" w:rsidRDefault="00D52183" w:rsidP="00D52183">
      <w:pPr>
        <w:jc w:val="center"/>
        <w:rPr>
          <w:rFonts w:ascii="Times New Roman" w:hAnsi="Times New Roman" w:cs="Times New Roman"/>
          <w:b/>
          <w:sz w:val="24"/>
          <w:szCs w:val="24"/>
        </w:rPr>
      </w:pPr>
      <w:r w:rsidRPr="00D52183">
        <w:rPr>
          <w:rFonts w:ascii="Times New Roman" w:hAnsi="Times New Roman" w:cs="Times New Roman"/>
          <w:b/>
          <w:sz w:val="24"/>
          <w:szCs w:val="24"/>
        </w:rPr>
        <w:t xml:space="preserve">GUIDELINES AND BEST PRACTICES </w:t>
      </w:r>
    </w:p>
    <w:p w14:paraId="53383FC2" w14:textId="77777777" w:rsidR="00D52183" w:rsidRPr="00D52183" w:rsidRDefault="00D52183" w:rsidP="00D52183">
      <w:pPr>
        <w:jc w:val="center"/>
        <w:rPr>
          <w:rFonts w:ascii="Times New Roman" w:hAnsi="Times New Roman" w:cs="Times New Roman"/>
          <w:b/>
          <w:sz w:val="24"/>
          <w:szCs w:val="24"/>
        </w:rPr>
      </w:pPr>
    </w:p>
    <w:p w14:paraId="080E3E59" w14:textId="7D33816B" w:rsidR="00D52183" w:rsidRPr="00D52183" w:rsidRDefault="00D52183" w:rsidP="00D52183">
      <w:pPr>
        <w:ind w:left="720" w:right="720"/>
        <w:contextualSpacing/>
        <w:jc w:val="center"/>
        <w:rPr>
          <w:rFonts w:ascii="Times New Roman" w:eastAsia="Calibri" w:hAnsi="Times New Roman" w:cs="Times New Roman"/>
          <w:b/>
          <w:bCs/>
          <w:smallCaps/>
          <w:sz w:val="24"/>
          <w:szCs w:val="24"/>
        </w:rPr>
      </w:pPr>
      <w:r>
        <w:rPr>
          <w:rFonts w:ascii="Times New Roman" w:eastAsia="Calibri" w:hAnsi="Times New Roman" w:cs="Times New Roman"/>
          <w:b/>
          <w:bCs/>
          <w:smallCaps/>
          <w:sz w:val="24"/>
          <w:szCs w:val="24"/>
        </w:rPr>
        <w:t>********</w:t>
      </w:r>
    </w:p>
    <w:p w14:paraId="6F778B85" w14:textId="77777777" w:rsidR="00D52183" w:rsidRPr="00D52183" w:rsidRDefault="00D52183" w:rsidP="00D52183">
      <w:pPr>
        <w:spacing w:after="0" w:line="240" w:lineRule="auto"/>
        <w:ind w:left="720" w:right="720"/>
        <w:jc w:val="both"/>
        <w:rPr>
          <w:rFonts w:ascii="Times New Roman" w:hAnsi="Times New Roman" w:cs="Times New Roman"/>
          <w:b/>
          <w:bCs/>
          <w:smallCaps/>
          <w:kern w:val="0"/>
          <w:sz w:val="24"/>
          <w:szCs w:val="24"/>
          <w:u w:val="single"/>
          <w14:ligatures w14:val="none"/>
        </w:rPr>
      </w:pPr>
    </w:p>
    <w:p w14:paraId="7DF7E15E" w14:textId="77777777" w:rsidR="00D52183" w:rsidRPr="00D52183" w:rsidRDefault="00D52183" w:rsidP="00D52183">
      <w:pPr>
        <w:spacing w:after="0" w:line="240" w:lineRule="auto"/>
        <w:ind w:left="720" w:right="720"/>
        <w:jc w:val="both"/>
        <w:rPr>
          <w:rFonts w:ascii="Times New Roman" w:hAnsi="Times New Roman" w:cs="Times New Roman"/>
          <w:color w:val="000000" w:themeColor="text1"/>
          <w:kern w:val="0"/>
          <w:sz w:val="24"/>
          <w:szCs w:val="24"/>
          <w14:ligatures w14:val="none"/>
        </w:rPr>
      </w:pPr>
      <w:r w:rsidRPr="00D52183">
        <w:rPr>
          <w:rFonts w:ascii="Times New Roman Bold" w:hAnsi="Times New Roman Bold" w:cs="Times New Roman"/>
          <w:b/>
          <w:bCs/>
          <w:smallCaps/>
          <w:color w:val="000000" w:themeColor="text1"/>
          <w:kern w:val="0"/>
          <w:sz w:val="24"/>
          <w:szCs w:val="24"/>
          <w:u w:val="single"/>
          <w14:ligatures w14:val="none"/>
        </w:rPr>
        <w:t xml:space="preserve">GUIDELINE </w:t>
      </w:r>
      <w:r w:rsidRPr="00D52183">
        <w:rPr>
          <w:rFonts w:ascii="Times New Roman" w:hAnsi="Times New Roman" w:cs="Times New Roman"/>
          <w:b/>
          <w:bCs/>
          <w:color w:val="000000" w:themeColor="text1"/>
          <w:kern w:val="0"/>
          <w:sz w:val="24"/>
          <w:szCs w:val="24"/>
          <w:u w:val="single"/>
          <w14:ligatures w14:val="none"/>
        </w:rPr>
        <w:t>MDL-§ 7</w:t>
      </w:r>
      <w:r w:rsidRPr="00D52183">
        <w:rPr>
          <w:rFonts w:ascii="Times New Roman" w:hAnsi="Times New Roman" w:cs="Times New Roman"/>
          <w:b/>
          <w:bCs/>
          <w:color w:val="000000" w:themeColor="text1"/>
          <w:kern w:val="0"/>
          <w:sz w:val="24"/>
          <w:szCs w:val="24"/>
          <w14:ligatures w14:val="none"/>
        </w:rPr>
        <w:t xml:space="preserve">:  </w:t>
      </w:r>
      <w:r w:rsidRPr="00D52183">
        <w:rPr>
          <w:rFonts w:ascii="Times New Roman" w:hAnsi="Times New Roman" w:cs="Times New Roman"/>
          <w:color w:val="000000" w:themeColor="text1"/>
          <w:kern w:val="0"/>
          <w:sz w:val="24"/>
          <w:szCs w:val="24"/>
          <w14:ligatures w14:val="none"/>
        </w:rPr>
        <w:t>If the parties have been unsuccessful in negotiating a solution, a judge can hold an evidentiary hearing to estimate the aggregate value of the tort claims.  Permanent MDL-§ 6.</w:t>
      </w:r>
      <w:r w:rsidRPr="00D52183">
        <w:rPr>
          <w:rFonts w:ascii="Times New Roman" w:hAnsi="Times New Roman" w:cs="Times New Roman"/>
          <w:b/>
          <w:bCs/>
          <w:color w:val="000000" w:themeColor="text1"/>
          <w:kern w:val="0"/>
          <w:sz w:val="24"/>
          <w:szCs w:val="24"/>
          <w14:ligatures w14:val="none"/>
        </w:rPr>
        <w:t xml:space="preserve">  </w:t>
      </w:r>
      <w:r w:rsidRPr="00D52183">
        <w:rPr>
          <w:rFonts w:ascii="Times New Roman" w:hAnsi="Times New Roman" w:cs="Times New Roman"/>
          <w:color w:val="000000" w:themeColor="text1"/>
          <w:kern w:val="0"/>
          <w:sz w:val="24"/>
          <w:szCs w:val="24"/>
          <w14:ligatures w14:val="none"/>
        </w:rPr>
        <w:t xml:space="preserve"> </w:t>
      </w:r>
    </w:p>
    <w:p w14:paraId="298DDA8C" w14:textId="77777777" w:rsidR="00D52183" w:rsidRPr="00D52183" w:rsidRDefault="00D52183" w:rsidP="00D52183">
      <w:pPr>
        <w:spacing w:after="0" w:line="240" w:lineRule="auto"/>
        <w:ind w:left="720" w:right="720"/>
        <w:jc w:val="both"/>
        <w:rPr>
          <w:rFonts w:ascii="Times New Roman" w:hAnsi="Times New Roman" w:cs="Times New Roman"/>
          <w:color w:val="000000" w:themeColor="text1"/>
          <w:kern w:val="0"/>
          <w:sz w:val="24"/>
          <w:szCs w:val="24"/>
          <w14:ligatures w14:val="none"/>
        </w:rPr>
      </w:pPr>
    </w:p>
    <w:p w14:paraId="4205E907" w14:textId="77777777" w:rsidR="00D52183" w:rsidRPr="00D52183" w:rsidRDefault="00D52183" w:rsidP="00D52183">
      <w:pPr>
        <w:spacing w:after="0" w:line="360" w:lineRule="auto"/>
        <w:ind w:firstLine="720"/>
        <w:jc w:val="both"/>
        <w:rPr>
          <w:rFonts w:ascii="Times New Roman" w:hAnsi="Times New Roman" w:cs="Times New Roman"/>
          <w:color w:val="000000" w:themeColor="text1"/>
          <w:kern w:val="0"/>
          <w:sz w:val="24"/>
          <w:szCs w:val="24"/>
          <w14:ligatures w14:val="none"/>
        </w:rPr>
      </w:pPr>
      <w:r w:rsidRPr="00D52183">
        <w:rPr>
          <w:rFonts w:ascii="Times New Roman" w:hAnsi="Times New Roman" w:cs="Times New Roman"/>
          <w:color w:val="000000" w:themeColor="text1"/>
          <w:kern w:val="0"/>
          <w:sz w:val="24"/>
          <w:szCs w:val="24"/>
          <w14:ligatures w14:val="none"/>
        </w:rPr>
        <w:t>In a typical lawsuit involving divergent testimony from highly competent experts, the findings of a neutral impartial authority can have a salutary effect on bringing the parties closer to a negotiated settlement. Similarly, in a mass-tort bankruptcy, the findings of a judge on the estimation of the aggregate value of tort claims can provide the debtor and creditors an impartial neutral assessment that can facilitate a negotiated outcome.</w:t>
      </w:r>
      <w:r w:rsidRPr="00D52183">
        <w:rPr>
          <w:rFonts w:ascii="Times New Roman" w:hAnsi="Times New Roman" w:cs="Times New Roman"/>
          <w:color w:val="000000" w:themeColor="text1"/>
          <w:kern w:val="0"/>
          <w:sz w:val="24"/>
          <w:szCs w:val="24"/>
          <w:vertAlign w:val="superscript"/>
          <w14:ligatures w14:val="none"/>
        </w:rPr>
        <w:footnoteReference w:id="1"/>
      </w:r>
      <w:r w:rsidRPr="00D52183">
        <w:rPr>
          <w:rFonts w:ascii="Times New Roman" w:hAnsi="Times New Roman" w:cs="Times New Roman"/>
          <w:color w:val="000000" w:themeColor="text1"/>
          <w:kern w:val="0"/>
          <w:sz w:val="24"/>
          <w:szCs w:val="24"/>
          <w14:ligatures w14:val="none"/>
        </w:rPr>
        <w:t xml:space="preserve">  </w:t>
      </w:r>
    </w:p>
    <w:p w14:paraId="77C985E9" w14:textId="77777777" w:rsidR="00D52183" w:rsidRDefault="00D52183" w:rsidP="00D52183">
      <w:pPr>
        <w:spacing w:after="0" w:line="360" w:lineRule="auto"/>
        <w:ind w:firstLine="720"/>
        <w:jc w:val="both"/>
        <w:rPr>
          <w:rFonts w:ascii="Times New Roman" w:hAnsi="Times New Roman" w:cs="Times New Roman"/>
          <w:color w:val="000000" w:themeColor="text1"/>
          <w:kern w:val="0"/>
          <w:sz w:val="24"/>
          <w:szCs w:val="24"/>
          <w14:ligatures w14:val="none"/>
        </w:rPr>
      </w:pPr>
      <w:proofErr w:type="gramStart"/>
      <w:r w:rsidRPr="00D52183">
        <w:rPr>
          <w:rFonts w:ascii="Times New Roman" w:hAnsi="Times New Roman" w:cs="Times New Roman"/>
          <w:color w:val="000000" w:themeColor="text1"/>
          <w:kern w:val="0"/>
          <w:sz w:val="24"/>
          <w:szCs w:val="24"/>
          <w14:ligatures w14:val="none"/>
        </w:rPr>
        <w:t>A majority of</w:t>
      </w:r>
      <w:proofErr w:type="gramEnd"/>
      <w:r w:rsidRPr="00D52183">
        <w:rPr>
          <w:rFonts w:ascii="Times New Roman" w:hAnsi="Times New Roman" w:cs="Times New Roman"/>
          <w:color w:val="000000" w:themeColor="text1"/>
          <w:kern w:val="0"/>
          <w:sz w:val="24"/>
          <w:szCs w:val="24"/>
          <w14:ligatures w14:val="none"/>
        </w:rPr>
        <w:t xml:space="preserve"> the tort claimants can reject a proposed reorganization plan, which may contain or reflect a judicial estimation of the tort claims. If the plan includes releases or a channeling injunction that cannot issue absent the tort claimants’ affirmative vote, the failure to obtain their consent may be fatal to the reorganization and require additional negotiations.   A bankruptcy judge cannot compel parties to accept a chapter 11 plan or vote in favor of a plan, which may contain the court’s estimation of a debtor’s tort liability. But not all chapter plans in mass-tort cases include injunctions that require a super-majority vote. In this context, the court’s estimation would be used to set an appropriate reserve so that the tort claims are paid in full when they liquidated post-confirmation. Though disfavored, the power to compel acceptance adds undeniable latent persuasive force to the judicial estimation in certain cases.   </w:t>
      </w:r>
    </w:p>
    <w:p w14:paraId="44277F65" w14:textId="77777777" w:rsidR="00D52183" w:rsidRPr="00D52183" w:rsidRDefault="00D52183" w:rsidP="00D52183">
      <w:pPr>
        <w:spacing w:after="0" w:line="360" w:lineRule="auto"/>
        <w:ind w:firstLine="720"/>
        <w:jc w:val="both"/>
        <w:rPr>
          <w:rFonts w:ascii="Times New Roman" w:hAnsi="Times New Roman" w:cs="Times New Roman"/>
          <w:color w:val="000000" w:themeColor="text1"/>
          <w:kern w:val="0"/>
          <w:sz w:val="24"/>
          <w:szCs w:val="24"/>
          <w14:ligatures w14:val="none"/>
        </w:rPr>
      </w:pPr>
    </w:p>
    <w:p w14:paraId="2BE7FEF1" w14:textId="09A0EB87" w:rsidR="00D52183" w:rsidRDefault="00D52183" w:rsidP="00D52183">
      <w:pPr>
        <w:spacing w:after="0" w:line="240" w:lineRule="auto"/>
        <w:ind w:firstLine="720"/>
        <w:jc w:val="center"/>
        <w:rPr>
          <w:rFonts w:ascii="Times New Roman" w:hAnsi="Times New Roman" w:cs="Times New Roman"/>
          <w:color w:val="000000" w:themeColor="text1"/>
          <w:kern w:val="0"/>
          <w:sz w:val="24"/>
          <w:szCs w:val="24"/>
          <w14:ligatures w14:val="none"/>
        </w:rPr>
      </w:pPr>
      <w:bookmarkStart w:id="0" w:name="_Hlk144576953"/>
      <w:r>
        <w:rPr>
          <w:rFonts w:ascii="Times New Roman" w:hAnsi="Times New Roman" w:cs="Times New Roman"/>
          <w:color w:val="000000" w:themeColor="text1"/>
          <w:kern w:val="0"/>
          <w:sz w:val="24"/>
          <w:szCs w:val="24"/>
          <w14:ligatures w14:val="none"/>
        </w:rPr>
        <w:t>*******</w:t>
      </w:r>
    </w:p>
    <w:p w14:paraId="09403024" w14:textId="77777777" w:rsidR="00D52183" w:rsidRPr="00D52183" w:rsidRDefault="00D52183" w:rsidP="00D52183">
      <w:pPr>
        <w:spacing w:after="0" w:line="240" w:lineRule="auto"/>
        <w:ind w:firstLine="720"/>
        <w:jc w:val="center"/>
        <w:rPr>
          <w:rFonts w:ascii="Times New Roman" w:hAnsi="Times New Roman" w:cs="Times New Roman"/>
          <w:color w:val="000000" w:themeColor="text1"/>
          <w:kern w:val="0"/>
          <w:sz w:val="24"/>
          <w:szCs w:val="24"/>
          <w14:ligatures w14:val="none"/>
        </w:rPr>
      </w:pPr>
    </w:p>
    <w:bookmarkEnd w:id="0"/>
    <w:p w14:paraId="7E2C3AEA" w14:textId="77777777" w:rsidR="00D52183" w:rsidRPr="00D52183" w:rsidRDefault="00D52183" w:rsidP="00D52183">
      <w:pPr>
        <w:spacing w:after="0" w:line="240" w:lineRule="auto"/>
        <w:ind w:left="720" w:right="720"/>
        <w:jc w:val="both"/>
        <w:rPr>
          <w:rFonts w:ascii="Times New Roman" w:hAnsi="Times New Roman" w:cs="Times New Roman"/>
          <w:color w:val="000000" w:themeColor="text1"/>
          <w:kern w:val="0"/>
          <w:sz w:val="24"/>
          <w:szCs w:val="24"/>
          <w14:ligatures w14:val="none"/>
        </w:rPr>
      </w:pPr>
      <w:r w:rsidRPr="00D52183">
        <w:rPr>
          <w:rFonts w:ascii="Times New Roman" w:hAnsi="Times New Roman" w:cs="Times New Roman"/>
          <w:b/>
          <w:bCs/>
          <w:color w:val="000000" w:themeColor="text1"/>
          <w:kern w:val="0"/>
          <w:sz w:val="24"/>
          <w:szCs w:val="24"/>
          <w14:ligatures w14:val="none"/>
        </w:rPr>
        <w:t>Best Practice MDL-§ 8(b).</w:t>
      </w:r>
      <w:r w:rsidRPr="00D52183">
        <w:rPr>
          <w:rFonts w:ascii="Times New Roman" w:hAnsi="Times New Roman"/>
          <w:b/>
          <w:bCs/>
          <w:color w:val="000000" w:themeColor="text1"/>
          <w:kern w:val="0"/>
          <w:sz w:val="24"/>
          <w:szCs w:val="24"/>
          <w14:ligatures w14:val="none"/>
        </w:rPr>
        <w:t xml:space="preserve"> </w:t>
      </w:r>
      <w:r w:rsidRPr="00D52183">
        <w:rPr>
          <w:rFonts w:ascii="Times New Roman" w:hAnsi="Times New Roman" w:cs="Times New Roman"/>
          <w:color w:val="000000" w:themeColor="text1"/>
          <w:kern w:val="0"/>
          <w:sz w:val="24"/>
          <w:szCs w:val="24"/>
          <w14:ligatures w14:val="none"/>
        </w:rPr>
        <w:t>The district judge or the bankruptcy judge, if the district court did not withdraw the reference, should, if necessary for a valid bankruptcy purpose, hold an evidentiary hearing on the tort-claims estimation.</w:t>
      </w:r>
      <w:r w:rsidRPr="00D52183">
        <w:rPr>
          <w:rFonts w:ascii="Times New Roman" w:hAnsi="Times New Roman" w:cs="Times New Roman"/>
          <w:color w:val="000000" w:themeColor="text1"/>
          <w:kern w:val="0"/>
          <w:sz w:val="24"/>
          <w:szCs w:val="24"/>
          <w:vertAlign w:val="superscript"/>
          <w14:ligatures w14:val="none"/>
        </w:rPr>
        <w:footnoteReference w:id="2"/>
      </w:r>
      <w:r w:rsidRPr="00D52183">
        <w:rPr>
          <w:rFonts w:ascii="Times New Roman" w:hAnsi="Times New Roman" w:cs="Times New Roman"/>
          <w:color w:val="000000" w:themeColor="text1"/>
          <w:kern w:val="0"/>
          <w:sz w:val="24"/>
          <w:szCs w:val="24"/>
          <w14:ligatures w14:val="none"/>
        </w:rPr>
        <w:t xml:space="preserve"> Permanent No. MDL-§ 7(b).</w:t>
      </w:r>
    </w:p>
    <w:p w14:paraId="01DD1B46" w14:textId="77777777" w:rsidR="00D52183" w:rsidRPr="00D52183" w:rsidRDefault="00D52183" w:rsidP="00D52183">
      <w:pPr>
        <w:spacing w:after="0" w:line="240" w:lineRule="auto"/>
        <w:ind w:left="720" w:right="720"/>
        <w:jc w:val="both"/>
        <w:rPr>
          <w:rFonts w:ascii="Times New Roman" w:hAnsi="Times New Roman" w:cs="Times New Roman"/>
          <w:color w:val="000000" w:themeColor="text1"/>
          <w:kern w:val="0"/>
          <w:sz w:val="24"/>
          <w:szCs w:val="24"/>
          <w14:ligatures w14:val="none"/>
        </w:rPr>
      </w:pPr>
    </w:p>
    <w:p w14:paraId="1A6BEE13" w14:textId="77777777" w:rsidR="00D52183" w:rsidRPr="00D52183" w:rsidRDefault="00D52183" w:rsidP="00D52183">
      <w:pPr>
        <w:spacing w:after="0" w:line="360" w:lineRule="auto"/>
        <w:jc w:val="both"/>
        <w:rPr>
          <w:rFonts w:ascii="Times New Roman" w:hAnsi="Times New Roman" w:cs="Times New Roman"/>
          <w:color w:val="000000" w:themeColor="text1"/>
          <w:kern w:val="0"/>
          <w:sz w:val="24"/>
          <w:szCs w:val="24"/>
          <w14:ligatures w14:val="none"/>
        </w:rPr>
      </w:pPr>
      <w:r w:rsidRPr="00D52183">
        <w:rPr>
          <w:rFonts w:ascii="Times New Roman" w:hAnsi="Times New Roman" w:cs="Times New Roman"/>
          <w:color w:val="000000" w:themeColor="text1"/>
          <w:kern w:val="0"/>
          <w:sz w:val="24"/>
          <w:szCs w:val="24"/>
          <w14:ligatures w14:val="none"/>
        </w:rPr>
        <w:tab/>
        <w:t xml:space="preserve">A judge faced with the difficult task of estimating the aggregate value of thousands of tort claims must rely on their experience and approaches taken on other complex scientific or technical problems.  The judge, either a district judge who is assigned the judicial estimation or the bankruptcy judge if the reference was not withdrawn, should consult with the parties and schedule an evidentiary hearing to estimate the aggregate value of the tort claims. </w:t>
      </w:r>
    </w:p>
    <w:p w14:paraId="399917BC" w14:textId="77777777" w:rsidR="00D52183" w:rsidRPr="00D52183" w:rsidRDefault="00D52183" w:rsidP="00D52183">
      <w:pPr>
        <w:spacing w:after="0" w:line="240" w:lineRule="auto"/>
        <w:ind w:left="720" w:right="720"/>
        <w:jc w:val="both"/>
        <w:rPr>
          <w:rFonts w:ascii="Times New Roman" w:hAnsi="Times New Roman" w:cs="Times New Roman"/>
          <w:color w:val="000000" w:themeColor="text1"/>
          <w:kern w:val="0"/>
          <w:sz w:val="24"/>
          <w:szCs w:val="24"/>
          <w14:ligatures w14:val="none"/>
        </w:rPr>
      </w:pPr>
      <w:r w:rsidRPr="00D52183">
        <w:rPr>
          <w:rFonts w:ascii="Times New Roman" w:hAnsi="Times New Roman" w:cs="Times New Roman"/>
          <w:b/>
          <w:bCs/>
          <w:color w:val="000000" w:themeColor="text1"/>
          <w:kern w:val="0"/>
          <w:sz w:val="24"/>
          <w:szCs w:val="24"/>
          <w14:ligatures w14:val="none"/>
        </w:rPr>
        <w:t>Best Practice MDL-§ 8(b)(</w:t>
      </w:r>
      <w:proofErr w:type="spellStart"/>
      <w:r w:rsidRPr="00D52183">
        <w:rPr>
          <w:rFonts w:ascii="Times New Roman" w:hAnsi="Times New Roman" w:cs="Times New Roman"/>
          <w:b/>
          <w:bCs/>
          <w:color w:val="000000" w:themeColor="text1"/>
          <w:kern w:val="0"/>
          <w:sz w:val="24"/>
          <w:szCs w:val="24"/>
          <w14:ligatures w14:val="none"/>
        </w:rPr>
        <w:t>i</w:t>
      </w:r>
      <w:proofErr w:type="spellEnd"/>
      <w:r w:rsidRPr="00D52183">
        <w:rPr>
          <w:rFonts w:ascii="Times New Roman" w:hAnsi="Times New Roman" w:cs="Times New Roman"/>
          <w:b/>
          <w:bCs/>
          <w:color w:val="000000" w:themeColor="text1"/>
          <w:kern w:val="0"/>
          <w:sz w:val="24"/>
          <w:szCs w:val="24"/>
          <w14:ligatures w14:val="none"/>
        </w:rPr>
        <w:t xml:space="preserve">): </w:t>
      </w:r>
      <w:r w:rsidRPr="00D52183">
        <w:rPr>
          <w:rFonts w:ascii="Times New Roman" w:hAnsi="Times New Roman" w:cs="Times New Roman"/>
          <w:color w:val="000000" w:themeColor="text1"/>
          <w:kern w:val="0"/>
          <w:sz w:val="24"/>
          <w:szCs w:val="24"/>
          <w14:ligatures w14:val="none"/>
        </w:rPr>
        <w:t>The judge presiding over an evidentiary hearing to estimate the aggregate value of tort claims should hear evidence presented by all parties. Permanent No. MDL-§ 7(b)(</w:t>
      </w:r>
      <w:proofErr w:type="spellStart"/>
      <w:r w:rsidRPr="00D52183">
        <w:rPr>
          <w:rFonts w:ascii="Times New Roman" w:hAnsi="Times New Roman" w:cs="Times New Roman"/>
          <w:color w:val="000000" w:themeColor="text1"/>
          <w:kern w:val="0"/>
          <w:sz w:val="24"/>
          <w:szCs w:val="24"/>
          <w14:ligatures w14:val="none"/>
        </w:rPr>
        <w:t>i</w:t>
      </w:r>
      <w:proofErr w:type="spellEnd"/>
      <w:r w:rsidRPr="00D52183">
        <w:rPr>
          <w:rFonts w:ascii="Times New Roman" w:hAnsi="Times New Roman" w:cs="Times New Roman"/>
          <w:color w:val="000000" w:themeColor="text1"/>
          <w:kern w:val="0"/>
          <w:sz w:val="24"/>
          <w:szCs w:val="24"/>
          <w14:ligatures w14:val="none"/>
        </w:rPr>
        <w:t>).</w:t>
      </w:r>
    </w:p>
    <w:p w14:paraId="4130670E" w14:textId="77777777" w:rsidR="00D52183" w:rsidRPr="00D52183" w:rsidRDefault="00D52183" w:rsidP="00D52183">
      <w:pPr>
        <w:spacing w:after="0" w:line="240" w:lineRule="auto"/>
        <w:ind w:left="720" w:right="720"/>
        <w:jc w:val="both"/>
        <w:rPr>
          <w:rFonts w:ascii="Times New Roman" w:hAnsi="Times New Roman" w:cs="Times New Roman"/>
          <w:color w:val="000000" w:themeColor="text1"/>
          <w:kern w:val="0"/>
          <w:sz w:val="24"/>
          <w:szCs w:val="24"/>
          <w14:ligatures w14:val="none"/>
        </w:rPr>
      </w:pPr>
    </w:p>
    <w:p w14:paraId="78EE632B" w14:textId="77777777" w:rsidR="00D52183" w:rsidRPr="00D52183" w:rsidRDefault="00D52183" w:rsidP="00D52183">
      <w:pPr>
        <w:spacing w:after="0" w:line="360" w:lineRule="auto"/>
        <w:ind w:firstLine="720"/>
        <w:jc w:val="both"/>
        <w:rPr>
          <w:rFonts w:ascii="Times New Roman" w:hAnsi="Times New Roman" w:cs="Times New Roman"/>
          <w:color w:val="000000" w:themeColor="text1"/>
          <w:kern w:val="0"/>
          <w:sz w:val="24"/>
          <w:szCs w:val="24"/>
          <w14:ligatures w14:val="none"/>
        </w:rPr>
      </w:pPr>
      <w:r w:rsidRPr="00D52183">
        <w:rPr>
          <w:rFonts w:ascii="Times New Roman" w:hAnsi="Times New Roman" w:cs="Times New Roman"/>
          <w:color w:val="000000" w:themeColor="text1"/>
          <w:kern w:val="0"/>
          <w:sz w:val="24"/>
          <w:szCs w:val="24"/>
          <w14:ligatures w14:val="none"/>
        </w:rPr>
        <w:t xml:space="preserve">An evidentiary hearing typically involves testimony from experts representing any unsecured creditors’ committee, tort claimants committee, equity committee, future claims representative, and the debtor.  In some cases, experts for insurers or other parties who have indemnified the debtors have also participated.   </w:t>
      </w:r>
    </w:p>
    <w:p w14:paraId="6C5F55B7" w14:textId="77777777" w:rsidR="00D52183" w:rsidRPr="00D52183" w:rsidRDefault="00D52183" w:rsidP="00D52183">
      <w:pPr>
        <w:spacing w:after="0" w:line="360" w:lineRule="auto"/>
        <w:ind w:firstLine="720"/>
        <w:jc w:val="both"/>
        <w:rPr>
          <w:rFonts w:ascii="Times New Roman" w:hAnsi="Times New Roman" w:cs="Times New Roman"/>
          <w:color w:val="000000" w:themeColor="text1"/>
          <w:kern w:val="0"/>
          <w:sz w:val="24"/>
          <w:szCs w:val="24"/>
          <w14:ligatures w14:val="none"/>
        </w:rPr>
      </w:pPr>
      <w:r w:rsidRPr="00D52183">
        <w:rPr>
          <w:rFonts w:ascii="Times New Roman" w:hAnsi="Times New Roman" w:cs="Times New Roman"/>
          <w:color w:val="000000" w:themeColor="text1"/>
          <w:kern w:val="0"/>
          <w:sz w:val="24"/>
          <w:szCs w:val="24"/>
          <w14:ligatures w14:val="none"/>
        </w:rPr>
        <w:t>The evidentiary hearing should address: (1) the aggregate volume and value of tort claims as adjusted by the probability that the claims will be sustainable and satisfied by any trust formed under the proposed reorganization plan; and (2) an average claim value to weigh claims for voting purposes for specified categories of tort claimants.</w:t>
      </w:r>
      <w:r w:rsidRPr="00D52183">
        <w:rPr>
          <w:rFonts w:ascii="Times New Roman" w:hAnsi="Times New Roman" w:cs="Times New Roman"/>
          <w:color w:val="000000" w:themeColor="text1"/>
          <w:kern w:val="0"/>
          <w:sz w:val="24"/>
          <w:szCs w:val="24"/>
          <w:vertAlign w:val="superscript"/>
          <w14:ligatures w14:val="none"/>
        </w:rPr>
        <w:footnoteReference w:id="3"/>
      </w:r>
      <w:r w:rsidRPr="00D52183">
        <w:rPr>
          <w:rFonts w:ascii="Times New Roman" w:hAnsi="Times New Roman" w:cs="Times New Roman"/>
          <w:color w:val="000000" w:themeColor="text1"/>
          <w:kern w:val="0"/>
          <w:sz w:val="24"/>
          <w:szCs w:val="24"/>
          <w14:ligatures w14:val="none"/>
        </w:rPr>
        <w:t xml:space="preserve"> </w:t>
      </w:r>
    </w:p>
    <w:p w14:paraId="2068394E" w14:textId="77777777" w:rsidR="00D52183" w:rsidRDefault="00D52183" w:rsidP="00D52183">
      <w:pPr>
        <w:spacing w:after="0" w:line="240" w:lineRule="auto"/>
        <w:ind w:left="720" w:right="720"/>
        <w:jc w:val="both"/>
        <w:rPr>
          <w:rFonts w:ascii="Times New Roman" w:hAnsi="Times New Roman" w:cs="Times New Roman"/>
          <w:color w:val="000000" w:themeColor="text1"/>
          <w:kern w:val="0"/>
          <w:sz w:val="24"/>
          <w:szCs w:val="24"/>
          <w14:ligatures w14:val="none"/>
        </w:rPr>
      </w:pPr>
      <w:r w:rsidRPr="00D52183">
        <w:rPr>
          <w:rFonts w:ascii="Times New Roman" w:hAnsi="Times New Roman" w:cs="Times New Roman"/>
          <w:b/>
          <w:bCs/>
          <w:color w:val="000000" w:themeColor="text1"/>
          <w:kern w:val="0"/>
          <w:sz w:val="24"/>
          <w:szCs w:val="24"/>
          <w14:ligatures w14:val="none"/>
        </w:rPr>
        <w:t>Best Practice MDL-§ 8(b)(</w:t>
      </w:r>
      <w:proofErr w:type="spellStart"/>
      <w:r w:rsidRPr="00D52183">
        <w:rPr>
          <w:rFonts w:ascii="Times New Roman" w:hAnsi="Times New Roman" w:cs="Times New Roman"/>
          <w:b/>
          <w:bCs/>
          <w:color w:val="000000" w:themeColor="text1"/>
          <w:kern w:val="0"/>
          <w:sz w:val="24"/>
          <w:szCs w:val="24"/>
          <w14:ligatures w14:val="none"/>
        </w:rPr>
        <w:t>i</w:t>
      </w:r>
      <w:proofErr w:type="spellEnd"/>
      <w:r w:rsidRPr="00D52183">
        <w:rPr>
          <w:rFonts w:ascii="Times New Roman" w:hAnsi="Times New Roman" w:cs="Times New Roman"/>
          <w:b/>
          <w:bCs/>
          <w:color w:val="000000" w:themeColor="text1"/>
          <w:kern w:val="0"/>
          <w:sz w:val="24"/>
          <w:szCs w:val="24"/>
          <w14:ligatures w14:val="none"/>
        </w:rPr>
        <w:t>):</w:t>
      </w:r>
      <w:r w:rsidRPr="00D52183">
        <w:rPr>
          <w:rFonts w:ascii="Times New Roman" w:hAnsi="Times New Roman"/>
          <w:b/>
          <w:bCs/>
          <w:color w:val="000000" w:themeColor="text1"/>
          <w:kern w:val="0"/>
          <w:sz w:val="24"/>
          <w:szCs w:val="24"/>
          <w14:ligatures w14:val="none"/>
        </w:rPr>
        <w:t xml:space="preserve"> </w:t>
      </w:r>
      <w:r w:rsidRPr="00D52183">
        <w:rPr>
          <w:rFonts w:ascii="Times New Roman" w:hAnsi="Times New Roman" w:cs="Times New Roman"/>
          <w:color w:val="000000" w:themeColor="text1"/>
          <w:kern w:val="0"/>
          <w:sz w:val="24"/>
          <w:szCs w:val="24"/>
          <w14:ligatures w14:val="none"/>
        </w:rPr>
        <w:t>The judicial estimation of the aggregate value of tort claims should account for the probability that actions in particular categories will be sustainable. (Permanent B-10(b)(1)(</w:t>
      </w:r>
      <w:proofErr w:type="spellStart"/>
      <w:r w:rsidRPr="00D52183">
        <w:rPr>
          <w:rFonts w:ascii="Times New Roman" w:hAnsi="Times New Roman" w:cs="Times New Roman"/>
          <w:color w:val="000000" w:themeColor="text1"/>
          <w:kern w:val="0"/>
          <w:sz w:val="24"/>
          <w:szCs w:val="24"/>
          <w14:ligatures w14:val="none"/>
        </w:rPr>
        <w:t>i</w:t>
      </w:r>
      <w:proofErr w:type="spellEnd"/>
      <w:r w:rsidRPr="00D52183">
        <w:rPr>
          <w:rFonts w:ascii="Times New Roman" w:hAnsi="Times New Roman" w:cs="Times New Roman"/>
          <w:color w:val="000000" w:themeColor="text1"/>
          <w:kern w:val="0"/>
          <w:sz w:val="24"/>
          <w:szCs w:val="24"/>
          <w14:ligatures w14:val="none"/>
        </w:rPr>
        <w:t>))</w:t>
      </w:r>
    </w:p>
    <w:p w14:paraId="3314B2DF" w14:textId="77777777" w:rsidR="007744DB" w:rsidRPr="00D52183" w:rsidRDefault="007744DB" w:rsidP="00D52183">
      <w:pPr>
        <w:spacing w:after="0" w:line="240" w:lineRule="auto"/>
        <w:ind w:left="720" w:right="720"/>
        <w:jc w:val="both"/>
        <w:rPr>
          <w:rFonts w:ascii="Times New Roman" w:hAnsi="Times New Roman" w:cs="Times New Roman"/>
          <w:b/>
          <w:bCs/>
          <w:color w:val="000000" w:themeColor="text1"/>
          <w:kern w:val="0"/>
          <w:sz w:val="24"/>
          <w:szCs w:val="24"/>
          <w14:ligatures w14:val="none"/>
        </w:rPr>
      </w:pPr>
    </w:p>
    <w:p w14:paraId="596B277F" w14:textId="77777777" w:rsidR="00D52183" w:rsidRPr="00D52183" w:rsidRDefault="00D52183" w:rsidP="00D52183">
      <w:pPr>
        <w:spacing w:after="0" w:line="360" w:lineRule="auto"/>
        <w:ind w:firstLine="720"/>
        <w:jc w:val="both"/>
        <w:rPr>
          <w:rFonts w:ascii="Times New Roman" w:hAnsi="Times New Roman" w:cs="Times New Roman"/>
          <w:color w:val="000000" w:themeColor="text1"/>
          <w:kern w:val="0"/>
          <w:sz w:val="24"/>
          <w:szCs w:val="24"/>
          <w14:ligatures w14:val="none"/>
        </w:rPr>
      </w:pPr>
      <w:r w:rsidRPr="00D52183">
        <w:rPr>
          <w:rFonts w:ascii="Times New Roman" w:hAnsi="Times New Roman" w:cs="Times New Roman"/>
          <w:color w:val="000000" w:themeColor="text1"/>
          <w:kern w:val="0"/>
          <w:sz w:val="24"/>
          <w:szCs w:val="24"/>
          <w14:ligatures w14:val="none"/>
        </w:rPr>
        <w:t>The estimates of the value of the tort claims are, as a practical matter, ordinarily made on a category basis, grouping related claims by types of disease or injuries and assigning an average value to each category.</w:t>
      </w:r>
      <w:r w:rsidRPr="00D52183">
        <w:rPr>
          <w:rFonts w:ascii="Times New Roman" w:hAnsi="Times New Roman" w:cs="Times New Roman"/>
          <w:color w:val="000000" w:themeColor="text1"/>
          <w:kern w:val="0"/>
          <w:sz w:val="24"/>
          <w:szCs w:val="24"/>
          <w:vertAlign w:val="superscript"/>
          <w14:ligatures w14:val="none"/>
        </w:rPr>
        <w:footnoteReference w:id="4"/>
      </w:r>
      <w:r w:rsidRPr="00D52183">
        <w:rPr>
          <w:rFonts w:ascii="Times New Roman" w:hAnsi="Times New Roman" w:cs="Times New Roman"/>
          <w:color w:val="000000" w:themeColor="text1"/>
          <w:kern w:val="0"/>
          <w:sz w:val="24"/>
          <w:szCs w:val="24"/>
          <w14:ligatures w14:val="none"/>
        </w:rPr>
        <w:t xml:space="preserve">  The probability that actions in a particular category will be sustainable </w:t>
      </w:r>
      <w:r w:rsidRPr="00D52183">
        <w:rPr>
          <w:rFonts w:ascii="Times New Roman" w:hAnsi="Times New Roman" w:cs="Times New Roman"/>
          <w:color w:val="000000" w:themeColor="text1"/>
          <w:kern w:val="0"/>
          <w:sz w:val="24"/>
          <w:szCs w:val="24"/>
          <w14:ligatures w14:val="none"/>
        </w:rPr>
        <w:lastRenderedPageBreak/>
        <w:t>can vary from high to low, depending on the strength of the claim, which is factored into the calculation of the average values.</w:t>
      </w:r>
      <w:r w:rsidRPr="00D52183">
        <w:rPr>
          <w:rFonts w:ascii="Times New Roman" w:hAnsi="Times New Roman" w:cs="Times New Roman"/>
          <w:color w:val="000000" w:themeColor="text1"/>
          <w:kern w:val="0"/>
          <w:sz w:val="24"/>
          <w:szCs w:val="24"/>
          <w:vertAlign w:val="superscript"/>
          <w14:ligatures w14:val="none"/>
        </w:rPr>
        <w:footnoteReference w:id="5"/>
      </w:r>
      <w:r w:rsidRPr="00D52183">
        <w:rPr>
          <w:rFonts w:ascii="Times New Roman" w:hAnsi="Times New Roman" w:cs="Times New Roman"/>
          <w:color w:val="000000" w:themeColor="text1"/>
          <w:kern w:val="0"/>
          <w:sz w:val="24"/>
          <w:szCs w:val="24"/>
          <w14:ligatures w14:val="none"/>
        </w:rPr>
        <w:t xml:space="preserve">  In asbestos mass-tort bankruptcies, for example, extensive settlement histories have traditionally been relied on to estimate the aggregate values of the tort claims.</w:t>
      </w:r>
      <w:r w:rsidRPr="00D52183">
        <w:rPr>
          <w:rFonts w:ascii="Times New Roman" w:hAnsi="Times New Roman" w:cs="Times New Roman"/>
          <w:color w:val="000000" w:themeColor="text1"/>
          <w:kern w:val="0"/>
          <w:sz w:val="24"/>
          <w:szCs w:val="24"/>
          <w:vertAlign w:val="superscript"/>
          <w14:ligatures w14:val="none"/>
        </w:rPr>
        <w:footnoteReference w:id="6"/>
      </w:r>
      <w:r w:rsidRPr="00D52183">
        <w:rPr>
          <w:rFonts w:ascii="Times New Roman" w:hAnsi="Times New Roman" w:cs="Times New Roman"/>
          <w:color w:val="000000" w:themeColor="text1"/>
          <w:kern w:val="0"/>
          <w:sz w:val="24"/>
          <w:szCs w:val="24"/>
          <w14:ligatures w14:val="none"/>
        </w:rPr>
        <w:t xml:space="preserve">  The theory being that the past settlement amounts approximate the value of future claims.  But this theory has been challenged in cases when some debtors have asserted that past settlement amounts do not approximate the value of present claims because the past claims were settled without access to complete information about a claimant’s exposure to other products or settlement amounts received from co-defendants.   </w:t>
      </w:r>
    </w:p>
    <w:p w14:paraId="7ED71BE2" w14:textId="77777777" w:rsidR="00D52183" w:rsidRPr="00D52183" w:rsidRDefault="00D52183" w:rsidP="00D52183">
      <w:pPr>
        <w:spacing w:after="0" w:line="360" w:lineRule="auto"/>
        <w:ind w:firstLine="720"/>
        <w:jc w:val="both"/>
        <w:rPr>
          <w:rFonts w:ascii="Times New Roman" w:hAnsi="Times New Roman" w:cs="Times New Roman"/>
          <w:color w:val="000000" w:themeColor="text1"/>
          <w:kern w:val="0"/>
          <w:sz w:val="24"/>
          <w:szCs w:val="24"/>
          <w14:ligatures w14:val="none"/>
        </w:rPr>
      </w:pPr>
      <w:r w:rsidRPr="00D52183">
        <w:rPr>
          <w:rFonts w:ascii="Times New Roman" w:hAnsi="Times New Roman" w:cs="Times New Roman"/>
          <w:color w:val="000000" w:themeColor="text1"/>
          <w:kern w:val="0"/>
          <w:sz w:val="24"/>
          <w:szCs w:val="24"/>
          <w14:ligatures w14:val="none"/>
        </w:rPr>
        <w:t>The determination of individual claim values is usually left to be decided in post-confirmation proceedings involving a claim-distribution trust. Courts have generally denied attempts to challenge the validity of large numbers of tort claims based on defenses that the debtor asserts.</w:t>
      </w:r>
      <w:r w:rsidRPr="00D52183">
        <w:rPr>
          <w:rFonts w:ascii="Times New Roman" w:hAnsi="Times New Roman" w:cs="Times New Roman"/>
          <w:color w:val="000000" w:themeColor="text1"/>
          <w:kern w:val="0"/>
          <w:sz w:val="24"/>
          <w:szCs w:val="24"/>
          <w:vertAlign w:val="superscript"/>
          <w14:ligatures w14:val="none"/>
        </w:rPr>
        <w:footnoteReference w:id="7"/>
      </w:r>
      <w:r w:rsidRPr="00D52183">
        <w:rPr>
          <w:rFonts w:ascii="Times New Roman" w:hAnsi="Times New Roman" w:cs="Times New Roman"/>
          <w:color w:val="000000" w:themeColor="text1"/>
          <w:kern w:val="0"/>
          <w:sz w:val="24"/>
          <w:szCs w:val="24"/>
          <w14:ligatures w14:val="none"/>
        </w:rPr>
        <w:t xml:space="preserve"> </w:t>
      </w:r>
    </w:p>
    <w:p w14:paraId="1D55AAC2" w14:textId="77777777" w:rsidR="00D52183" w:rsidRPr="00D52183" w:rsidRDefault="00D52183" w:rsidP="00D52183">
      <w:pPr>
        <w:spacing w:after="0" w:line="360" w:lineRule="auto"/>
        <w:ind w:firstLine="720"/>
        <w:jc w:val="both"/>
        <w:rPr>
          <w:rFonts w:ascii="Times New Roman" w:hAnsi="Times New Roman" w:cs="Times New Roman"/>
          <w:color w:val="000000" w:themeColor="text1"/>
          <w:kern w:val="0"/>
          <w:sz w:val="24"/>
          <w:szCs w:val="24"/>
          <w14:ligatures w14:val="none"/>
        </w:rPr>
      </w:pPr>
      <w:r w:rsidRPr="00D52183">
        <w:rPr>
          <w:rFonts w:ascii="Times New Roman" w:hAnsi="Times New Roman" w:cs="Times New Roman"/>
          <w:color w:val="000000" w:themeColor="text1"/>
          <w:kern w:val="0"/>
          <w:sz w:val="24"/>
          <w:szCs w:val="24"/>
          <w14:ligatures w14:val="none"/>
        </w:rPr>
        <w:t xml:space="preserve">That does not mean, however, that the validity of claims in calculating the average values of tort claims is not considered in the judicial estimation. The strength and probability that individual categories of tort claims will be sustainable is a key component of the judicial estimation.  In other words, because the estimated average value of a category of tort claims will reflect the probability of success at trial, the estimation will account for challenges to the validity of the claims. </w:t>
      </w:r>
    </w:p>
    <w:p w14:paraId="7A849F7A" w14:textId="77777777" w:rsidR="00D52183" w:rsidRPr="00D52183" w:rsidRDefault="00D52183" w:rsidP="00D52183">
      <w:pPr>
        <w:spacing w:after="0" w:line="360" w:lineRule="auto"/>
        <w:ind w:firstLine="720"/>
        <w:jc w:val="both"/>
        <w:rPr>
          <w:rFonts w:ascii="Times New Roman" w:hAnsi="Times New Roman" w:cs="Times New Roman"/>
          <w:b/>
          <w:bCs/>
          <w:color w:val="000000" w:themeColor="text1"/>
          <w:kern w:val="0"/>
          <w:sz w:val="24"/>
          <w:szCs w:val="24"/>
          <w14:ligatures w14:val="none"/>
        </w:rPr>
      </w:pPr>
      <w:r w:rsidRPr="00D52183">
        <w:rPr>
          <w:rFonts w:ascii="Times New Roman" w:hAnsi="Times New Roman" w:cs="Times New Roman"/>
          <w:color w:val="000000" w:themeColor="text1"/>
          <w:kern w:val="0"/>
          <w:sz w:val="24"/>
          <w:szCs w:val="24"/>
          <w14:ligatures w14:val="none"/>
        </w:rPr>
        <w:t xml:space="preserve">For example, historically, a significant percentage of the thousands of actions filed in an individual mass-tort MDL are not infrequently unsupportable, because the plaintiffs did not use the relevant product or did not suffer the alleged injuries, or the applicable statute of limitations </w:t>
      </w:r>
      <w:r w:rsidRPr="00D52183">
        <w:rPr>
          <w:rFonts w:ascii="Times New Roman" w:hAnsi="Times New Roman" w:cs="Times New Roman"/>
          <w:color w:val="000000" w:themeColor="text1"/>
          <w:kern w:val="0"/>
          <w:sz w:val="24"/>
          <w:szCs w:val="24"/>
          <w14:ligatures w14:val="none"/>
        </w:rPr>
        <w:lastRenderedPageBreak/>
        <w:t>had run.</w:t>
      </w:r>
      <w:r w:rsidRPr="00D52183">
        <w:rPr>
          <w:rFonts w:ascii="Times New Roman" w:hAnsi="Times New Roman" w:cs="Times New Roman"/>
          <w:color w:val="000000" w:themeColor="text1"/>
          <w:kern w:val="0"/>
          <w:sz w:val="24"/>
          <w:szCs w:val="24"/>
          <w:vertAlign w:val="superscript"/>
          <w14:ligatures w14:val="none"/>
        </w:rPr>
        <w:footnoteReference w:id="8"/>
      </w:r>
      <w:r w:rsidRPr="00D52183">
        <w:rPr>
          <w:rFonts w:ascii="Times New Roman" w:hAnsi="Times New Roman" w:cs="Times New Roman"/>
          <w:color w:val="000000" w:themeColor="text1"/>
          <w:kern w:val="0"/>
          <w:sz w:val="24"/>
          <w:szCs w:val="24"/>
          <w14:ligatures w14:val="none"/>
        </w:rPr>
        <w:t xml:space="preserve"> Another example included a category of a new type of tort claims filed after the MDL was brought into bankruptcy, which the creditors committee asserted were nuisance-settlement claims and virtually valueless.</w:t>
      </w:r>
      <w:r w:rsidRPr="00D52183">
        <w:rPr>
          <w:rFonts w:ascii="Times New Roman" w:hAnsi="Times New Roman" w:cs="Times New Roman"/>
          <w:color w:val="000000" w:themeColor="text1"/>
          <w:kern w:val="0"/>
          <w:sz w:val="24"/>
          <w:szCs w:val="24"/>
          <w:vertAlign w:val="superscript"/>
          <w14:ligatures w14:val="none"/>
        </w:rPr>
        <w:footnoteReference w:id="9"/>
      </w:r>
      <w:r w:rsidRPr="00D52183">
        <w:rPr>
          <w:rFonts w:ascii="Times New Roman" w:hAnsi="Times New Roman" w:cs="Times New Roman"/>
          <w:color w:val="000000" w:themeColor="text1"/>
          <w:kern w:val="0"/>
          <w:sz w:val="24"/>
          <w:szCs w:val="24"/>
          <w14:ligatures w14:val="none"/>
        </w:rPr>
        <w:t xml:space="preserve"> Yet another example involved assertions by the debtor that intervening scientific studies and other developments superseded the validity of the earlier settlements of particular categories of claims.</w:t>
      </w:r>
      <w:r w:rsidRPr="00D52183">
        <w:rPr>
          <w:rFonts w:ascii="Times New Roman" w:hAnsi="Times New Roman" w:cs="Times New Roman"/>
          <w:color w:val="000000" w:themeColor="text1"/>
          <w:kern w:val="0"/>
          <w:sz w:val="24"/>
          <w:szCs w:val="24"/>
          <w:vertAlign w:val="superscript"/>
          <w14:ligatures w14:val="none"/>
        </w:rPr>
        <w:t xml:space="preserve"> </w:t>
      </w:r>
      <w:r w:rsidRPr="00D52183">
        <w:rPr>
          <w:rFonts w:ascii="Times New Roman" w:hAnsi="Times New Roman" w:cs="Times New Roman"/>
          <w:color w:val="000000" w:themeColor="text1"/>
          <w:kern w:val="0"/>
          <w:sz w:val="24"/>
          <w:szCs w:val="24"/>
          <w:vertAlign w:val="superscript"/>
          <w14:ligatures w14:val="none"/>
        </w:rPr>
        <w:footnoteReference w:id="10"/>
      </w:r>
      <w:r w:rsidRPr="00D52183">
        <w:rPr>
          <w:rFonts w:ascii="Times New Roman" w:hAnsi="Times New Roman" w:cs="Times New Roman"/>
          <w:color w:val="000000" w:themeColor="text1"/>
          <w:kern w:val="0"/>
          <w:sz w:val="24"/>
          <w:szCs w:val="24"/>
          <w14:ligatures w14:val="none"/>
        </w:rPr>
        <w:t xml:space="preserve">  These examples have in common challenges to the validity or merits of selected categories of tort claims, which would be accounted for in the judicial estimation. </w:t>
      </w:r>
    </w:p>
    <w:p w14:paraId="4CE704B4" w14:textId="77777777" w:rsidR="00D52183" w:rsidRPr="00D52183" w:rsidRDefault="00D52183" w:rsidP="00D52183">
      <w:pPr>
        <w:spacing w:after="0" w:line="240" w:lineRule="auto"/>
        <w:ind w:left="720" w:right="720" w:firstLine="720"/>
        <w:jc w:val="both"/>
        <w:rPr>
          <w:rFonts w:ascii="Times New Roman" w:hAnsi="Times New Roman"/>
          <w:b/>
          <w:bCs/>
          <w:color w:val="000000" w:themeColor="text1"/>
          <w:kern w:val="0"/>
          <w:sz w:val="24"/>
          <w:szCs w:val="24"/>
          <w14:ligatures w14:val="none"/>
        </w:rPr>
      </w:pPr>
      <w:r w:rsidRPr="00D52183">
        <w:rPr>
          <w:rFonts w:ascii="Times New Roman" w:hAnsi="Times New Roman" w:cs="Times New Roman"/>
          <w:b/>
          <w:bCs/>
          <w:color w:val="000000" w:themeColor="text1"/>
          <w:kern w:val="0"/>
          <w:sz w:val="24"/>
          <w:szCs w:val="24"/>
          <w14:ligatures w14:val="none"/>
        </w:rPr>
        <w:t>Best Practice MDL-§ 8(b)(</w:t>
      </w:r>
      <w:proofErr w:type="spellStart"/>
      <w:r w:rsidRPr="00D52183">
        <w:rPr>
          <w:rFonts w:ascii="Times New Roman" w:hAnsi="Times New Roman" w:cs="Times New Roman"/>
          <w:b/>
          <w:bCs/>
          <w:color w:val="000000" w:themeColor="text1"/>
          <w:kern w:val="0"/>
          <w:sz w:val="24"/>
          <w:szCs w:val="24"/>
          <w14:ligatures w14:val="none"/>
        </w:rPr>
        <w:t>i</w:t>
      </w:r>
      <w:proofErr w:type="spellEnd"/>
      <w:r w:rsidRPr="00D52183">
        <w:rPr>
          <w:rFonts w:ascii="Times New Roman" w:hAnsi="Times New Roman" w:cs="Times New Roman"/>
          <w:b/>
          <w:bCs/>
          <w:color w:val="000000" w:themeColor="text1"/>
          <w:kern w:val="0"/>
          <w:sz w:val="24"/>
          <w:szCs w:val="24"/>
          <w14:ligatures w14:val="none"/>
        </w:rPr>
        <w:t>)(A):</w:t>
      </w:r>
      <w:r w:rsidRPr="00D52183">
        <w:rPr>
          <w:rFonts w:ascii="Times New Roman" w:hAnsi="Times New Roman"/>
          <w:b/>
          <w:bCs/>
          <w:color w:val="000000" w:themeColor="text1"/>
          <w:kern w:val="0"/>
          <w:sz w:val="24"/>
          <w:szCs w:val="24"/>
          <w14:ligatures w14:val="none"/>
        </w:rPr>
        <w:t xml:space="preserve"> </w:t>
      </w:r>
      <w:r w:rsidRPr="00D52183">
        <w:rPr>
          <w:rFonts w:ascii="Times New Roman" w:hAnsi="Times New Roman" w:cs="Times New Roman"/>
          <w:color w:val="000000" w:themeColor="text1"/>
          <w:kern w:val="0"/>
          <w:sz w:val="24"/>
          <w:szCs w:val="24"/>
          <w14:ligatures w14:val="none"/>
        </w:rPr>
        <w:t>The bankruptcy judge should consider the general probability of certain defenses being successful against categories or large numbers of claims in the judicial estimation, instead of making dispositive rulings on the tort claims. Permanent MDL-§ 7(b)(</w:t>
      </w:r>
      <w:proofErr w:type="spellStart"/>
      <w:r w:rsidRPr="00D52183">
        <w:rPr>
          <w:rFonts w:ascii="Times New Roman" w:hAnsi="Times New Roman" w:cs="Times New Roman"/>
          <w:color w:val="000000" w:themeColor="text1"/>
          <w:kern w:val="0"/>
          <w:sz w:val="24"/>
          <w:szCs w:val="24"/>
          <w14:ligatures w14:val="none"/>
        </w:rPr>
        <w:t>i</w:t>
      </w:r>
      <w:proofErr w:type="spellEnd"/>
      <w:r w:rsidRPr="00D52183">
        <w:rPr>
          <w:rFonts w:ascii="Times New Roman" w:hAnsi="Times New Roman" w:cs="Times New Roman"/>
          <w:color w:val="000000" w:themeColor="text1"/>
          <w:kern w:val="0"/>
          <w:sz w:val="24"/>
          <w:szCs w:val="24"/>
          <w14:ligatures w14:val="none"/>
        </w:rPr>
        <w:t>)(A).</w:t>
      </w:r>
      <w:r w:rsidRPr="00D52183">
        <w:rPr>
          <w:rFonts w:ascii="Times New Roman" w:hAnsi="Times New Roman"/>
          <w:b/>
          <w:bCs/>
          <w:color w:val="000000" w:themeColor="text1"/>
          <w:kern w:val="0"/>
          <w:sz w:val="24"/>
          <w:szCs w:val="24"/>
          <w14:ligatures w14:val="none"/>
        </w:rPr>
        <w:t xml:space="preserve"> </w:t>
      </w:r>
    </w:p>
    <w:p w14:paraId="55AC511F" w14:textId="77777777" w:rsidR="00D52183" w:rsidRPr="00D52183" w:rsidRDefault="00D52183" w:rsidP="00D52183">
      <w:pPr>
        <w:spacing w:after="0" w:line="240" w:lineRule="auto"/>
        <w:ind w:left="720" w:right="720" w:firstLine="720"/>
        <w:jc w:val="both"/>
        <w:rPr>
          <w:rFonts w:ascii="Times New Roman" w:hAnsi="Times New Roman"/>
          <w:b/>
          <w:bCs/>
          <w:color w:val="000000" w:themeColor="text1"/>
          <w:kern w:val="0"/>
          <w:sz w:val="24"/>
          <w:szCs w:val="24"/>
          <w14:ligatures w14:val="none"/>
        </w:rPr>
      </w:pPr>
    </w:p>
    <w:p w14:paraId="4EB0E309" w14:textId="77777777" w:rsidR="00D52183" w:rsidRPr="00D52183" w:rsidRDefault="00D52183" w:rsidP="00D52183">
      <w:pPr>
        <w:spacing w:after="0" w:line="360" w:lineRule="auto"/>
        <w:ind w:firstLine="720"/>
        <w:jc w:val="both"/>
        <w:rPr>
          <w:rFonts w:ascii="Times New Roman" w:hAnsi="Times New Roman" w:cs="Times New Roman"/>
          <w:color w:val="000000" w:themeColor="text1"/>
          <w:kern w:val="0"/>
          <w:sz w:val="24"/>
          <w:szCs w:val="24"/>
          <w14:ligatures w14:val="none"/>
        </w:rPr>
      </w:pPr>
      <w:r w:rsidRPr="00D52183">
        <w:rPr>
          <w:rFonts w:ascii="Times New Roman" w:hAnsi="Times New Roman" w:cs="Times New Roman"/>
          <w:color w:val="000000" w:themeColor="text1"/>
          <w:kern w:val="0"/>
          <w:sz w:val="24"/>
          <w:szCs w:val="24"/>
          <w14:ligatures w14:val="none"/>
        </w:rPr>
        <w:t>“Normally the allowance of claims and their estimation are core matters that the bankruptcy judge may determine.”</w:t>
      </w:r>
      <w:r w:rsidRPr="00D52183">
        <w:rPr>
          <w:rFonts w:ascii="Times New Roman" w:hAnsi="Times New Roman" w:cs="Times New Roman"/>
          <w:color w:val="000000" w:themeColor="text1"/>
          <w:kern w:val="0"/>
          <w:sz w:val="24"/>
          <w:szCs w:val="24"/>
          <w:vertAlign w:val="superscript"/>
          <w14:ligatures w14:val="none"/>
        </w:rPr>
        <w:footnoteReference w:id="11"/>
      </w:r>
      <w:r w:rsidRPr="00D52183">
        <w:rPr>
          <w:rFonts w:ascii="Times New Roman" w:hAnsi="Times New Roman" w:cs="Times New Roman"/>
          <w:color w:val="000000" w:themeColor="text1"/>
          <w:kern w:val="0"/>
          <w:sz w:val="24"/>
          <w:szCs w:val="24"/>
          <w14:ligatures w14:val="none"/>
        </w:rPr>
        <w:t xml:space="preserve"> But rulings on a debtor’s objections to specific tort claims either individually or on an aggregated basis may raise questions about the bankruptcy judge’s authority to rule on these matters. The governing statutory provisions exclude from the list of core matters “the liquidation or estimation of contingent or unliquidated personal injury tort or wrongful death claims against the estate for purposes of distribution in a case under Chapter 11.”</w:t>
      </w:r>
      <w:r w:rsidRPr="00D52183">
        <w:rPr>
          <w:rFonts w:ascii="Times New Roman" w:hAnsi="Times New Roman" w:cs="Times New Roman"/>
          <w:color w:val="000000" w:themeColor="text1"/>
          <w:kern w:val="0"/>
          <w:sz w:val="24"/>
          <w:szCs w:val="24"/>
          <w:vertAlign w:val="superscript"/>
          <w14:ligatures w14:val="none"/>
        </w:rPr>
        <w:footnoteReference w:id="12"/>
      </w:r>
      <w:r w:rsidRPr="00D52183">
        <w:rPr>
          <w:rFonts w:ascii="Times New Roman" w:hAnsi="Times New Roman" w:cs="Times New Roman"/>
          <w:color w:val="000000" w:themeColor="text1"/>
          <w:kern w:val="0"/>
          <w:sz w:val="24"/>
          <w:szCs w:val="24"/>
          <w14:ligatures w14:val="none"/>
        </w:rPr>
        <w:t xml:space="preserve">  Nonetheless, courts have agreed “that these statutory restrictions do not prevent a bankruptcy judge from estimating the value of tort claims for purposes of the negotiation and confirmation of a </w:t>
      </w:r>
      <w:r w:rsidRPr="00D52183">
        <w:rPr>
          <w:rFonts w:ascii="Times New Roman" w:hAnsi="Times New Roman" w:cs="Times New Roman"/>
          <w:color w:val="000000" w:themeColor="text1"/>
          <w:kern w:val="0"/>
          <w:sz w:val="24"/>
          <w:szCs w:val="24"/>
          <w14:ligatures w14:val="none"/>
        </w:rPr>
        <w:lastRenderedPageBreak/>
        <w:t>reorganization plan, even if the maximum aggregate payment to tort claimants will be based on this estimate.”</w:t>
      </w:r>
      <w:r w:rsidRPr="00D52183">
        <w:rPr>
          <w:rFonts w:ascii="Times New Roman" w:hAnsi="Times New Roman" w:cs="Times New Roman"/>
          <w:color w:val="000000" w:themeColor="text1"/>
          <w:kern w:val="0"/>
          <w:sz w:val="24"/>
          <w:szCs w:val="24"/>
          <w:vertAlign w:val="superscript"/>
          <w14:ligatures w14:val="none"/>
        </w:rPr>
        <w:footnoteReference w:id="13"/>
      </w:r>
      <w:r w:rsidRPr="00D52183">
        <w:rPr>
          <w:rFonts w:ascii="Times New Roman" w:hAnsi="Times New Roman" w:cs="Times New Roman"/>
          <w:color w:val="000000" w:themeColor="text1"/>
          <w:kern w:val="0"/>
          <w:sz w:val="24"/>
          <w:szCs w:val="24"/>
          <w14:ligatures w14:val="none"/>
        </w:rPr>
        <w:t xml:space="preserve"> </w:t>
      </w:r>
    </w:p>
    <w:p w14:paraId="7302A2C3" w14:textId="77777777" w:rsidR="00D52183" w:rsidRPr="00D52183" w:rsidRDefault="00D52183" w:rsidP="00D52183">
      <w:pPr>
        <w:spacing w:after="0" w:line="360" w:lineRule="auto"/>
        <w:ind w:firstLine="720"/>
        <w:jc w:val="both"/>
        <w:rPr>
          <w:rFonts w:ascii="Times New Roman" w:hAnsi="Times New Roman" w:cs="Times New Roman"/>
          <w:color w:val="000000" w:themeColor="text1"/>
          <w:kern w:val="0"/>
          <w:sz w:val="24"/>
          <w:szCs w:val="24"/>
          <w14:ligatures w14:val="none"/>
        </w:rPr>
      </w:pPr>
      <w:r w:rsidRPr="00D52183">
        <w:rPr>
          <w:rFonts w:ascii="Times New Roman" w:hAnsi="Times New Roman" w:cs="Times New Roman"/>
          <w:color w:val="000000" w:themeColor="text1"/>
          <w:kern w:val="0"/>
          <w:sz w:val="24"/>
          <w:szCs w:val="24"/>
          <w14:ligatures w14:val="none"/>
        </w:rPr>
        <w:t>The judge may be called upon to rule on defenses to large categories of claims that would dispose of the claims entirely as part of the judge’s allowance determination.  Ruling on the validity of a category of tort claims in the judicial estimation would open the door to potential re-litigation of issues that were earlier decided in the mass-tort MDL, raising difficult estoppel issues.  On the other hand, the debtor has the right to present new evidence on the true worth of tort claims, which it believes supersedes earlier rulings.</w:t>
      </w:r>
      <w:r w:rsidRPr="00D52183">
        <w:rPr>
          <w:rFonts w:ascii="Times New Roman" w:hAnsi="Times New Roman" w:cs="Times New Roman"/>
          <w:color w:val="000000" w:themeColor="text1"/>
          <w:kern w:val="0"/>
          <w:sz w:val="24"/>
          <w:szCs w:val="24"/>
          <w:vertAlign w:val="superscript"/>
          <w14:ligatures w14:val="none"/>
        </w:rPr>
        <w:t xml:space="preserve"> </w:t>
      </w:r>
      <w:r w:rsidRPr="00D52183">
        <w:rPr>
          <w:rFonts w:ascii="Times New Roman" w:hAnsi="Times New Roman" w:cs="Times New Roman"/>
          <w:color w:val="000000" w:themeColor="text1"/>
          <w:kern w:val="0"/>
          <w:sz w:val="24"/>
          <w:szCs w:val="24"/>
          <w:vertAlign w:val="superscript"/>
          <w14:ligatures w14:val="none"/>
        </w:rPr>
        <w:footnoteReference w:id="14"/>
      </w:r>
      <w:r w:rsidRPr="00D52183">
        <w:rPr>
          <w:rFonts w:ascii="Times New Roman" w:hAnsi="Times New Roman" w:cs="Times New Roman"/>
          <w:color w:val="000000" w:themeColor="text1"/>
          <w:kern w:val="0"/>
          <w:sz w:val="24"/>
          <w:szCs w:val="24"/>
          <w14:ligatures w14:val="none"/>
        </w:rPr>
        <w:t xml:space="preserve">  At this point “the judge will have to rule on any defenses the debtor raises that could affect the overall value of the claims.  An adjudication of this type is fraught with procedural complexities.”</w:t>
      </w:r>
      <w:r w:rsidRPr="00D52183">
        <w:rPr>
          <w:rFonts w:ascii="Times New Roman" w:hAnsi="Times New Roman" w:cs="Times New Roman"/>
          <w:color w:val="000000" w:themeColor="text1"/>
          <w:kern w:val="0"/>
          <w:sz w:val="24"/>
          <w:szCs w:val="24"/>
          <w:vertAlign w:val="superscript"/>
          <w14:ligatures w14:val="none"/>
        </w:rPr>
        <w:footnoteReference w:id="15"/>
      </w:r>
      <w:r w:rsidRPr="00D52183">
        <w:rPr>
          <w:rFonts w:ascii="Times New Roman" w:hAnsi="Times New Roman" w:cs="Times New Roman"/>
          <w:color w:val="000000" w:themeColor="text1"/>
          <w:kern w:val="0"/>
          <w:sz w:val="24"/>
          <w:szCs w:val="24"/>
          <w14:ligatures w14:val="none"/>
        </w:rPr>
        <w:t xml:space="preserve"> </w:t>
      </w:r>
    </w:p>
    <w:p w14:paraId="472B1284" w14:textId="77777777" w:rsidR="00D52183" w:rsidRPr="00D52183" w:rsidRDefault="00D52183" w:rsidP="00D52183">
      <w:pPr>
        <w:spacing w:after="0" w:line="360" w:lineRule="auto"/>
        <w:ind w:firstLine="720"/>
        <w:jc w:val="both"/>
        <w:rPr>
          <w:rFonts w:ascii="Times New Roman" w:hAnsi="Times New Roman" w:cs="Times New Roman"/>
          <w:color w:val="000000" w:themeColor="text1"/>
          <w:kern w:val="0"/>
          <w:sz w:val="24"/>
          <w:szCs w:val="24"/>
          <w14:ligatures w14:val="none"/>
        </w:rPr>
      </w:pPr>
      <w:r w:rsidRPr="00D52183">
        <w:rPr>
          <w:rFonts w:ascii="Times New Roman" w:hAnsi="Times New Roman" w:cs="Times New Roman"/>
          <w:color w:val="000000" w:themeColor="text1"/>
          <w:kern w:val="0"/>
          <w:sz w:val="24"/>
          <w:szCs w:val="24"/>
          <w14:ligatures w14:val="none"/>
        </w:rPr>
        <w:t xml:space="preserve">In most mass-tort bankruptcies, it will be more appropriate to limit consideration of the validity of claims in the judicial-estimation process to calculating an appropriate probability of success, rather than ruling dispositively on matters that affect all the claims.  Similar considerations frequently arise in mass-tort MDLs when most MDL transferee judges have rejected dispositive defenses that would eliminate all claims in a mature MDL.   </w:t>
      </w:r>
    </w:p>
    <w:p w14:paraId="5A723F92" w14:textId="77777777" w:rsidR="00D52183" w:rsidRPr="00D52183" w:rsidRDefault="00D52183" w:rsidP="00D52183">
      <w:pPr>
        <w:spacing w:after="0" w:line="360" w:lineRule="auto"/>
        <w:ind w:firstLine="720"/>
        <w:jc w:val="both"/>
        <w:rPr>
          <w:rFonts w:ascii="Times New Roman" w:hAnsi="Times New Roman" w:cs="Times New Roman"/>
          <w:color w:val="000000" w:themeColor="text1"/>
          <w:kern w:val="0"/>
          <w:sz w:val="24"/>
          <w:szCs w:val="24"/>
          <w14:ligatures w14:val="none"/>
        </w:rPr>
      </w:pPr>
      <w:r w:rsidRPr="00D52183">
        <w:rPr>
          <w:rFonts w:ascii="Times New Roman" w:hAnsi="Times New Roman" w:cs="Times New Roman"/>
          <w:color w:val="000000" w:themeColor="text1"/>
          <w:kern w:val="0"/>
          <w:sz w:val="24"/>
          <w:szCs w:val="24"/>
          <w14:ligatures w14:val="none"/>
        </w:rPr>
        <w:t>A court is on strong grounds if it limits the judicial estimation to determining the probability of a successful defense, no matter if it is 0 percent or 100 percent. The parties’ right to raise dispositive defenses will still be honored, but on an individual-case basis. Such an approach is consistent with the limited purpose of the judicial estimation, which is not intended to determine liability or the amount of distribution. It is also consistent with the provisional nature of judicial estimation, which is subject to approval by the claimants.</w:t>
      </w:r>
      <w:r w:rsidRPr="00D52183">
        <w:rPr>
          <w:rFonts w:ascii="Times New Roman" w:hAnsi="Times New Roman" w:cs="Times New Roman"/>
          <w:color w:val="000000" w:themeColor="text1"/>
          <w:kern w:val="0"/>
          <w:sz w:val="24"/>
          <w:szCs w:val="24"/>
          <w:vertAlign w:val="superscript"/>
          <w14:ligatures w14:val="none"/>
        </w:rPr>
        <w:footnoteReference w:id="16"/>
      </w:r>
      <w:r w:rsidRPr="00D52183">
        <w:rPr>
          <w:rFonts w:ascii="Times New Roman" w:hAnsi="Times New Roman" w:cs="Times New Roman"/>
          <w:color w:val="000000" w:themeColor="text1"/>
          <w:kern w:val="0"/>
          <w:sz w:val="24"/>
          <w:szCs w:val="24"/>
          <w14:ligatures w14:val="none"/>
        </w:rPr>
        <w:t xml:space="preserve">  </w:t>
      </w:r>
    </w:p>
    <w:p w14:paraId="6BFDBA46" w14:textId="77777777" w:rsidR="00D52183" w:rsidRPr="00D52183" w:rsidRDefault="00D52183" w:rsidP="00D52183">
      <w:pPr>
        <w:spacing w:after="0" w:line="240" w:lineRule="auto"/>
        <w:ind w:left="720" w:right="720"/>
        <w:jc w:val="both"/>
        <w:rPr>
          <w:rFonts w:ascii="Times New Roman" w:hAnsi="Times New Roman" w:cs="Times New Roman"/>
          <w:color w:val="000000" w:themeColor="text1"/>
          <w:kern w:val="0"/>
          <w:sz w:val="24"/>
          <w:szCs w:val="24"/>
          <w14:ligatures w14:val="none"/>
        </w:rPr>
      </w:pPr>
      <w:r w:rsidRPr="00D52183">
        <w:rPr>
          <w:rFonts w:ascii="Times New Roman" w:hAnsi="Times New Roman" w:cs="Times New Roman"/>
          <w:b/>
          <w:bCs/>
          <w:color w:val="000000" w:themeColor="text1"/>
          <w:kern w:val="0"/>
          <w:sz w:val="24"/>
          <w:szCs w:val="24"/>
          <w14:ligatures w14:val="none"/>
        </w:rPr>
        <w:lastRenderedPageBreak/>
        <w:t>Best Practice MDL-§ 8(c):</w:t>
      </w:r>
      <w:r w:rsidRPr="00D52183">
        <w:rPr>
          <w:rFonts w:ascii="Times New Roman" w:hAnsi="Times New Roman"/>
          <w:b/>
          <w:bCs/>
          <w:color w:val="000000" w:themeColor="text1"/>
          <w:kern w:val="0"/>
          <w:sz w:val="24"/>
          <w:szCs w:val="24"/>
          <w14:ligatures w14:val="none"/>
        </w:rPr>
        <w:t xml:space="preserve"> </w:t>
      </w:r>
      <w:r w:rsidRPr="00D52183">
        <w:rPr>
          <w:rFonts w:ascii="Times New Roman" w:hAnsi="Times New Roman" w:cs="Times New Roman"/>
          <w:color w:val="000000" w:themeColor="text1"/>
          <w:kern w:val="0"/>
          <w:sz w:val="24"/>
          <w:szCs w:val="24"/>
          <w14:ligatures w14:val="none"/>
        </w:rPr>
        <w:t xml:space="preserve">The judge presiding over the evidentiary hearing on judicial estimation should allow the parties reasonable discovery and determine the scope of the discovery.  </w:t>
      </w:r>
      <w:bookmarkStart w:id="3" w:name="_Hlk144625076"/>
      <w:r w:rsidRPr="00D52183">
        <w:rPr>
          <w:rFonts w:ascii="Times New Roman" w:hAnsi="Times New Roman" w:cs="Times New Roman"/>
          <w:color w:val="000000" w:themeColor="text1"/>
          <w:kern w:val="0"/>
          <w:sz w:val="24"/>
          <w:szCs w:val="24"/>
          <w14:ligatures w14:val="none"/>
        </w:rPr>
        <w:t xml:space="preserve">Permanent No. </w:t>
      </w:r>
      <w:bookmarkEnd w:id="3"/>
      <w:r w:rsidRPr="00D52183">
        <w:rPr>
          <w:rFonts w:ascii="Times New Roman" w:hAnsi="Times New Roman" w:cs="Times New Roman"/>
          <w:color w:val="000000" w:themeColor="text1"/>
          <w:kern w:val="0"/>
          <w:sz w:val="24"/>
          <w:szCs w:val="24"/>
          <w14:ligatures w14:val="none"/>
        </w:rPr>
        <w:t>MDL-§ 7(c).</w:t>
      </w:r>
    </w:p>
    <w:p w14:paraId="7FE00164" w14:textId="77777777" w:rsidR="00D52183" w:rsidRPr="00D52183" w:rsidRDefault="00D52183" w:rsidP="00D52183">
      <w:pPr>
        <w:spacing w:after="0" w:line="240" w:lineRule="auto"/>
        <w:ind w:left="720" w:right="720"/>
        <w:jc w:val="both"/>
        <w:rPr>
          <w:rFonts w:ascii="Times New Roman" w:hAnsi="Times New Roman" w:cs="Times New Roman"/>
          <w:color w:val="000000" w:themeColor="text1"/>
          <w:kern w:val="0"/>
          <w:sz w:val="24"/>
          <w:szCs w:val="24"/>
          <w14:ligatures w14:val="none"/>
        </w:rPr>
      </w:pPr>
    </w:p>
    <w:p w14:paraId="4FA2642B" w14:textId="77777777" w:rsidR="00D52183" w:rsidRPr="00D52183" w:rsidRDefault="00D52183" w:rsidP="00D52183">
      <w:pPr>
        <w:spacing w:after="0" w:line="360" w:lineRule="auto"/>
        <w:ind w:firstLine="720"/>
        <w:jc w:val="both"/>
        <w:rPr>
          <w:rFonts w:ascii="Times New Roman" w:hAnsi="Times New Roman" w:cs="Times New Roman"/>
          <w:color w:val="000000" w:themeColor="text1"/>
          <w:kern w:val="0"/>
          <w:sz w:val="24"/>
          <w:szCs w:val="24"/>
          <w14:ligatures w14:val="none"/>
        </w:rPr>
      </w:pPr>
      <w:r w:rsidRPr="00D52183">
        <w:rPr>
          <w:rFonts w:ascii="Times New Roman" w:hAnsi="Times New Roman" w:cs="Times New Roman"/>
          <w:color w:val="000000" w:themeColor="text1"/>
          <w:kern w:val="0"/>
          <w:sz w:val="24"/>
          <w:szCs w:val="24"/>
          <w14:ligatures w14:val="none"/>
        </w:rPr>
        <w:t>The judge presiding over the judicial estimation should direct all parties interested in negotiating a set of procedures to submit a proposed discovery plan, which includes the scope of the discovery and a schedule for fact and expert disclosures, reports, depositions, and motion practice, as well as, time deadlines, aiming for completion in no more than 12 months.  The information subject to discovery would typically be relevant in determining the appropriate weight to be accorded to different types or categories of claims for voting purposes and the aggregate volume and value of all claims, based on the probability that they will be sustained.</w:t>
      </w:r>
      <w:r w:rsidRPr="00D52183">
        <w:rPr>
          <w:rFonts w:ascii="Times New Roman" w:hAnsi="Times New Roman" w:cs="Times New Roman"/>
          <w:color w:val="000000" w:themeColor="text1"/>
          <w:kern w:val="0"/>
          <w:sz w:val="24"/>
          <w:szCs w:val="24"/>
          <w:vertAlign w:val="superscript"/>
          <w14:ligatures w14:val="none"/>
        </w:rPr>
        <w:footnoteReference w:id="17"/>
      </w:r>
      <w:r w:rsidRPr="00D52183">
        <w:rPr>
          <w:rFonts w:ascii="Times New Roman" w:hAnsi="Times New Roman" w:cs="Times New Roman"/>
          <w:color w:val="000000" w:themeColor="text1"/>
          <w:kern w:val="0"/>
          <w:sz w:val="24"/>
          <w:szCs w:val="24"/>
          <w14:ligatures w14:val="none"/>
        </w:rPr>
        <w:t xml:space="preserve">  </w:t>
      </w:r>
    </w:p>
    <w:p w14:paraId="23E9B5CA" w14:textId="77777777" w:rsidR="00D52183" w:rsidRPr="00D52183" w:rsidRDefault="00D52183" w:rsidP="00D52183">
      <w:pPr>
        <w:spacing w:after="0" w:line="360" w:lineRule="auto"/>
        <w:ind w:firstLine="720"/>
        <w:jc w:val="both"/>
        <w:rPr>
          <w:rFonts w:ascii="Times New Roman" w:hAnsi="Times New Roman" w:cs="Times New Roman"/>
          <w:color w:val="000000" w:themeColor="text1"/>
          <w:kern w:val="0"/>
          <w:sz w:val="24"/>
          <w:szCs w:val="24"/>
          <w14:ligatures w14:val="none"/>
        </w:rPr>
      </w:pPr>
    </w:p>
    <w:p w14:paraId="57EFDD00" w14:textId="77777777" w:rsidR="00D52183" w:rsidRPr="00D52183" w:rsidRDefault="00D52183" w:rsidP="00D52183">
      <w:pPr>
        <w:spacing w:after="0" w:line="240" w:lineRule="auto"/>
        <w:ind w:left="720" w:right="720"/>
        <w:jc w:val="both"/>
        <w:rPr>
          <w:rFonts w:ascii="Times New Roman" w:hAnsi="Times New Roman" w:cs="Times New Roman"/>
          <w:color w:val="000000" w:themeColor="text1"/>
          <w:kern w:val="0"/>
          <w:sz w:val="24"/>
          <w:szCs w:val="24"/>
          <w14:ligatures w14:val="none"/>
        </w:rPr>
      </w:pPr>
      <w:bookmarkStart w:id="5" w:name="_Hlk144624650"/>
      <w:r w:rsidRPr="00D52183">
        <w:rPr>
          <w:rFonts w:ascii="Times New Roman" w:hAnsi="Times New Roman" w:cs="Times New Roman"/>
          <w:b/>
          <w:bCs/>
          <w:color w:val="000000" w:themeColor="text1"/>
          <w:kern w:val="0"/>
          <w:sz w:val="24"/>
          <w:szCs w:val="24"/>
          <w14:ligatures w14:val="none"/>
        </w:rPr>
        <w:t>Best Practice MDL-§ 8(d):</w:t>
      </w:r>
      <w:r w:rsidRPr="00D52183">
        <w:rPr>
          <w:rFonts w:ascii="Times New Roman" w:hAnsi="Times New Roman"/>
          <w:b/>
          <w:bCs/>
          <w:color w:val="000000" w:themeColor="text1"/>
          <w:kern w:val="0"/>
          <w:sz w:val="24"/>
          <w:szCs w:val="24"/>
          <w14:ligatures w14:val="none"/>
        </w:rPr>
        <w:t xml:space="preserve"> </w:t>
      </w:r>
      <w:r w:rsidRPr="00D52183">
        <w:rPr>
          <w:rFonts w:ascii="Times New Roman" w:hAnsi="Times New Roman" w:cs="Times New Roman"/>
          <w:color w:val="000000" w:themeColor="text1"/>
          <w:kern w:val="0"/>
          <w:sz w:val="24"/>
          <w:szCs w:val="24"/>
          <w14:ligatures w14:val="none"/>
        </w:rPr>
        <w:t xml:space="preserve">The judge </w:t>
      </w:r>
      <w:bookmarkEnd w:id="5"/>
      <w:r w:rsidRPr="00D52183">
        <w:rPr>
          <w:rFonts w:ascii="Times New Roman" w:hAnsi="Times New Roman" w:cs="Times New Roman"/>
          <w:color w:val="000000" w:themeColor="text1"/>
          <w:kern w:val="0"/>
          <w:sz w:val="24"/>
          <w:szCs w:val="24"/>
          <w14:ligatures w14:val="none"/>
        </w:rPr>
        <w:t>presiding over the judicial estimation should consider appointing an expert under Fed. R. Evid. 706 to make findings estimating the aggregate value of the tort claims to assist the court make its rulings and promote the parties’ efforts at reaching consensus.  Permanent No. MDL-§ 7(d).</w:t>
      </w:r>
    </w:p>
    <w:p w14:paraId="27FE21F1" w14:textId="77777777" w:rsidR="00D52183" w:rsidRPr="00D52183" w:rsidRDefault="00D52183" w:rsidP="00D52183">
      <w:pPr>
        <w:spacing w:after="0" w:line="240" w:lineRule="auto"/>
        <w:ind w:left="720" w:right="720"/>
        <w:jc w:val="both"/>
        <w:rPr>
          <w:rFonts w:ascii="Times New Roman" w:hAnsi="Times New Roman" w:cs="Times New Roman"/>
          <w:color w:val="000000" w:themeColor="text1"/>
          <w:kern w:val="0"/>
          <w:sz w:val="24"/>
          <w:szCs w:val="24"/>
          <w14:ligatures w14:val="none"/>
        </w:rPr>
      </w:pPr>
    </w:p>
    <w:p w14:paraId="5B68E554" w14:textId="77777777" w:rsidR="00D52183" w:rsidRPr="00D52183" w:rsidRDefault="00D52183" w:rsidP="00D52183">
      <w:pPr>
        <w:spacing w:after="0" w:line="360" w:lineRule="auto"/>
        <w:ind w:firstLine="720"/>
        <w:jc w:val="both"/>
        <w:rPr>
          <w:rFonts w:ascii="Times New Roman" w:hAnsi="Times New Roman" w:cs="Times New Roman"/>
          <w:color w:val="000000" w:themeColor="text1"/>
          <w:kern w:val="0"/>
          <w:sz w:val="24"/>
          <w:szCs w:val="24"/>
          <w14:ligatures w14:val="none"/>
        </w:rPr>
      </w:pPr>
      <w:r w:rsidRPr="00D52183">
        <w:rPr>
          <w:rFonts w:ascii="Times New Roman" w:hAnsi="Times New Roman" w:cs="Times New Roman"/>
          <w:color w:val="000000" w:themeColor="text1"/>
          <w:kern w:val="0"/>
          <w:sz w:val="24"/>
          <w:szCs w:val="24"/>
          <w14:ligatures w14:val="none"/>
        </w:rPr>
        <w:t xml:space="preserve">A judicial estimation of the aggregate value of thousands of tort claims is made </w:t>
      </w:r>
      <w:proofErr w:type="gramStart"/>
      <w:r w:rsidRPr="00D52183">
        <w:rPr>
          <w:rFonts w:ascii="Times New Roman" w:hAnsi="Times New Roman" w:cs="Times New Roman"/>
          <w:color w:val="000000" w:themeColor="text1"/>
          <w:kern w:val="0"/>
          <w:sz w:val="24"/>
          <w:szCs w:val="24"/>
          <w14:ligatures w14:val="none"/>
        </w:rPr>
        <w:t>all the more</w:t>
      </w:r>
      <w:proofErr w:type="gramEnd"/>
      <w:r w:rsidRPr="00D52183">
        <w:rPr>
          <w:rFonts w:ascii="Times New Roman" w:hAnsi="Times New Roman" w:cs="Times New Roman"/>
          <w:color w:val="000000" w:themeColor="text1"/>
          <w:kern w:val="0"/>
          <w:sz w:val="24"/>
          <w:szCs w:val="24"/>
          <w14:ligatures w14:val="none"/>
        </w:rPr>
        <w:t xml:space="preserve"> difficult when the parties’ experts, though highly competent, give widely disparate opinions on the value of the tort claims.  A judge may be better informed in assessing the credibility of well-respected nationally recognized experts on arcane and technical matters outside the judge’s familiarity with assistance. The impartial opinion of a court-appointed expert may provide a neutral view that will assist the judge evaluate the proposed estimates as well as facilitate discussions with parties on achieving a consensus. </w:t>
      </w:r>
    </w:p>
    <w:p w14:paraId="6232ABFE" w14:textId="77777777" w:rsidR="00D52183" w:rsidRPr="00D52183" w:rsidRDefault="00D52183" w:rsidP="00D52183">
      <w:pPr>
        <w:spacing w:after="0" w:line="360" w:lineRule="auto"/>
        <w:ind w:firstLine="720"/>
        <w:jc w:val="both"/>
        <w:rPr>
          <w:rFonts w:ascii="Times New Roman" w:hAnsi="Times New Roman" w:cs="Times New Roman"/>
          <w:color w:val="000000" w:themeColor="text1"/>
          <w:kern w:val="0"/>
          <w:sz w:val="24"/>
          <w:szCs w:val="24"/>
          <w14:ligatures w14:val="none"/>
        </w:rPr>
      </w:pPr>
      <w:r w:rsidRPr="00D52183">
        <w:rPr>
          <w:rFonts w:ascii="Times New Roman" w:hAnsi="Times New Roman" w:cs="Times New Roman"/>
          <w:color w:val="000000" w:themeColor="text1"/>
          <w:kern w:val="0"/>
          <w:sz w:val="24"/>
          <w:szCs w:val="24"/>
          <w14:ligatures w14:val="none"/>
        </w:rPr>
        <w:t>Under these circumstances, the court may consider appointing an independent expert under Rule 706.</w:t>
      </w:r>
      <w:r w:rsidRPr="00D52183">
        <w:rPr>
          <w:rFonts w:ascii="Times New Roman" w:hAnsi="Times New Roman" w:cs="Times New Roman"/>
          <w:color w:val="000000" w:themeColor="text1"/>
          <w:kern w:val="0"/>
          <w:sz w:val="24"/>
          <w:szCs w:val="24"/>
          <w:vertAlign w:val="superscript"/>
          <w14:ligatures w14:val="none"/>
        </w:rPr>
        <w:t xml:space="preserve"> </w:t>
      </w:r>
      <w:r w:rsidRPr="00D52183">
        <w:rPr>
          <w:rFonts w:ascii="Times New Roman" w:hAnsi="Times New Roman" w:cs="Times New Roman"/>
          <w:color w:val="000000" w:themeColor="text1"/>
          <w:kern w:val="0"/>
          <w:sz w:val="24"/>
          <w:szCs w:val="24"/>
          <w:vertAlign w:val="superscript"/>
          <w14:ligatures w14:val="none"/>
        </w:rPr>
        <w:footnoteReference w:id="18"/>
      </w:r>
      <w:r w:rsidRPr="00D52183">
        <w:rPr>
          <w:rFonts w:ascii="Times New Roman" w:hAnsi="Times New Roman" w:cs="Times New Roman"/>
          <w:color w:val="000000" w:themeColor="text1"/>
          <w:kern w:val="0"/>
          <w:sz w:val="24"/>
          <w:szCs w:val="24"/>
          <w14:ligatures w14:val="none"/>
        </w:rPr>
        <w:t xml:space="preserve">  The judge should also consider appointing a mediator to work with the parties and the Rule 706 expert to “create a climate in which a negotiated resolution is more likely, or the range of expert views is narrowed.”</w:t>
      </w:r>
      <w:r w:rsidRPr="00D52183">
        <w:rPr>
          <w:rFonts w:ascii="Times New Roman" w:hAnsi="Times New Roman" w:cs="Times New Roman"/>
          <w:color w:val="000000" w:themeColor="text1"/>
          <w:kern w:val="0"/>
          <w:sz w:val="24"/>
          <w:szCs w:val="24"/>
          <w:vertAlign w:val="superscript"/>
          <w14:ligatures w14:val="none"/>
        </w:rPr>
        <w:footnoteReference w:id="19"/>
      </w:r>
      <w:r w:rsidRPr="00D52183">
        <w:rPr>
          <w:rFonts w:ascii="Times New Roman" w:hAnsi="Times New Roman" w:cs="Times New Roman"/>
          <w:color w:val="000000" w:themeColor="text1"/>
          <w:kern w:val="0"/>
          <w:sz w:val="24"/>
          <w:szCs w:val="24"/>
          <w14:ligatures w14:val="none"/>
        </w:rPr>
        <w:t xml:space="preserve">  The judicial estimation may require evaluation of substantive law, which may be better addressed by a skilled mediator, rather than a statistician expert in evaluating </w:t>
      </w:r>
      <w:r w:rsidRPr="00D52183">
        <w:rPr>
          <w:rFonts w:ascii="Times New Roman" w:hAnsi="Times New Roman" w:cs="Times New Roman"/>
          <w:color w:val="000000" w:themeColor="text1"/>
          <w:kern w:val="0"/>
          <w:sz w:val="24"/>
          <w:szCs w:val="24"/>
          <w14:ligatures w14:val="none"/>
        </w:rPr>
        <w:lastRenderedPageBreak/>
        <w:t>historical data.  Working together, the mediator and the expert can better inform the judge and the entire judicial-estimation process.</w:t>
      </w:r>
    </w:p>
    <w:p w14:paraId="4CFD1F5E" w14:textId="77777777" w:rsidR="00D52183" w:rsidRPr="00D52183" w:rsidRDefault="00D52183" w:rsidP="00D52183">
      <w:pPr>
        <w:spacing w:after="0" w:line="360" w:lineRule="auto"/>
        <w:ind w:firstLine="720"/>
        <w:jc w:val="both"/>
        <w:rPr>
          <w:rFonts w:ascii="Times New Roman" w:hAnsi="Times New Roman" w:cs="Times New Roman"/>
          <w:color w:val="000000" w:themeColor="text1"/>
          <w:kern w:val="0"/>
          <w:sz w:val="24"/>
          <w:szCs w:val="24"/>
          <w14:ligatures w14:val="none"/>
        </w:rPr>
      </w:pPr>
      <w:r w:rsidRPr="00D52183">
        <w:rPr>
          <w:rFonts w:ascii="Times New Roman" w:hAnsi="Times New Roman" w:cs="Times New Roman"/>
          <w:color w:val="000000" w:themeColor="text1"/>
          <w:kern w:val="0"/>
          <w:sz w:val="24"/>
          <w:szCs w:val="24"/>
          <w14:ligatures w14:val="none"/>
        </w:rPr>
        <w:t>The expense incurred in compensating a court-appointed expert as well as additional experts hired to collect and analyze the data is substantial.</w:t>
      </w:r>
      <w:r w:rsidRPr="00D52183">
        <w:rPr>
          <w:rFonts w:ascii="Times New Roman" w:hAnsi="Times New Roman" w:cs="Times New Roman"/>
          <w:color w:val="000000" w:themeColor="text1"/>
          <w:kern w:val="0"/>
          <w:sz w:val="24"/>
          <w:szCs w:val="24"/>
          <w:vertAlign w:val="superscript"/>
          <w14:ligatures w14:val="none"/>
        </w:rPr>
        <w:footnoteReference w:id="20"/>
      </w:r>
      <w:r w:rsidRPr="00D52183">
        <w:rPr>
          <w:rFonts w:ascii="Times New Roman" w:hAnsi="Times New Roman" w:cs="Times New Roman"/>
          <w:color w:val="000000" w:themeColor="text1"/>
          <w:kern w:val="0"/>
          <w:sz w:val="24"/>
          <w:szCs w:val="24"/>
          <w14:ligatures w14:val="none"/>
        </w:rPr>
        <w:t xml:space="preserve"> The court should direct the parties to cooperate with the Rule 706 expert and provide relevant information on request.  The court-appointed expert is subject to being deposed by any party, testifying at the evidentiary hearing, and cross-examination at the evidentiary hearing under Rule 706.</w:t>
      </w:r>
    </w:p>
    <w:p w14:paraId="25A928CD" w14:textId="77777777" w:rsidR="00D52183" w:rsidRPr="00D52183" w:rsidRDefault="00D52183" w:rsidP="00D52183">
      <w:pPr>
        <w:spacing w:after="0" w:line="360" w:lineRule="auto"/>
        <w:ind w:firstLine="720"/>
        <w:jc w:val="both"/>
        <w:rPr>
          <w:rFonts w:ascii="Times New Roman" w:hAnsi="Times New Roman" w:cs="Times New Roman"/>
          <w:color w:val="000000" w:themeColor="text1"/>
          <w:kern w:val="0"/>
          <w:sz w:val="24"/>
          <w:szCs w:val="24"/>
          <w14:ligatures w14:val="none"/>
        </w:rPr>
      </w:pPr>
      <w:r w:rsidRPr="00D52183">
        <w:rPr>
          <w:rFonts w:ascii="Times New Roman" w:hAnsi="Times New Roman" w:cs="Times New Roman"/>
          <w:color w:val="000000" w:themeColor="text1"/>
          <w:kern w:val="0"/>
          <w:sz w:val="24"/>
          <w:szCs w:val="24"/>
          <w14:ligatures w14:val="none"/>
        </w:rPr>
        <w:t>Depending on the stage of the preceding MDL litigation, the parties may already have amassed enormous amounts of information about the tort claimants and their respective claims and conducted significant investigations and discovery.  Highly competent experts are often hired at heavy expense early in the MDL litigation to provide comprehensive metrics distinguishing claims based on the severity of injury and estimate the value of tort claims as a basis for distinguishing high and low claims.  The parties’ experts typically have produced extensive and comprehensive data, though they are often at odds with each other.</w:t>
      </w:r>
      <w:r w:rsidRPr="00D52183">
        <w:rPr>
          <w:rFonts w:ascii="Times New Roman" w:hAnsi="Times New Roman" w:cs="Times New Roman"/>
          <w:color w:val="000000" w:themeColor="text1"/>
          <w:kern w:val="0"/>
          <w:sz w:val="24"/>
          <w:szCs w:val="24"/>
          <w:vertAlign w:val="superscript"/>
          <w14:ligatures w14:val="none"/>
        </w:rPr>
        <w:footnoteReference w:id="21"/>
      </w:r>
      <w:r w:rsidRPr="00D52183">
        <w:rPr>
          <w:rFonts w:ascii="Times New Roman" w:hAnsi="Times New Roman" w:cs="Times New Roman"/>
          <w:color w:val="000000" w:themeColor="text1"/>
          <w:kern w:val="0"/>
          <w:sz w:val="24"/>
          <w:szCs w:val="24"/>
          <w14:ligatures w14:val="none"/>
        </w:rPr>
        <w:t xml:space="preserve">  </w:t>
      </w:r>
    </w:p>
    <w:p w14:paraId="658EF72B" w14:textId="77777777" w:rsidR="00D52183" w:rsidRPr="00D52183" w:rsidRDefault="00D52183" w:rsidP="00D52183">
      <w:pPr>
        <w:spacing w:after="0" w:line="360" w:lineRule="auto"/>
        <w:ind w:firstLine="720"/>
        <w:jc w:val="both"/>
        <w:rPr>
          <w:rFonts w:ascii="Times New Roman" w:hAnsi="Times New Roman" w:cs="Times New Roman"/>
          <w:color w:val="000000" w:themeColor="text1"/>
          <w:kern w:val="0"/>
          <w:sz w:val="24"/>
          <w:szCs w:val="24"/>
          <w14:ligatures w14:val="none"/>
        </w:rPr>
      </w:pPr>
      <w:r w:rsidRPr="00D52183">
        <w:rPr>
          <w:rFonts w:ascii="Times New Roman" w:hAnsi="Times New Roman" w:cs="Times New Roman"/>
          <w:color w:val="000000" w:themeColor="text1"/>
          <w:kern w:val="0"/>
          <w:sz w:val="24"/>
          <w:szCs w:val="24"/>
          <w14:ligatures w14:val="none"/>
        </w:rPr>
        <w:t>The parties rely on such information to plan their respective litigation strategies as well as to base their settlement negotiations.  Often, they develop matrices categorizing injuries and assign amounts for specific types of injuries as a basis to negotiate settlement.  These matrices are similar in concept to matrices developed for trust-administration distributions in bankruptcy.</w:t>
      </w:r>
      <w:r w:rsidRPr="00D52183">
        <w:rPr>
          <w:rFonts w:ascii="Times New Roman" w:hAnsi="Times New Roman" w:cs="Times New Roman"/>
          <w:color w:val="000000" w:themeColor="text1"/>
          <w:kern w:val="0"/>
          <w:sz w:val="24"/>
          <w:szCs w:val="24"/>
          <w:vertAlign w:val="superscript"/>
          <w14:ligatures w14:val="none"/>
        </w:rPr>
        <w:footnoteReference w:id="22"/>
      </w:r>
    </w:p>
    <w:p w14:paraId="38AD1D64" w14:textId="77777777" w:rsidR="00D52183" w:rsidRPr="00D52183" w:rsidRDefault="00D52183" w:rsidP="00D52183">
      <w:pPr>
        <w:spacing w:after="0" w:line="360" w:lineRule="auto"/>
        <w:ind w:firstLine="720"/>
        <w:jc w:val="both"/>
        <w:rPr>
          <w:rFonts w:ascii="Times New Roman" w:hAnsi="Times New Roman" w:cs="Times New Roman"/>
          <w:color w:val="000000" w:themeColor="text1"/>
          <w:kern w:val="0"/>
          <w:sz w:val="24"/>
          <w:szCs w:val="24"/>
          <w14:ligatures w14:val="none"/>
        </w:rPr>
      </w:pPr>
      <w:r w:rsidRPr="00D52183">
        <w:rPr>
          <w:rFonts w:ascii="Times New Roman" w:hAnsi="Times New Roman" w:cs="Times New Roman"/>
          <w:color w:val="000000" w:themeColor="text1"/>
          <w:kern w:val="0"/>
          <w:sz w:val="24"/>
          <w:szCs w:val="24"/>
          <w14:ligatures w14:val="none"/>
        </w:rPr>
        <w:t xml:space="preserve">Sharing some or all of the earlier work on estimating the value of the tort </w:t>
      </w:r>
      <w:proofErr w:type="gramStart"/>
      <w:r w:rsidRPr="00D52183">
        <w:rPr>
          <w:rFonts w:ascii="Times New Roman" w:hAnsi="Times New Roman" w:cs="Times New Roman"/>
          <w:color w:val="000000" w:themeColor="text1"/>
          <w:kern w:val="0"/>
          <w:sz w:val="24"/>
          <w:szCs w:val="24"/>
          <w14:ligatures w14:val="none"/>
        </w:rPr>
        <w:t>claims  with</w:t>
      </w:r>
      <w:proofErr w:type="gramEnd"/>
      <w:r w:rsidRPr="00D52183">
        <w:rPr>
          <w:rFonts w:ascii="Times New Roman" w:hAnsi="Times New Roman" w:cs="Times New Roman"/>
          <w:color w:val="000000" w:themeColor="text1"/>
          <w:kern w:val="0"/>
          <w:sz w:val="24"/>
          <w:szCs w:val="24"/>
          <w14:ligatures w14:val="none"/>
        </w:rPr>
        <w:t xml:space="preserve"> the court-appointed expert at the outset would save </w:t>
      </w:r>
      <w:proofErr w:type="gramStart"/>
      <w:r w:rsidRPr="00D52183">
        <w:rPr>
          <w:rFonts w:ascii="Times New Roman" w:hAnsi="Times New Roman" w:cs="Times New Roman"/>
          <w:color w:val="000000" w:themeColor="text1"/>
          <w:kern w:val="0"/>
          <w:sz w:val="24"/>
          <w:szCs w:val="24"/>
          <w14:ligatures w14:val="none"/>
        </w:rPr>
        <w:t>cost</w:t>
      </w:r>
      <w:proofErr w:type="gramEnd"/>
      <w:r w:rsidRPr="00D52183">
        <w:rPr>
          <w:rFonts w:ascii="Times New Roman" w:hAnsi="Times New Roman" w:cs="Times New Roman"/>
          <w:color w:val="000000" w:themeColor="text1"/>
          <w:kern w:val="0"/>
          <w:sz w:val="24"/>
          <w:szCs w:val="24"/>
          <w14:ligatures w14:val="none"/>
        </w:rPr>
        <w:t xml:space="preserve"> and reduce the time the expert would otherwise expend if starting from scratch. Perhaps more importantly the sharing of information </w:t>
      </w:r>
      <w:r w:rsidRPr="00D52183">
        <w:rPr>
          <w:rFonts w:ascii="Times New Roman" w:hAnsi="Times New Roman" w:cs="Times New Roman"/>
          <w:color w:val="000000" w:themeColor="text1"/>
          <w:kern w:val="0"/>
          <w:sz w:val="24"/>
          <w:szCs w:val="24"/>
          <w14:ligatures w14:val="none"/>
        </w:rPr>
        <w:lastRenderedPageBreak/>
        <w:t>and ongoing discussions between the expert and the parties could enhance the possibility of a negotiated solution, as the strengths and weaknesses of each side are exposed.</w:t>
      </w:r>
    </w:p>
    <w:p w14:paraId="644D46F7" w14:textId="77777777" w:rsidR="00D52183" w:rsidRPr="00D52183" w:rsidRDefault="00D52183" w:rsidP="00D52183">
      <w:pPr>
        <w:spacing w:after="0" w:line="360" w:lineRule="auto"/>
        <w:ind w:firstLine="720"/>
        <w:jc w:val="both"/>
        <w:rPr>
          <w:rFonts w:ascii="Times New Roman" w:hAnsi="Times New Roman" w:cs="Times New Roman"/>
          <w:color w:val="000000" w:themeColor="text1"/>
          <w:kern w:val="0"/>
          <w:sz w:val="24"/>
          <w:szCs w:val="24"/>
          <w14:ligatures w14:val="none"/>
        </w:rPr>
      </w:pPr>
      <w:r w:rsidRPr="00D52183">
        <w:rPr>
          <w:rFonts w:ascii="Times New Roman" w:hAnsi="Times New Roman" w:cs="Times New Roman"/>
          <w:color w:val="000000" w:themeColor="text1"/>
          <w:kern w:val="0"/>
          <w:sz w:val="24"/>
          <w:szCs w:val="24"/>
          <w14:ligatures w14:val="none"/>
        </w:rPr>
        <w:t>If there is pending or likely litigation challenging the validity of the bankruptcy itself, which may result in the litigation returning to the MDL court, the judge should consider entering a protective order ensuring the confidentiality of the transmitted materials along the lines of Fed. R. Evid. 408(a)(2).</w:t>
      </w:r>
      <w:r w:rsidRPr="00D52183">
        <w:rPr>
          <w:rFonts w:ascii="Times New Roman" w:hAnsi="Times New Roman" w:cs="Times New Roman"/>
          <w:color w:val="000000" w:themeColor="text1"/>
          <w:kern w:val="0"/>
          <w:sz w:val="24"/>
          <w:szCs w:val="24"/>
          <w:vertAlign w:val="superscript"/>
          <w14:ligatures w14:val="none"/>
        </w:rPr>
        <w:footnoteReference w:id="23"/>
      </w:r>
    </w:p>
    <w:p w14:paraId="03A85012" w14:textId="77777777" w:rsidR="00D52183" w:rsidRPr="00D52183" w:rsidRDefault="00D52183" w:rsidP="00D52183">
      <w:pPr>
        <w:spacing w:after="0" w:line="240" w:lineRule="auto"/>
        <w:ind w:left="720" w:right="720"/>
        <w:jc w:val="both"/>
        <w:rPr>
          <w:rFonts w:ascii="Times New Roman" w:hAnsi="Times New Roman" w:cs="Times New Roman"/>
          <w:color w:val="000000" w:themeColor="text1"/>
          <w:kern w:val="0"/>
          <w:sz w:val="24"/>
          <w:szCs w:val="24"/>
          <w14:ligatures w14:val="none"/>
        </w:rPr>
      </w:pPr>
      <w:r w:rsidRPr="00D52183">
        <w:rPr>
          <w:rFonts w:ascii="Times New Roman" w:hAnsi="Times New Roman" w:cs="Times New Roman"/>
          <w:b/>
          <w:bCs/>
          <w:color w:val="000000" w:themeColor="text1"/>
          <w:kern w:val="0"/>
          <w:sz w:val="24"/>
          <w:szCs w:val="24"/>
          <w14:ligatures w14:val="none"/>
        </w:rPr>
        <w:t>Best Practice MDL-§ 8(e):</w:t>
      </w:r>
      <w:r w:rsidRPr="00D52183">
        <w:rPr>
          <w:rFonts w:ascii="Times New Roman" w:hAnsi="Times New Roman"/>
          <w:b/>
          <w:bCs/>
          <w:color w:val="000000" w:themeColor="text1"/>
          <w:kern w:val="0"/>
          <w:sz w:val="24"/>
          <w:szCs w:val="24"/>
          <w14:ligatures w14:val="none"/>
        </w:rPr>
        <w:t xml:space="preserve"> </w:t>
      </w:r>
      <w:r w:rsidRPr="00D52183">
        <w:rPr>
          <w:rFonts w:ascii="Times New Roman" w:hAnsi="Times New Roman" w:cs="Times New Roman"/>
          <w:color w:val="000000" w:themeColor="text1"/>
          <w:kern w:val="0"/>
          <w:sz w:val="24"/>
          <w:szCs w:val="24"/>
          <w14:ligatures w14:val="none"/>
        </w:rPr>
        <w:t>The judge presiding over the judicial estimation should explain its reason for reaching its conclusions in its findings. Permanent No. MDL-§ 7(e).</w:t>
      </w:r>
    </w:p>
    <w:p w14:paraId="6B1469F3" w14:textId="77777777" w:rsidR="00D52183" w:rsidRPr="00D52183" w:rsidRDefault="00D52183" w:rsidP="00D52183">
      <w:pPr>
        <w:spacing w:after="0" w:line="240" w:lineRule="auto"/>
        <w:ind w:left="720" w:right="720"/>
        <w:jc w:val="both"/>
        <w:rPr>
          <w:rFonts w:ascii="Times New Roman" w:hAnsi="Times New Roman" w:cs="Times New Roman"/>
          <w:color w:val="000000" w:themeColor="text1"/>
          <w:kern w:val="0"/>
          <w:sz w:val="24"/>
          <w:szCs w:val="24"/>
          <w14:ligatures w14:val="none"/>
        </w:rPr>
      </w:pPr>
    </w:p>
    <w:p w14:paraId="09317DF3" w14:textId="77777777" w:rsidR="00D52183" w:rsidRPr="00D52183" w:rsidRDefault="00D52183" w:rsidP="00D52183">
      <w:pPr>
        <w:spacing w:after="0" w:line="360" w:lineRule="auto"/>
        <w:ind w:firstLine="720"/>
        <w:jc w:val="both"/>
        <w:rPr>
          <w:rFonts w:ascii="Times New Roman" w:hAnsi="Times New Roman" w:cs="Times New Roman"/>
          <w:color w:val="000000" w:themeColor="text1"/>
          <w:kern w:val="0"/>
          <w:sz w:val="24"/>
          <w:szCs w:val="24"/>
          <w14:ligatures w14:val="none"/>
        </w:rPr>
      </w:pPr>
      <w:r w:rsidRPr="00D52183">
        <w:rPr>
          <w:rFonts w:ascii="Times New Roman" w:hAnsi="Times New Roman" w:cs="Times New Roman"/>
          <w:color w:val="000000" w:themeColor="text1"/>
          <w:kern w:val="0"/>
          <w:sz w:val="24"/>
          <w:szCs w:val="24"/>
          <w14:ligatures w14:val="none"/>
        </w:rPr>
        <w:t xml:space="preserve">The judge should make findings about the estimation of the aggregate value of tort claims based on all the evidence offered at the estimation hearing, including the report of any Rule 706 expert. The judge will rely on those findings in evaluating the proposed reorganization plan and eligibility of those voting on it.   But the judge’s findings serve an equally important purpose in helping the parties negotiate a consensual reorganization plan.  The weight and persuasive power of the judge’s findings will be more influential if the rationale is revealed.   </w:t>
      </w:r>
    </w:p>
    <w:p w14:paraId="6F451739" w14:textId="77777777" w:rsidR="00C624D6" w:rsidRDefault="00C624D6"/>
    <w:sectPr w:rsidR="00C624D6">
      <w:footerReference w:type="default" r:id="rId9"/>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CF0E9" w14:textId="77777777" w:rsidR="00A3746E" w:rsidRDefault="00A3746E" w:rsidP="00D52183">
      <w:pPr>
        <w:spacing w:after="0" w:line="240" w:lineRule="auto"/>
      </w:pPr>
      <w:r>
        <w:separator/>
      </w:r>
    </w:p>
  </w:endnote>
  <w:endnote w:type="continuationSeparator" w:id="0">
    <w:p w14:paraId="3EC9C441" w14:textId="77777777" w:rsidR="00A3746E" w:rsidRDefault="00A3746E" w:rsidP="00D52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auto"/>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3171476"/>
      <w:docPartObj>
        <w:docPartGallery w:val="Page Numbers (Bottom of Page)"/>
        <w:docPartUnique/>
      </w:docPartObj>
    </w:sdtPr>
    <w:sdtEndPr>
      <w:rPr>
        <w:color w:val="7F7F7F" w:themeColor="background1" w:themeShade="7F"/>
        <w:spacing w:val="60"/>
      </w:rPr>
    </w:sdtEndPr>
    <w:sdtContent>
      <w:p w14:paraId="0D2CC1EF" w14:textId="5B48EA87" w:rsidR="007744DB" w:rsidRDefault="007744D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574277C" w14:textId="77777777" w:rsidR="007744DB" w:rsidRDefault="00774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32819" w14:textId="77777777" w:rsidR="00A3746E" w:rsidRDefault="00A3746E" w:rsidP="00D52183">
      <w:pPr>
        <w:spacing w:after="0" w:line="240" w:lineRule="auto"/>
      </w:pPr>
      <w:r>
        <w:separator/>
      </w:r>
    </w:p>
  </w:footnote>
  <w:footnote w:type="continuationSeparator" w:id="0">
    <w:p w14:paraId="43D1DBEF" w14:textId="77777777" w:rsidR="00A3746E" w:rsidRDefault="00A3746E" w:rsidP="00D52183">
      <w:pPr>
        <w:spacing w:after="0" w:line="240" w:lineRule="auto"/>
      </w:pPr>
      <w:r>
        <w:continuationSeparator/>
      </w:r>
    </w:p>
  </w:footnote>
  <w:footnote w:id="1">
    <w:p w14:paraId="076E7092" w14:textId="77777777" w:rsidR="00D52183" w:rsidRPr="00EF687A" w:rsidRDefault="00D52183" w:rsidP="00D52183">
      <w:pPr>
        <w:pStyle w:val="FootnoteText"/>
        <w:jc w:val="both"/>
        <w:rPr>
          <w:rFonts w:cs="Times New Roman"/>
        </w:rPr>
      </w:pPr>
      <w:r>
        <w:rPr>
          <w:rStyle w:val="FootnoteReference"/>
        </w:rPr>
        <w:footnoteRef/>
      </w:r>
      <w:r>
        <w:t xml:space="preserve"> </w:t>
      </w:r>
      <w:r w:rsidRPr="00ED73B7">
        <w:rPr>
          <w:rFonts w:cs="Times New Roman"/>
          <w:i/>
          <w:iCs/>
        </w:rPr>
        <w:t>In Re LTL Management, LLC</w:t>
      </w:r>
      <w:r>
        <w:rPr>
          <w:rFonts w:cs="Times New Roman"/>
        </w:rPr>
        <w:t>, Case No. 21-30589 (MBK), Debtor’s Statement on Proposed Next Steps, PACER Document 2473, p.2 (June 10, 2022) (“Estimation here will force the parties to develop support for their positions pursuant to a schedule set by and under the supervision of this Court, which will advance this case and mediation by requiring the parties to objectively consider their positions.”)</w:t>
      </w:r>
    </w:p>
  </w:footnote>
  <w:footnote w:id="2">
    <w:p w14:paraId="7AE6B22D" w14:textId="77777777" w:rsidR="00D52183" w:rsidRPr="007B45C1" w:rsidRDefault="00D52183" w:rsidP="00D52183">
      <w:pPr>
        <w:pStyle w:val="FootnoteText"/>
        <w:jc w:val="both"/>
        <w:rPr>
          <w:rFonts w:cs="Times New Roman"/>
        </w:rPr>
      </w:pPr>
      <w:r w:rsidRPr="007B45C1">
        <w:rPr>
          <w:rStyle w:val="FootnoteReference"/>
          <w:rFonts w:cs="Times New Roman"/>
        </w:rPr>
        <w:footnoteRef/>
      </w:r>
      <w:r w:rsidRPr="007B45C1">
        <w:rPr>
          <w:rFonts w:cs="Times New Roman"/>
        </w:rPr>
        <w:t xml:space="preserve"> MCL, § 22.56.</w:t>
      </w:r>
    </w:p>
  </w:footnote>
  <w:footnote w:id="3">
    <w:p w14:paraId="7F4E5A76" w14:textId="77777777" w:rsidR="00D52183" w:rsidRDefault="00D52183" w:rsidP="00D52183">
      <w:pPr>
        <w:pStyle w:val="FootnoteText"/>
        <w:jc w:val="both"/>
      </w:pPr>
      <w:r>
        <w:rPr>
          <w:rStyle w:val="FootnoteReference"/>
        </w:rPr>
        <w:footnoteRef/>
      </w:r>
      <w:r>
        <w:t xml:space="preserve"> </w:t>
      </w:r>
      <w:r w:rsidRPr="00AA6101">
        <w:rPr>
          <w:rFonts w:cs="Times New Roman"/>
          <w:i/>
          <w:iCs/>
        </w:rPr>
        <w:t xml:space="preserve">See </w:t>
      </w:r>
      <w:r w:rsidRPr="00ED73B7">
        <w:rPr>
          <w:rFonts w:cs="Times New Roman"/>
          <w:i/>
          <w:iCs/>
        </w:rPr>
        <w:t>In Re LTL Management, LLC</w:t>
      </w:r>
      <w:r>
        <w:rPr>
          <w:rFonts w:cs="Times New Roman"/>
        </w:rPr>
        <w:t xml:space="preserve">, Case No. 23-12825 (MBK), TCC Motion for Order Authorizing Estimation for Voting Purposes, PACER Document 1020-1, p. 24 (July 12, 2023); </w:t>
      </w:r>
      <w:r w:rsidRPr="00AA6101">
        <w:rPr>
          <w:rFonts w:cs="Times New Roman"/>
          <w:i/>
          <w:iCs/>
        </w:rPr>
        <w:t>see also</w:t>
      </w:r>
      <w:r>
        <w:rPr>
          <w:rFonts w:cs="Times New Roman"/>
        </w:rPr>
        <w:t xml:space="preserve"> </w:t>
      </w:r>
      <w:r w:rsidRPr="00ED73B7">
        <w:rPr>
          <w:rFonts w:cs="Times New Roman"/>
          <w:i/>
          <w:iCs/>
        </w:rPr>
        <w:t>In Re LTL Management, LLC</w:t>
      </w:r>
      <w:r>
        <w:rPr>
          <w:rFonts w:cs="Times New Roman"/>
        </w:rPr>
        <w:t>, Case No. 21-30589 (MBK), Debtor’s Statement on Proposed Next Steps, PACER Document 2473, p. 9 (June 10, 2022) (“Regardless of the precise procedures or estimation methodology adopted, however, the goal would be to determine the validity and amount of claims on an aggregate basis under applicable law (here, state law).).</w:t>
      </w:r>
    </w:p>
  </w:footnote>
  <w:footnote w:id="4">
    <w:p w14:paraId="7BF15348" w14:textId="77777777" w:rsidR="00D52183" w:rsidRDefault="00D52183" w:rsidP="00D52183">
      <w:pPr>
        <w:pStyle w:val="FootnoteText"/>
        <w:jc w:val="both"/>
        <w:rPr>
          <w:rFonts w:cs="Times New Roman"/>
        </w:rPr>
      </w:pPr>
      <w:r>
        <w:rPr>
          <w:rStyle w:val="FootnoteReference"/>
        </w:rPr>
        <w:footnoteRef/>
      </w:r>
      <w:r>
        <w:t xml:space="preserve"> </w:t>
      </w:r>
      <w:r>
        <w:rPr>
          <w:rFonts w:cs="Times New Roman"/>
        </w:rPr>
        <w:t xml:space="preserve">How categories of tort claims are valued is important to how tort claims are classified and whether tort claims can be included within a single class of claims.  Generally, tort claims receive the same “treatment” when such claims are valued in a manner consistent with tort-system outcomes and then paid based on the same payment percentage. </w:t>
      </w:r>
      <w:r w:rsidRPr="00082614">
        <w:rPr>
          <w:rFonts w:cs="Times New Roman"/>
          <w:i/>
          <w:iCs/>
        </w:rPr>
        <w:t>See In re W.R. Grace &amp; Co</w:t>
      </w:r>
      <w:r>
        <w:rPr>
          <w:rFonts w:cs="Times New Roman"/>
        </w:rPr>
        <w:t xml:space="preserve">., 729 F.3d 311, 329-330 (3d Cir. 2013) (tort claimants would receive the “same treatment” if they were all permitted to present their claims to a jury and were all paid whatever amounts the jury awarded, until funds were no longer available) (following </w:t>
      </w:r>
      <w:r w:rsidRPr="00082614">
        <w:rPr>
          <w:rFonts w:cs="Times New Roman"/>
          <w:i/>
          <w:iCs/>
        </w:rPr>
        <w:t>In re Joint E. &amp; S. Dist. Asbestos Litig</w:t>
      </w:r>
      <w:r>
        <w:rPr>
          <w:rFonts w:cs="Times New Roman"/>
        </w:rPr>
        <w:t xml:space="preserve">., 982 F.2d 721, 749 (2d Cir. 1992). </w:t>
      </w:r>
    </w:p>
    <w:p w14:paraId="7414D914" w14:textId="77777777" w:rsidR="00D52183" w:rsidRPr="000173EB" w:rsidRDefault="00D52183" w:rsidP="00D52183">
      <w:pPr>
        <w:pStyle w:val="FootnoteText"/>
        <w:jc w:val="both"/>
        <w:rPr>
          <w:rFonts w:cs="Times New Roman"/>
        </w:rPr>
      </w:pPr>
      <w:r>
        <w:rPr>
          <w:rFonts w:cs="Times New Roman"/>
        </w:rPr>
        <w:t xml:space="preserve">Tort claims receive different treatment when they are assigned different payment percentages relative to their tort-system values. </w:t>
      </w:r>
      <w:r w:rsidRPr="00082614">
        <w:rPr>
          <w:rFonts w:cs="Times New Roman"/>
          <w:i/>
          <w:iCs/>
        </w:rPr>
        <w:t>See In re AOV Indus., Inc.,</w:t>
      </w:r>
      <w:r>
        <w:rPr>
          <w:rFonts w:cs="Times New Roman"/>
        </w:rPr>
        <w:t xml:space="preserve"> 792 F.2d 1140, 1152 (</w:t>
      </w:r>
      <w:proofErr w:type="spellStart"/>
      <w:r>
        <w:rPr>
          <w:rFonts w:cs="Times New Roman"/>
        </w:rPr>
        <w:t>D.C.Cir</w:t>
      </w:r>
      <w:proofErr w:type="spellEnd"/>
      <w:r>
        <w:rPr>
          <w:rFonts w:cs="Times New Roman"/>
        </w:rPr>
        <w:t xml:space="preserve">. 1986) (“[T]he most conspicuous inequality that § 1123(a)(4) prohibits is payment of different percentage settlements to coclass members.”).  If a plan (or trust distribution-procedures) assign tort claims values that mirror tort-system values, high-valued claims will receive higher awards and low-value claims will receive lower awards.  This would not constitute different treatment -- or offend § 1123(a)(4) of the Bankruptcy Code – but would simply reflect differences in the claim values based on substantive differences in legal rights. </w:t>
      </w:r>
      <w:r w:rsidRPr="00A64BC9">
        <w:rPr>
          <w:rFonts w:cs="Times New Roman"/>
          <w:i/>
          <w:iCs/>
        </w:rPr>
        <w:t>See In re FINOVA Grp., Inc</w:t>
      </w:r>
      <w:r>
        <w:rPr>
          <w:rFonts w:cs="Times New Roman"/>
        </w:rPr>
        <w:t>., 304 B.R. 630, 637 (D. Del 2004) (</w:t>
      </w:r>
      <w:proofErr w:type="gramStart"/>
      <w:r>
        <w:rPr>
          <w:rFonts w:cs="Times New Roman"/>
        </w:rPr>
        <w:t>§  1123</w:t>
      </w:r>
      <w:proofErr w:type="gramEnd"/>
      <w:r>
        <w:rPr>
          <w:rFonts w:cs="Times New Roman"/>
        </w:rPr>
        <w:t xml:space="preserve">(a)(4) does not require parties to receive equal payment under a reorganization plan).  If a plan (or trust-distribution procedures) assign tort claims values that do not mirror tort-system values, parties can argue that the plan effectuates different treatment within a class, which could necessitate separate classification.  Absent a consensual resolution, estimation of the value of categories of tort claims may be needed to determine the appropriate classification of tort claims under a plan. </w:t>
      </w:r>
    </w:p>
  </w:footnote>
  <w:footnote w:id="5">
    <w:p w14:paraId="5ED8D212" w14:textId="77777777" w:rsidR="00D52183" w:rsidRDefault="00D52183" w:rsidP="00D52183">
      <w:pPr>
        <w:pStyle w:val="FootnoteText"/>
        <w:jc w:val="both"/>
      </w:pPr>
      <w:r>
        <w:rPr>
          <w:rStyle w:val="FootnoteReference"/>
        </w:rPr>
        <w:footnoteRef/>
      </w:r>
      <w:r>
        <w:t xml:space="preserve"> </w:t>
      </w:r>
      <w:r w:rsidRPr="00D820B3">
        <w:rPr>
          <w:rFonts w:cs="Times New Roman"/>
          <w:i/>
          <w:iCs/>
        </w:rPr>
        <w:t>See</w:t>
      </w:r>
      <w:r>
        <w:t xml:space="preserve"> </w:t>
      </w:r>
      <w:bookmarkStart w:id="1" w:name="_Hlk144652022"/>
      <w:r w:rsidRPr="00ED73B7">
        <w:rPr>
          <w:rFonts w:cs="Times New Roman"/>
          <w:i/>
          <w:iCs/>
        </w:rPr>
        <w:t>In Re LTL Management, LLC</w:t>
      </w:r>
      <w:r>
        <w:rPr>
          <w:rFonts w:cs="Times New Roman"/>
        </w:rPr>
        <w:t xml:space="preserve">, Case No. 21-30589 (MBK), </w:t>
      </w:r>
      <w:bookmarkEnd w:id="1"/>
      <w:r>
        <w:rPr>
          <w:rFonts w:cs="Times New Roman"/>
        </w:rPr>
        <w:t xml:space="preserve">Debtor’s Statement on Proposed Next Steps, PACER Document 2473, pp. 7-8 (June 10, 2022).  </w:t>
      </w:r>
      <w:r w:rsidRPr="00CE1748">
        <w:rPr>
          <w:rFonts w:cs="Times New Roman"/>
        </w:rPr>
        <w:t>Citing case that estimated personal</w:t>
      </w:r>
      <w:r>
        <w:rPr>
          <w:rFonts w:cs="Times New Roman"/>
        </w:rPr>
        <w:t>-</w:t>
      </w:r>
      <w:r w:rsidRPr="00CE1748">
        <w:rPr>
          <w:rFonts w:cs="Times New Roman"/>
        </w:rPr>
        <w:t>injury claims</w:t>
      </w:r>
      <w:r>
        <w:rPr>
          <w:rFonts w:cs="Times New Roman"/>
        </w:rPr>
        <w:t xml:space="preserve"> by determining claimants had “about a one-in-four chance of winning” and another case holding the estimated value of contract claims is “the amount of the claim diminished by [the] probability that it may be sustainable only in part or not at all.” </w:t>
      </w:r>
      <w:r>
        <w:t xml:space="preserve">    </w:t>
      </w:r>
    </w:p>
  </w:footnote>
  <w:footnote w:id="6">
    <w:p w14:paraId="3EFFD57B" w14:textId="77777777" w:rsidR="00D52183" w:rsidRDefault="00D52183" w:rsidP="00D52183">
      <w:pPr>
        <w:pStyle w:val="FootnoteText"/>
        <w:jc w:val="both"/>
      </w:pPr>
      <w:r>
        <w:rPr>
          <w:rStyle w:val="FootnoteReference"/>
        </w:rPr>
        <w:footnoteRef/>
      </w:r>
      <w:r>
        <w:t xml:space="preserve"> </w:t>
      </w:r>
      <w:r w:rsidRPr="00DF5CB8">
        <w:rPr>
          <w:rFonts w:cs="Times New Roman"/>
          <w:smallCaps/>
        </w:rPr>
        <w:t>Judicial Management of Mass Tort Bankruptcy Cases</w:t>
      </w:r>
      <w:r w:rsidRPr="00DF5CB8">
        <w:rPr>
          <w:rFonts w:cs="Times New Roman"/>
        </w:rPr>
        <w:t xml:space="preserve">, </w:t>
      </w:r>
      <w:r>
        <w:rPr>
          <w:rFonts w:cs="Times New Roman"/>
        </w:rPr>
        <w:t>S. Elizabeth Gibson, Federal Judicial Center,</w:t>
      </w:r>
      <w:r w:rsidRPr="00DF5CB8">
        <w:rPr>
          <w:rFonts w:cs="Times New Roman"/>
        </w:rPr>
        <w:t xml:space="preserve"> </w:t>
      </w:r>
      <w:r>
        <w:rPr>
          <w:rFonts w:cs="Times New Roman"/>
        </w:rPr>
        <w:t>p. 90 (2005).</w:t>
      </w:r>
    </w:p>
  </w:footnote>
  <w:footnote w:id="7">
    <w:p w14:paraId="77AD9A75" w14:textId="77777777" w:rsidR="00D52183" w:rsidRDefault="00D52183" w:rsidP="00D52183">
      <w:pPr>
        <w:pStyle w:val="FootnoteText"/>
        <w:jc w:val="both"/>
      </w:pPr>
      <w:r>
        <w:rPr>
          <w:rStyle w:val="FootnoteReference"/>
        </w:rPr>
        <w:footnoteRef/>
      </w:r>
      <w:r>
        <w:t xml:space="preserve"> </w:t>
      </w:r>
      <w:r w:rsidRPr="00DF5CB8">
        <w:rPr>
          <w:rFonts w:cs="Times New Roman"/>
          <w:smallCaps/>
        </w:rPr>
        <w:t>Judicial Management of Mass Tort Bankruptcy Cases</w:t>
      </w:r>
      <w:r w:rsidRPr="00DF5CB8">
        <w:rPr>
          <w:rFonts w:cs="Times New Roman"/>
        </w:rPr>
        <w:t xml:space="preserve">, </w:t>
      </w:r>
      <w:r>
        <w:rPr>
          <w:rFonts w:cs="Times New Roman"/>
        </w:rPr>
        <w:t>S. Elizabeth Gibson, Federal Judicial Center,</w:t>
      </w:r>
      <w:r w:rsidRPr="00DF5CB8">
        <w:rPr>
          <w:rFonts w:cs="Times New Roman"/>
        </w:rPr>
        <w:t xml:space="preserve"> </w:t>
      </w:r>
      <w:r>
        <w:rPr>
          <w:rFonts w:cs="Times New Roman"/>
        </w:rPr>
        <w:t>p. 83 (2005).</w:t>
      </w:r>
    </w:p>
  </w:footnote>
  <w:footnote w:id="8">
    <w:p w14:paraId="5A0B8558" w14:textId="77777777" w:rsidR="00D52183" w:rsidRDefault="00D52183" w:rsidP="00D52183">
      <w:pPr>
        <w:pStyle w:val="FootnoteText"/>
        <w:jc w:val="both"/>
      </w:pPr>
      <w:r>
        <w:rPr>
          <w:rStyle w:val="FootnoteReference"/>
        </w:rPr>
        <w:footnoteRef/>
      </w:r>
      <w:r>
        <w:t xml:space="preserve"> </w:t>
      </w:r>
      <w:r w:rsidRPr="00795209">
        <w:rPr>
          <w:rFonts w:cs="Times New Roman"/>
          <w:smallCaps/>
        </w:rPr>
        <w:t xml:space="preserve">Vetting the </w:t>
      </w:r>
      <w:proofErr w:type="spellStart"/>
      <w:r w:rsidRPr="00795209">
        <w:rPr>
          <w:rFonts w:cs="Times New Roman"/>
          <w:smallCaps/>
        </w:rPr>
        <w:t>Wether</w:t>
      </w:r>
      <w:proofErr w:type="spellEnd"/>
      <w:r w:rsidRPr="00795209">
        <w:rPr>
          <w:rFonts w:cs="Times New Roman"/>
          <w:smallCaps/>
        </w:rPr>
        <w:t>: One Shepher</w:t>
      </w:r>
      <w:r>
        <w:rPr>
          <w:rFonts w:cs="Times New Roman"/>
          <w:smallCaps/>
        </w:rPr>
        <w:t>d’</w:t>
      </w:r>
      <w:r w:rsidRPr="00795209">
        <w:rPr>
          <w:rFonts w:cs="Times New Roman"/>
          <w:smallCaps/>
        </w:rPr>
        <w:t>s View</w:t>
      </w:r>
      <w:r w:rsidRPr="00795209">
        <w:rPr>
          <w:rFonts w:cs="Times New Roman"/>
        </w:rPr>
        <w:t>, Judge M. Casey Rodgers, 89 UMKC Law Review</w:t>
      </w:r>
      <w:r>
        <w:rPr>
          <w:rFonts w:cs="Times New Roman"/>
        </w:rPr>
        <w:t xml:space="preserve"> 873, </w:t>
      </w:r>
      <w:r w:rsidRPr="00795209">
        <w:rPr>
          <w:rFonts w:cs="Times New Roman"/>
        </w:rPr>
        <w:t>No. 4</w:t>
      </w:r>
      <w:r>
        <w:rPr>
          <w:rFonts w:cs="Times New Roman"/>
        </w:rPr>
        <w:t>, pp.</w:t>
      </w:r>
      <w:r w:rsidRPr="00795209">
        <w:rPr>
          <w:rFonts w:cs="Times New Roman"/>
        </w:rPr>
        <w:t xml:space="preserve"> 87</w:t>
      </w:r>
      <w:r>
        <w:rPr>
          <w:rFonts w:cs="Times New Roman"/>
        </w:rPr>
        <w:t>3-874</w:t>
      </w:r>
      <w:r w:rsidRPr="00795209">
        <w:rPr>
          <w:rFonts w:cs="Times New Roman"/>
        </w:rPr>
        <w:t xml:space="preserve"> (2021) (</w:t>
      </w:r>
      <w:r>
        <w:rPr>
          <w:rFonts w:cs="Times New Roman"/>
        </w:rPr>
        <w:t xml:space="preserve">“And yes, as some may be loath to admit, the sheer volume of unsupportable claims in some MDLs can grossly distort the true merit and size of the litigation.  To be sure, dealing with unsupportable claims, and with their consequences for an MDL more broadly, drains the time and resources of the parties, counsel, and the courts.” </w:t>
      </w:r>
      <w:r w:rsidRPr="00795209">
        <w:rPr>
          <w:rFonts w:cs="Times New Roman"/>
        </w:rPr>
        <w:t xml:space="preserve">Judge Rodgers reportedly dismissed 80,000 </w:t>
      </w:r>
      <w:r>
        <w:rPr>
          <w:rFonts w:cs="Times New Roman"/>
        </w:rPr>
        <w:t xml:space="preserve">such </w:t>
      </w:r>
      <w:r w:rsidRPr="00795209">
        <w:rPr>
          <w:rFonts w:cs="Times New Roman"/>
        </w:rPr>
        <w:t>actions in her 3M Earplug MDL</w:t>
      </w:r>
      <w:r>
        <w:rPr>
          <w:rFonts w:cs="Times New Roman"/>
        </w:rPr>
        <w:t xml:space="preserve"> No. 2885</w:t>
      </w:r>
      <w:r w:rsidRPr="00795209">
        <w:rPr>
          <w:rFonts w:cs="Times New Roman"/>
        </w:rPr>
        <w:t>).</w:t>
      </w:r>
    </w:p>
  </w:footnote>
  <w:footnote w:id="9">
    <w:p w14:paraId="07077124" w14:textId="77777777" w:rsidR="00D52183" w:rsidRDefault="00D52183" w:rsidP="00D52183">
      <w:pPr>
        <w:pStyle w:val="FootnoteText"/>
        <w:jc w:val="both"/>
      </w:pPr>
      <w:r>
        <w:rPr>
          <w:rStyle w:val="FootnoteReference"/>
        </w:rPr>
        <w:footnoteRef/>
      </w:r>
      <w:r>
        <w:t xml:space="preserve"> </w:t>
      </w:r>
      <w:r w:rsidRPr="00ED73B7">
        <w:rPr>
          <w:rFonts w:cs="Times New Roman"/>
          <w:i/>
          <w:iCs/>
        </w:rPr>
        <w:t>In Re LTL Management, LLC</w:t>
      </w:r>
      <w:r>
        <w:rPr>
          <w:rFonts w:cs="Times New Roman"/>
        </w:rPr>
        <w:t>, Case No. 23-12825 (MBK), TCC Motion for Order Authorizing Estimation for Voting Purposes, PACER Document 1020-1, p. 3 (July 12, 2023) (noting that in the absence of an evaluation of the merits of some claims “all talc claimants will be forced to accept nuisance value settlements and, at the same time, talc claimants who reject such awards will be denied the right to pursue J &amp; J in the tort system”).</w:t>
      </w:r>
    </w:p>
  </w:footnote>
  <w:footnote w:id="10">
    <w:p w14:paraId="438C2255" w14:textId="77777777" w:rsidR="00D52183" w:rsidRDefault="00D52183" w:rsidP="00D52183">
      <w:pPr>
        <w:pStyle w:val="FootnoteText"/>
        <w:jc w:val="both"/>
      </w:pPr>
      <w:r>
        <w:rPr>
          <w:rStyle w:val="FootnoteReference"/>
        </w:rPr>
        <w:footnoteRef/>
      </w:r>
      <w:r>
        <w:t xml:space="preserve">  </w:t>
      </w:r>
      <w:r w:rsidRPr="00D820B3">
        <w:rPr>
          <w:rFonts w:cs="Times New Roman"/>
          <w:i/>
          <w:iCs/>
        </w:rPr>
        <w:t xml:space="preserve">See </w:t>
      </w:r>
      <w:r w:rsidRPr="00ED73B7">
        <w:rPr>
          <w:rFonts w:cs="Times New Roman"/>
          <w:i/>
          <w:iCs/>
        </w:rPr>
        <w:t>In Re LTL Management, LLC</w:t>
      </w:r>
      <w:r>
        <w:rPr>
          <w:rFonts w:cs="Times New Roman"/>
        </w:rPr>
        <w:t xml:space="preserve">, Case No. 21-30589 (MBK), Debtor’s Statement on Proposed Next Steps, PACER Document 2473, p.9 (June 10, 2022) (citing </w:t>
      </w:r>
      <w:proofErr w:type="gramStart"/>
      <w:r w:rsidRPr="00D820B3">
        <w:rPr>
          <w:rFonts w:cs="Times New Roman"/>
          <w:i/>
          <w:iCs/>
        </w:rPr>
        <w:t>In</w:t>
      </w:r>
      <w:proofErr w:type="gramEnd"/>
      <w:r w:rsidRPr="00D820B3">
        <w:rPr>
          <w:rFonts w:cs="Times New Roman"/>
          <w:i/>
          <w:iCs/>
        </w:rPr>
        <w:t xml:space="preserve"> re Garlock Sealing Techs., LLC</w:t>
      </w:r>
      <w:r>
        <w:rPr>
          <w:rFonts w:cs="Times New Roman"/>
        </w:rPr>
        <w:t xml:space="preserve"> 504 B.R.71, 74 (</w:t>
      </w:r>
      <w:proofErr w:type="spellStart"/>
      <w:r>
        <w:rPr>
          <w:rFonts w:cs="Times New Roman"/>
        </w:rPr>
        <w:t>Bankr</w:t>
      </w:r>
      <w:proofErr w:type="spellEnd"/>
      <w:r>
        <w:rPr>
          <w:rFonts w:cs="Times New Roman"/>
        </w:rPr>
        <w:t>. W.D.N.C. 20140) and noting “the court concluded that the settlement approach was an un ‘unreliable predictor of [Garlock’s] true liability’ for two principal reasons: because the settlement history was ‘infected by the manipulation of exposure evidence by plaintiffs and their lawyers’ and because many cases were settled ‘virtually entirely for cost avoidance’ with no ‘real analysis of the ‘liability’ to any individual claimant.”).</w:t>
      </w:r>
    </w:p>
  </w:footnote>
  <w:footnote w:id="11">
    <w:p w14:paraId="720DEFD1" w14:textId="77777777" w:rsidR="00D52183" w:rsidRDefault="00D52183" w:rsidP="00D52183">
      <w:pPr>
        <w:pStyle w:val="FootnoteText"/>
        <w:jc w:val="both"/>
      </w:pPr>
      <w:r>
        <w:rPr>
          <w:rStyle w:val="FootnoteReference"/>
        </w:rPr>
        <w:footnoteRef/>
      </w:r>
      <w:r>
        <w:t xml:space="preserve"> </w:t>
      </w:r>
      <w:r w:rsidRPr="00DF5CB8">
        <w:rPr>
          <w:rFonts w:cs="Times New Roman"/>
          <w:smallCaps/>
        </w:rPr>
        <w:t>Judicial Management of Mass Tort Bankruptcy Cases</w:t>
      </w:r>
      <w:r w:rsidRPr="00DF5CB8">
        <w:rPr>
          <w:rFonts w:cs="Times New Roman"/>
        </w:rPr>
        <w:t xml:space="preserve">, </w:t>
      </w:r>
      <w:r>
        <w:rPr>
          <w:rFonts w:cs="Times New Roman"/>
        </w:rPr>
        <w:t>S. Elizabeth Gibson, Federal Judicial Center,</w:t>
      </w:r>
      <w:r w:rsidRPr="00DF5CB8">
        <w:rPr>
          <w:rFonts w:cs="Times New Roman"/>
        </w:rPr>
        <w:t xml:space="preserve"> </w:t>
      </w:r>
      <w:r>
        <w:rPr>
          <w:rFonts w:cs="Times New Roman"/>
        </w:rPr>
        <w:t>p. 86 (2005).</w:t>
      </w:r>
    </w:p>
  </w:footnote>
  <w:footnote w:id="12">
    <w:p w14:paraId="1BB61612" w14:textId="77777777" w:rsidR="00D52183" w:rsidRDefault="00D52183" w:rsidP="00D52183">
      <w:pPr>
        <w:pStyle w:val="FootnoteText"/>
        <w:jc w:val="both"/>
      </w:pPr>
      <w:r>
        <w:rPr>
          <w:rStyle w:val="FootnoteReference"/>
        </w:rPr>
        <w:footnoteRef/>
      </w:r>
      <w:r>
        <w:t xml:space="preserve"> </w:t>
      </w:r>
      <w:r w:rsidRPr="00276690">
        <w:rPr>
          <w:rFonts w:cs="Times New Roman"/>
        </w:rPr>
        <w:t>28 U.S.C. §157((b)(2)(B).</w:t>
      </w:r>
    </w:p>
  </w:footnote>
  <w:footnote w:id="13">
    <w:p w14:paraId="33796ECE" w14:textId="77777777" w:rsidR="00D52183" w:rsidRDefault="00D52183" w:rsidP="00D52183">
      <w:pPr>
        <w:pStyle w:val="FootnoteText"/>
        <w:jc w:val="both"/>
      </w:pPr>
      <w:r>
        <w:rPr>
          <w:rStyle w:val="FootnoteReference"/>
        </w:rPr>
        <w:footnoteRef/>
      </w:r>
      <w:r>
        <w:t xml:space="preserve"> </w:t>
      </w:r>
      <w:bookmarkStart w:id="2" w:name="_Hlk144637169"/>
      <w:r w:rsidRPr="00DF5CB8">
        <w:rPr>
          <w:rFonts w:cs="Times New Roman"/>
          <w:smallCaps/>
        </w:rPr>
        <w:t>Judicial Management of Mass Tort Bankruptcy Cases</w:t>
      </w:r>
      <w:r w:rsidRPr="00DF5CB8">
        <w:rPr>
          <w:rFonts w:cs="Times New Roman"/>
        </w:rPr>
        <w:t xml:space="preserve">, </w:t>
      </w:r>
      <w:r>
        <w:rPr>
          <w:rFonts w:cs="Times New Roman"/>
        </w:rPr>
        <w:t>S. Elizabeth Gibson, Federal Judicial Center,</w:t>
      </w:r>
      <w:r w:rsidRPr="00DF5CB8">
        <w:rPr>
          <w:rFonts w:cs="Times New Roman"/>
        </w:rPr>
        <w:t xml:space="preserve"> </w:t>
      </w:r>
      <w:r>
        <w:rPr>
          <w:rFonts w:cs="Times New Roman"/>
        </w:rPr>
        <w:t>p. 89 (2005).</w:t>
      </w:r>
      <w:bookmarkEnd w:id="2"/>
    </w:p>
  </w:footnote>
  <w:footnote w:id="14">
    <w:p w14:paraId="549CAC80" w14:textId="77777777" w:rsidR="00D52183" w:rsidRDefault="00D52183" w:rsidP="00D52183">
      <w:pPr>
        <w:pStyle w:val="FootnoteText"/>
        <w:jc w:val="both"/>
      </w:pPr>
      <w:r>
        <w:rPr>
          <w:rStyle w:val="FootnoteReference"/>
        </w:rPr>
        <w:footnoteRef/>
      </w:r>
      <w:r>
        <w:t xml:space="preserve"> </w:t>
      </w:r>
      <w:r w:rsidRPr="00EC79FD">
        <w:rPr>
          <w:rFonts w:cs="Times New Roman"/>
          <w:i/>
          <w:iCs/>
        </w:rPr>
        <w:t>See</w:t>
      </w:r>
      <w:r>
        <w:t xml:space="preserve"> </w:t>
      </w:r>
      <w:r w:rsidRPr="00ED73B7">
        <w:rPr>
          <w:rFonts w:cs="Times New Roman"/>
          <w:i/>
          <w:iCs/>
        </w:rPr>
        <w:t>In Re LTL Management, LLC</w:t>
      </w:r>
      <w:r>
        <w:rPr>
          <w:rFonts w:cs="Times New Roman"/>
        </w:rPr>
        <w:t xml:space="preserve">, Case No. 23-12825 (MBK), TCC Motion for Order Authorizing Estimation for Voting Purposes, PACER Document 1020-1, p. 3 (July 12, 2023) </w:t>
      </w:r>
      <w:r w:rsidRPr="00F949B7">
        <w:rPr>
          <w:rFonts w:cs="Times New Roman"/>
        </w:rPr>
        <w:t>(</w:t>
      </w:r>
      <w:r w:rsidRPr="0012236D">
        <w:rPr>
          <w:rFonts w:cs="Times New Roman"/>
        </w:rPr>
        <w:t xml:space="preserve">These defenses are not always asserted by the debtor.  Historically, most mass-tort bankruptcies, which consisted primarily of asbestos actions, assigned an equal $1 weight to every claimant for voting purposes.  The Official Committee of Talc Claimants </w:t>
      </w:r>
      <w:r>
        <w:rPr>
          <w:rFonts w:cs="Times New Roman"/>
        </w:rPr>
        <w:t>(</w:t>
      </w:r>
      <w:r w:rsidRPr="0012236D">
        <w:rPr>
          <w:rFonts w:cs="Times New Roman"/>
        </w:rPr>
        <w:t>TCC</w:t>
      </w:r>
      <w:r>
        <w:rPr>
          <w:rFonts w:cs="Times New Roman"/>
        </w:rPr>
        <w:t>)</w:t>
      </w:r>
      <w:r w:rsidRPr="0012236D">
        <w:rPr>
          <w:rFonts w:cs="Times New Roman"/>
        </w:rPr>
        <w:t xml:space="preserve"> argued that judicial estimation would eliminate or substantially reduce the value of these claims for voting purposes, which required more than 50% of the total value to approve a proposed reorganization plan.  It would also provide adequate information sufficient to enable a claimant </w:t>
      </w:r>
      <w:proofErr w:type="gramStart"/>
      <w:r w:rsidRPr="0012236D">
        <w:rPr>
          <w:rFonts w:cs="Times New Roman"/>
        </w:rPr>
        <w:t>make</w:t>
      </w:r>
      <w:proofErr w:type="gramEnd"/>
      <w:r w:rsidRPr="0012236D">
        <w:rPr>
          <w:rFonts w:cs="Times New Roman"/>
        </w:rPr>
        <w:t xml:space="preserve"> an informed decision judgment about the plan.  After initially strongly protesting judicial estimation and while continuing to object to the validity of the bankruptcy in general, the TCC</w:t>
      </w:r>
      <w:r>
        <w:rPr>
          <w:rFonts w:cs="Times New Roman"/>
        </w:rPr>
        <w:t xml:space="preserve"> </w:t>
      </w:r>
      <w:r w:rsidRPr="0012236D">
        <w:rPr>
          <w:rFonts w:cs="Times New Roman"/>
        </w:rPr>
        <w:t>supported judicial estimation in the second LTL Management bankruptcy. The TCC limited its support to determining the eligibility of claimants for voting purposes and informing claimants before voting “as to their potential recovery.”)</w:t>
      </w:r>
      <w:r>
        <w:rPr>
          <w:rFonts w:cs="Times New Roman"/>
        </w:rPr>
        <w:t>.</w:t>
      </w:r>
    </w:p>
  </w:footnote>
  <w:footnote w:id="15">
    <w:p w14:paraId="19929846" w14:textId="77777777" w:rsidR="00D52183" w:rsidRDefault="00D52183" w:rsidP="00D52183">
      <w:pPr>
        <w:pStyle w:val="FootnoteText"/>
        <w:jc w:val="both"/>
      </w:pPr>
      <w:r>
        <w:rPr>
          <w:rStyle w:val="FootnoteReference"/>
        </w:rPr>
        <w:footnoteRef/>
      </w:r>
      <w:r>
        <w:t xml:space="preserve"> </w:t>
      </w:r>
      <w:r w:rsidRPr="00DF5CB8">
        <w:rPr>
          <w:rFonts w:cs="Times New Roman"/>
          <w:smallCaps/>
        </w:rPr>
        <w:t>Judicial Management of Mass Tort Bankruptcy Cases</w:t>
      </w:r>
      <w:r w:rsidRPr="00DF5CB8">
        <w:rPr>
          <w:rFonts w:cs="Times New Roman"/>
        </w:rPr>
        <w:t xml:space="preserve">, </w:t>
      </w:r>
      <w:r>
        <w:rPr>
          <w:rFonts w:cs="Times New Roman"/>
        </w:rPr>
        <w:t>S. Elizabeth Gibson, Federal Judicial Center,</w:t>
      </w:r>
      <w:r w:rsidRPr="00DF5CB8">
        <w:rPr>
          <w:rFonts w:cs="Times New Roman"/>
        </w:rPr>
        <w:t xml:space="preserve"> </w:t>
      </w:r>
      <w:r>
        <w:rPr>
          <w:rFonts w:cs="Times New Roman"/>
        </w:rPr>
        <w:t>p. 99 (2005).</w:t>
      </w:r>
    </w:p>
  </w:footnote>
  <w:footnote w:id="16">
    <w:p w14:paraId="27E86CE1" w14:textId="77777777" w:rsidR="00D52183" w:rsidRDefault="00D52183" w:rsidP="00D52183">
      <w:pPr>
        <w:pStyle w:val="FootnoteText"/>
        <w:jc w:val="both"/>
      </w:pPr>
      <w:r>
        <w:rPr>
          <w:rStyle w:val="FootnoteReference"/>
        </w:rPr>
        <w:footnoteRef/>
      </w:r>
      <w:r>
        <w:t xml:space="preserve"> S</w:t>
      </w:r>
      <w:r w:rsidRPr="00AA6101">
        <w:rPr>
          <w:rFonts w:cs="Times New Roman"/>
          <w:i/>
          <w:iCs/>
        </w:rPr>
        <w:t xml:space="preserve">ee </w:t>
      </w:r>
      <w:r w:rsidRPr="00ED73B7">
        <w:rPr>
          <w:rFonts w:cs="Times New Roman"/>
          <w:i/>
          <w:iCs/>
        </w:rPr>
        <w:t>In Re LTL Management, LLC</w:t>
      </w:r>
      <w:r>
        <w:rPr>
          <w:rFonts w:cs="Times New Roman"/>
        </w:rPr>
        <w:t>, Case No. 21-30589 (MBK), Debtor’s Reply in Support of the Need for Estimation, PACER Document 2769, p. 6 (July 22, 2022) (</w:t>
      </w:r>
      <w:r w:rsidRPr="00C90327">
        <w:rPr>
          <w:rFonts w:cs="Times New Roman"/>
        </w:rPr>
        <w:t>And, in fact, claimants have rejected the judicial estimation and substituted different negotiated estimates, which underscores the limited purpose of judicial estimation. “</w:t>
      </w:r>
      <w:r>
        <w:rPr>
          <w:rFonts w:cs="Times New Roman"/>
        </w:rPr>
        <w:t xml:space="preserve">The Court need only look at </w:t>
      </w:r>
      <w:r w:rsidRPr="00F025C3">
        <w:rPr>
          <w:rFonts w:cs="Times New Roman"/>
          <w:i/>
          <w:iCs/>
        </w:rPr>
        <w:t>Garlock</w:t>
      </w:r>
      <w:r>
        <w:rPr>
          <w:rFonts w:cs="Times New Roman"/>
        </w:rPr>
        <w:t xml:space="preserve">, where the court’s estimation of the debtor’s aggregate liability was less than the amount ultimately placed into the trust.”). </w:t>
      </w:r>
    </w:p>
  </w:footnote>
  <w:footnote w:id="17">
    <w:p w14:paraId="1AA5B71A" w14:textId="77777777" w:rsidR="00D52183" w:rsidRDefault="00D52183" w:rsidP="00D52183">
      <w:pPr>
        <w:pStyle w:val="FootnoteText"/>
        <w:jc w:val="both"/>
      </w:pPr>
      <w:r>
        <w:rPr>
          <w:rStyle w:val="FootnoteReference"/>
        </w:rPr>
        <w:footnoteRef/>
      </w:r>
      <w:r>
        <w:t xml:space="preserve"> </w:t>
      </w:r>
      <w:bookmarkStart w:id="4" w:name="_Hlk144663386"/>
      <w:r w:rsidRPr="00ED73B7">
        <w:rPr>
          <w:rFonts w:cs="Times New Roman"/>
          <w:i/>
          <w:iCs/>
        </w:rPr>
        <w:t>In Re LTL Management, LLC</w:t>
      </w:r>
      <w:r>
        <w:rPr>
          <w:rFonts w:cs="Times New Roman"/>
        </w:rPr>
        <w:t>, Case No. 23-12825 (MBK), TCC Motion for Order Authorizing Estimation for Voting Purposes, PACER Document 1020-1, p. 21 (July 12, 2023).</w:t>
      </w:r>
      <w:bookmarkEnd w:id="4"/>
    </w:p>
  </w:footnote>
  <w:footnote w:id="18">
    <w:p w14:paraId="626E1F3C" w14:textId="77777777" w:rsidR="00D52183" w:rsidRPr="007B45C1" w:rsidRDefault="00D52183" w:rsidP="00D52183">
      <w:pPr>
        <w:pStyle w:val="FootnoteText"/>
        <w:jc w:val="both"/>
        <w:rPr>
          <w:rFonts w:cs="Times New Roman"/>
        </w:rPr>
      </w:pPr>
      <w:r w:rsidRPr="007B45C1">
        <w:rPr>
          <w:rStyle w:val="FootnoteReference"/>
          <w:rFonts w:cs="Times New Roman"/>
        </w:rPr>
        <w:footnoteRef/>
      </w:r>
      <w:r w:rsidRPr="007B45C1">
        <w:rPr>
          <w:rFonts w:cs="Times New Roman"/>
        </w:rPr>
        <w:t xml:space="preserve"> MCL, § 22.56.</w:t>
      </w:r>
    </w:p>
  </w:footnote>
  <w:footnote w:id="19">
    <w:p w14:paraId="35B122E1" w14:textId="77777777" w:rsidR="00D52183" w:rsidRDefault="00D52183" w:rsidP="00D52183">
      <w:pPr>
        <w:pStyle w:val="FootnoteText"/>
        <w:jc w:val="both"/>
      </w:pPr>
      <w:r>
        <w:rPr>
          <w:rStyle w:val="FootnoteReference"/>
        </w:rPr>
        <w:footnoteRef/>
      </w:r>
      <w:r>
        <w:t xml:space="preserve"> </w:t>
      </w:r>
      <w:r w:rsidRPr="00DF5CB8">
        <w:rPr>
          <w:rFonts w:cs="Times New Roman"/>
          <w:smallCaps/>
        </w:rPr>
        <w:t>Judicial Management of Mass Tort Bankruptcy Cases</w:t>
      </w:r>
      <w:r w:rsidRPr="00DF5CB8">
        <w:rPr>
          <w:rFonts w:cs="Times New Roman"/>
        </w:rPr>
        <w:t xml:space="preserve">, </w:t>
      </w:r>
      <w:r>
        <w:rPr>
          <w:rFonts w:cs="Times New Roman"/>
        </w:rPr>
        <w:t>S. Elizabeth Gibson, Federal Judicial Center,</w:t>
      </w:r>
      <w:r w:rsidRPr="00DF5CB8">
        <w:rPr>
          <w:rFonts w:cs="Times New Roman"/>
        </w:rPr>
        <w:t xml:space="preserve"> </w:t>
      </w:r>
      <w:r>
        <w:rPr>
          <w:rFonts w:cs="Times New Roman"/>
        </w:rPr>
        <w:t>p. 102 (2005).</w:t>
      </w:r>
    </w:p>
  </w:footnote>
  <w:footnote w:id="20">
    <w:p w14:paraId="6793E2A9" w14:textId="77777777" w:rsidR="00D52183" w:rsidRPr="00D013F2" w:rsidRDefault="00D52183" w:rsidP="00D52183">
      <w:pPr>
        <w:pStyle w:val="FootnoteText"/>
        <w:jc w:val="both"/>
        <w:rPr>
          <w:rFonts w:cs="Times New Roman"/>
        </w:rPr>
      </w:pPr>
      <w:r>
        <w:rPr>
          <w:rStyle w:val="FootnoteReference"/>
        </w:rPr>
        <w:footnoteRef/>
      </w:r>
      <w:r>
        <w:t xml:space="preserve"> </w:t>
      </w:r>
      <w:r w:rsidRPr="00B93B5B">
        <w:rPr>
          <w:rFonts w:cs="Times New Roman"/>
          <w:i/>
          <w:iCs/>
        </w:rPr>
        <w:t>See</w:t>
      </w:r>
      <w:r w:rsidRPr="00B93B5B">
        <w:rPr>
          <w:rFonts w:cs="Times New Roman"/>
        </w:rPr>
        <w:t xml:space="preserve"> </w:t>
      </w:r>
      <w:r w:rsidRPr="00B93B5B">
        <w:rPr>
          <w:rFonts w:cs="Times New Roman"/>
          <w:i/>
          <w:iCs/>
        </w:rPr>
        <w:t>In Re LTL Management, LLC</w:t>
      </w:r>
      <w:r w:rsidRPr="00B93B5B">
        <w:rPr>
          <w:rFonts w:cs="Times New Roman"/>
        </w:rPr>
        <w:t xml:space="preserve">, Case No. 21-30589 (MBK), Declaration of Kenneth Feinberg for appointment as Court Expert (Aug. 10, 2022) (“My negotiated fee, to be paid by the Debtor, will be $500,000 per month, plus reasonable reimbursements”); </w:t>
      </w:r>
      <w:r w:rsidRPr="00B93B5B">
        <w:rPr>
          <w:rFonts w:cs="Times New Roman"/>
          <w:i/>
          <w:iCs/>
        </w:rPr>
        <w:t>see also</w:t>
      </w:r>
      <w:r w:rsidRPr="00B93B5B">
        <w:rPr>
          <w:rFonts w:cs="Times New Roman"/>
        </w:rPr>
        <w:t xml:space="preserve"> </w:t>
      </w:r>
      <w:r w:rsidRPr="00B93B5B">
        <w:rPr>
          <w:rFonts w:cs="Times New Roman"/>
          <w:i/>
          <w:iCs/>
        </w:rPr>
        <w:t>Id</w:t>
      </w:r>
      <w:r>
        <w:rPr>
          <w:rFonts w:cs="Times New Roman"/>
          <w:i/>
          <w:iCs/>
        </w:rPr>
        <w:t xml:space="preserve"> </w:t>
      </w:r>
      <w:r w:rsidRPr="00B93B5B">
        <w:rPr>
          <w:rFonts w:cs="Times New Roman"/>
        </w:rPr>
        <w:t>at PACER Doc. 3562</w:t>
      </w:r>
      <w:r>
        <w:rPr>
          <w:rFonts w:cs="Times New Roman"/>
        </w:rPr>
        <w:t xml:space="preserve"> December 30, 2022) </w:t>
      </w:r>
      <w:r w:rsidRPr="00B93B5B">
        <w:rPr>
          <w:rFonts w:cs="Times New Roman"/>
        </w:rPr>
        <w:t xml:space="preserve"> </w:t>
      </w:r>
      <w:r>
        <w:rPr>
          <w:rFonts w:cs="Times New Roman"/>
        </w:rPr>
        <w:t>(</w:t>
      </w:r>
      <w:r w:rsidRPr="00B93B5B">
        <w:rPr>
          <w:rFonts w:cs="Times New Roman"/>
        </w:rPr>
        <w:t xml:space="preserve">letter on behalf of Kenneth Feinberg setting budget for retained expert at between $2.3 million and $2.8 </w:t>
      </w:r>
      <w:r>
        <w:rPr>
          <w:rFonts w:cs="Times New Roman"/>
        </w:rPr>
        <w:t>m</w:t>
      </w:r>
      <w:r w:rsidRPr="00B93B5B">
        <w:rPr>
          <w:rFonts w:cs="Times New Roman"/>
        </w:rPr>
        <w:t>illion plus estimated expenses between $35,000 and $65,000 completed in first quarter of 2023</w:t>
      </w:r>
      <w:r>
        <w:rPr>
          <w:rFonts w:cs="Times New Roman"/>
        </w:rPr>
        <w:t>)</w:t>
      </w:r>
      <w:r w:rsidRPr="00B93B5B">
        <w:rPr>
          <w:rFonts w:cs="Times New Roman"/>
        </w:rPr>
        <w:t>.</w:t>
      </w:r>
      <w:r>
        <w:t xml:space="preserve"> </w:t>
      </w:r>
    </w:p>
  </w:footnote>
  <w:footnote w:id="21">
    <w:p w14:paraId="2F6B4DD4" w14:textId="77777777" w:rsidR="00D52183" w:rsidRDefault="00D52183" w:rsidP="00D52183">
      <w:pPr>
        <w:pStyle w:val="FootnoteText"/>
        <w:jc w:val="both"/>
      </w:pPr>
      <w:r>
        <w:rPr>
          <w:rStyle w:val="FootnoteReference"/>
        </w:rPr>
        <w:footnoteRef/>
      </w:r>
      <w:r>
        <w:t xml:space="preserve"> </w:t>
      </w:r>
      <w:r w:rsidRPr="00AA6101">
        <w:rPr>
          <w:rFonts w:cs="Times New Roman"/>
          <w:i/>
          <w:iCs/>
        </w:rPr>
        <w:t xml:space="preserve">See </w:t>
      </w:r>
      <w:r w:rsidRPr="00ED73B7">
        <w:rPr>
          <w:rFonts w:cs="Times New Roman"/>
          <w:i/>
          <w:iCs/>
        </w:rPr>
        <w:t>In Re LTL Management, LLC</w:t>
      </w:r>
      <w:r>
        <w:rPr>
          <w:rFonts w:cs="Times New Roman"/>
        </w:rPr>
        <w:t xml:space="preserve">, Case No. 21-30589 (MBK), TCC Statement in Opposition to Debtor’s Request for Estimation, PACER Document 2722, pp. 19-20 (July 15, 2022) (“In fact, the parties already have substantial information which can be produced and shared immediately.  J &amp; J has been litigating these issues for years in the tort system.  Verdicts have been rendered. Appellate courts have ruled.  The parties have been through discovery.  Both sides understand each other fully.  J &amp; J has been settling talc claims for years.  </w:t>
      </w:r>
      <w:proofErr w:type="gramStart"/>
      <w:r>
        <w:rPr>
          <w:rFonts w:cs="Times New Roman"/>
        </w:rPr>
        <w:t>All of</w:t>
      </w:r>
      <w:proofErr w:type="gramEnd"/>
      <w:r>
        <w:rPr>
          <w:rFonts w:cs="Times New Roman"/>
        </w:rPr>
        <w:t xml:space="preserve"> this data is presently available.”).</w:t>
      </w:r>
    </w:p>
  </w:footnote>
  <w:footnote w:id="22">
    <w:p w14:paraId="42958F17" w14:textId="77777777" w:rsidR="00D52183" w:rsidRDefault="00D52183" w:rsidP="00D52183">
      <w:pPr>
        <w:pStyle w:val="FootnoteText"/>
        <w:jc w:val="both"/>
      </w:pPr>
      <w:r>
        <w:rPr>
          <w:rStyle w:val="FootnoteReference"/>
        </w:rPr>
        <w:footnoteRef/>
      </w:r>
      <w:r>
        <w:t xml:space="preserve">  </w:t>
      </w:r>
      <w:r w:rsidRPr="00AA6101">
        <w:rPr>
          <w:rFonts w:cs="Times New Roman"/>
          <w:i/>
          <w:iCs/>
        </w:rPr>
        <w:t xml:space="preserve">See </w:t>
      </w:r>
      <w:r w:rsidRPr="00ED73B7">
        <w:rPr>
          <w:rFonts w:cs="Times New Roman"/>
          <w:i/>
          <w:iCs/>
        </w:rPr>
        <w:t>In Re LTL Management, LLC</w:t>
      </w:r>
      <w:r>
        <w:rPr>
          <w:rFonts w:cs="Times New Roman"/>
        </w:rPr>
        <w:t>, Case No. 21-30589 (MBK), TCC Motion to Terminate Debtor’s Exclusive Period, PACER Document 2769, p. 21 (July 22, 2022) (trust would include “eligibility gating factors, a claims matrix with base and maximum values for mesothelioma and ovarian cancer claims, as well as scaling factors to account for differences in the impact of disease on different cohorts of victims”).</w:t>
      </w:r>
    </w:p>
  </w:footnote>
  <w:footnote w:id="23">
    <w:p w14:paraId="7E9F2D5C" w14:textId="77777777" w:rsidR="00D52183" w:rsidRPr="00896744" w:rsidRDefault="00D52183" w:rsidP="00D52183">
      <w:pPr>
        <w:pStyle w:val="FootnoteText"/>
        <w:jc w:val="both"/>
        <w:rPr>
          <w:rFonts w:cs="Times New Roman"/>
        </w:rPr>
      </w:pPr>
      <w:r>
        <w:rPr>
          <w:rStyle w:val="FootnoteReference"/>
        </w:rPr>
        <w:footnoteRef/>
      </w:r>
      <w:r>
        <w:t xml:space="preserve"> </w:t>
      </w:r>
      <w:r>
        <w:rPr>
          <w:rFonts w:cs="Times New Roman"/>
        </w:rPr>
        <w:t>Fed. R. Evid. 408(b)(2), “Evidence of the following is not admissible-on behalf of any party-either to prove or disprove the validity or amount of a disputed claim</w:t>
      </w:r>
      <w:proofErr w:type="gramStart"/>
      <w:r>
        <w:rPr>
          <w:rFonts w:cs="Times New Roman"/>
        </w:rPr>
        <w:t>…(</w:t>
      </w:r>
      <w:proofErr w:type="gramEnd"/>
      <w:r>
        <w:rPr>
          <w:rFonts w:cs="Times New Roman"/>
        </w:rPr>
        <w:t>2) conduct or a statement made during compromise negotiations about the claim.”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E3FD0"/>
    <w:multiLevelType w:val="hybridMultilevel"/>
    <w:tmpl w:val="24647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4871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83"/>
    <w:rsid w:val="00234E19"/>
    <w:rsid w:val="0063579F"/>
    <w:rsid w:val="007744DB"/>
    <w:rsid w:val="008D319F"/>
    <w:rsid w:val="009B75A9"/>
    <w:rsid w:val="00A3746E"/>
    <w:rsid w:val="00C624D6"/>
    <w:rsid w:val="00C654FF"/>
    <w:rsid w:val="00C95781"/>
    <w:rsid w:val="00C971A6"/>
    <w:rsid w:val="00D52183"/>
    <w:rsid w:val="00F70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83095"/>
  <w15:chartTrackingRefBased/>
  <w15:docId w15:val="{080A00C3-4450-4DF6-8EA2-FA346266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1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1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1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1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1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1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1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1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1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1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1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1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1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1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1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1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1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183"/>
    <w:rPr>
      <w:rFonts w:eastAsiaTheme="majorEastAsia" w:cstheme="majorBidi"/>
      <w:color w:val="272727" w:themeColor="text1" w:themeTint="D8"/>
    </w:rPr>
  </w:style>
  <w:style w:type="paragraph" w:styleId="Title">
    <w:name w:val="Title"/>
    <w:basedOn w:val="Normal"/>
    <w:next w:val="Normal"/>
    <w:link w:val="TitleChar"/>
    <w:uiPriority w:val="10"/>
    <w:qFormat/>
    <w:rsid w:val="00D52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1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1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1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183"/>
    <w:pPr>
      <w:spacing w:before="160"/>
      <w:jc w:val="center"/>
    </w:pPr>
    <w:rPr>
      <w:i/>
      <w:iCs/>
      <w:color w:val="404040" w:themeColor="text1" w:themeTint="BF"/>
    </w:rPr>
  </w:style>
  <w:style w:type="character" w:customStyle="1" w:styleId="QuoteChar">
    <w:name w:val="Quote Char"/>
    <w:basedOn w:val="DefaultParagraphFont"/>
    <w:link w:val="Quote"/>
    <w:uiPriority w:val="29"/>
    <w:rsid w:val="00D52183"/>
    <w:rPr>
      <w:i/>
      <w:iCs/>
      <w:color w:val="404040" w:themeColor="text1" w:themeTint="BF"/>
    </w:rPr>
  </w:style>
  <w:style w:type="paragraph" w:styleId="ListParagraph">
    <w:name w:val="List Paragraph"/>
    <w:basedOn w:val="Normal"/>
    <w:link w:val="ListParagraphChar"/>
    <w:uiPriority w:val="34"/>
    <w:qFormat/>
    <w:rsid w:val="00D52183"/>
    <w:pPr>
      <w:ind w:left="720"/>
      <w:contextualSpacing/>
    </w:pPr>
  </w:style>
  <w:style w:type="character" w:styleId="IntenseEmphasis">
    <w:name w:val="Intense Emphasis"/>
    <w:basedOn w:val="DefaultParagraphFont"/>
    <w:uiPriority w:val="21"/>
    <w:qFormat/>
    <w:rsid w:val="00D52183"/>
    <w:rPr>
      <w:i/>
      <w:iCs/>
      <w:color w:val="0F4761" w:themeColor="accent1" w:themeShade="BF"/>
    </w:rPr>
  </w:style>
  <w:style w:type="paragraph" w:styleId="IntenseQuote">
    <w:name w:val="Intense Quote"/>
    <w:basedOn w:val="Normal"/>
    <w:next w:val="Normal"/>
    <w:link w:val="IntenseQuoteChar"/>
    <w:uiPriority w:val="30"/>
    <w:qFormat/>
    <w:rsid w:val="00D521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183"/>
    <w:rPr>
      <w:i/>
      <w:iCs/>
      <w:color w:val="0F4761" w:themeColor="accent1" w:themeShade="BF"/>
    </w:rPr>
  </w:style>
  <w:style w:type="character" w:styleId="IntenseReference">
    <w:name w:val="Intense Reference"/>
    <w:basedOn w:val="DefaultParagraphFont"/>
    <w:uiPriority w:val="32"/>
    <w:qFormat/>
    <w:rsid w:val="00D52183"/>
    <w:rPr>
      <w:b/>
      <w:bCs/>
      <w:smallCaps/>
      <w:color w:val="0F4761" w:themeColor="accent1" w:themeShade="BF"/>
      <w:spacing w:val="5"/>
    </w:rPr>
  </w:style>
  <w:style w:type="paragraph" w:styleId="FootnoteText">
    <w:name w:val="footnote text"/>
    <w:basedOn w:val="Normal"/>
    <w:link w:val="FootnoteTextChar"/>
    <w:uiPriority w:val="99"/>
    <w:unhideWhenUsed/>
    <w:rsid w:val="00D52183"/>
    <w:pPr>
      <w:spacing w:after="0" w:line="240" w:lineRule="auto"/>
    </w:pPr>
    <w:rPr>
      <w:rFonts w:ascii="Times New Roman" w:hAnsi="Times New Roman"/>
      <w:color w:val="000000" w:themeColor="text1"/>
      <w:kern w:val="0"/>
      <w:sz w:val="20"/>
      <w:szCs w:val="20"/>
      <w14:ligatures w14:val="none"/>
    </w:rPr>
  </w:style>
  <w:style w:type="character" w:customStyle="1" w:styleId="FootnoteTextChar">
    <w:name w:val="Footnote Text Char"/>
    <w:basedOn w:val="DefaultParagraphFont"/>
    <w:link w:val="FootnoteText"/>
    <w:uiPriority w:val="99"/>
    <w:rsid w:val="00D52183"/>
    <w:rPr>
      <w:rFonts w:ascii="Times New Roman" w:hAnsi="Times New Roman"/>
      <w:color w:val="000000" w:themeColor="text1"/>
      <w:kern w:val="0"/>
      <w:sz w:val="20"/>
      <w:szCs w:val="20"/>
      <w14:ligatures w14:val="none"/>
    </w:rPr>
  </w:style>
  <w:style w:type="character" w:styleId="FootnoteReference">
    <w:name w:val="footnote reference"/>
    <w:basedOn w:val="DefaultParagraphFont"/>
    <w:uiPriority w:val="99"/>
    <w:semiHidden/>
    <w:unhideWhenUsed/>
    <w:rsid w:val="00D52183"/>
    <w:rPr>
      <w:vertAlign w:val="superscript"/>
    </w:rPr>
  </w:style>
  <w:style w:type="paragraph" w:styleId="NoSpacing">
    <w:name w:val="No Spacing"/>
    <w:uiPriority w:val="1"/>
    <w:qFormat/>
    <w:rsid w:val="00D52183"/>
    <w:pPr>
      <w:spacing w:after="0" w:line="240" w:lineRule="auto"/>
    </w:pPr>
    <w:rPr>
      <w:rFonts w:ascii="Times New Roman" w:hAnsi="Times New Roman"/>
      <w:kern w:val="0"/>
      <w:sz w:val="24"/>
      <w14:ligatures w14:val="none"/>
    </w:rPr>
  </w:style>
  <w:style w:type="character" w:customStyle="1" w:styleId="ListParagraphChar">
    <w:name w:val="List Paragraph Char"/>
    <w:basedOn w:val="DefaultParagraphFont"/>
    <w:link w:val="ListParagraph"/>
    <w:uiPriority w:val="34"/>
    <w:rsid w:val="00D52183"/>
  </w:style>
  <w:style w:type="paragraph" w:styleId="Header">
    <w:name w:val="header"/>
    <w:basedOn w:val="Normal"/>
    <w:link w:val="HeaderChar"/>
    <w:uiPriority w:val="99"/>
    <w:unhideWhenUsed/>
    <w:rsid w:val="00774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4DB"/>
  </w:style>
  <w:style w:type="paragraph" w:styleId="Footer">
    <w:name w:val="footer"/>
    <w:basedOn w:val="Normal"/>
    <w:link w:val="FooterChar"/>
    <w:uiPriority w:val="99"/>
    <w:unhideWhenUsed/>
    <w:rsid w:val="00774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9BC89-5DC0-4271-9912-86CD7ACC5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2396</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2</cp:revision>
  <dcterms:created xsi:type="dcterms:W3CDTF">2024-05-14T14:22:00Z</dcterms:created>
  <dcterms:modified xsi:type="dcterms:W3CDTF">2024-05-14T14:47:00Z</dcterms:modified>
</cp:coreProperties>
</file>