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F8FBB7" w14:textId="77777777" w:rsidR="008A2BA3" w:rsidRDefault="008A2BA3" w:rsidP="008A2BA3">
      <w:pPr>
        <w:pStyle w:val="NoSpacing"/>
        <w:ind w:left="720" w:right="720"/>
        <w:jc w:val="both"/>
        <w:rPr>
          <w:b/>
          <w:bCs/>
        </w:rPr>
      </w:pPr>
    </w:p>
    <w:p w14:paraId="52F8FBD0" w14:textId="77777777" w:rsidR="008A2BA3" w:rsidRDefault="008A2BA3" w:rsidP="008A2BA3">
      <w:pPr>
        <w:pStyle w:val="NoSpacing"/>
        <w:ind w:left="720" w:right="720"/>
        <w:jc w:val="both"/>
        <w:rPr>
          <w:b/>
          <w:bCs/>
        </w:rPr>
      </w:pPr>
    </w:p>
    <w:p w14:paraId="4AACF495" w14:textId="682FDACF" w:rsidR="008A2BA3" w:rsidRDefault="008A2BA3" w:rsidP="008A2BA3">
      <w:pPr>
        <w:pStyle w:val="NoSpacing"/>
        <w:ind w:left="720" w:right="720"/>
        <w:jc w:val="both"/>
        <w:rPr>
          <w:b/>
          <w:bCs/>
        </w:rPr>
      </w:pPr>
      <w:r>
        <w:rPr>
          <w:noProof/>
        </w:rPr>
        <w:drawing>
          <wp:inline distT="0" distB="0" distL="0" distR="0" wp14:anchorId="0EEA1982" wp14:editId="35AAD669">
            <wp:extent cx="5010150" cy="828675"/>
            <wp:effectExtent l="0" t="0" r="0" b="9525"/>
            <wp:docPr id="5" name="Picture 5" descr="Graphical user interface, timelin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Graphical user interface, timeline&#10;&#10;Description automatically generated with medium confidence"/>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481" t="18882" r="481" b="63826"/>
                    <a:stretch/>
                  </pic:blipFill>
                  <pic:spPr bwMode="auto">
                    <a:xfrm>
                      <a:off x="0" y="0"/>
                      <a:ext cx="5010150" cy="828675"/>
                    </a:xfrm>
                    <a:prstGeom prst="rect">
                      <a:avLst/>
                    </a:prstGeom>
                    <a:noFill/>
                    <a:ln>
                      <a:noFill/>
                    </a:ln>
                    <a:extLst>
                      <a:ext uri="{53640926-AAD7-44D8-BBD7-CCE9431645EC}">
                        <a14:shadowObscured xmlns:a14="http://schemas.microsoft.com/office/drawing/2010/main"/>
                      </a:ext>
                    </a:extLst>
                  </pic:spPr>
                </pic:pic>
              </a:graphicData>
            </a:graphic>
          </wp:inline>
        </w:drawing>
      </w:r>
    </w:p>
    <w:p w14:paraId="413C2737" w14:textId="6A3550B2" w:rsidR="008A2BA3" w:rsidRDefault="00C6173E" w:rsidP="00C6173E">
      <w:pPr>
        <w:pStyle w:val="NoSpacing"/>
        <w:ind w:left="720" w:right="720"/>
        <w:jc w:val="center"/>
        <w:rPr>
          <w:b/>
          <w:bCs/>
        </w:rPr>
      </w:pPr>
      <w:r>
        <w:rPr>
          <w:b/>
          <w:bCs/>
        </w:rPr>
        <w:t>July 30, 2024</w:t>
      </w:r>
    </w:p>
    <w:p w14:paraId="4E451873" w14:textId="77777777" w:rsidR="008A2BA3" w:rsidRDefault="008A2BA3" w:rsidP="008A2BA3">
      <w:pPr>
        <w:pStyle w:val="NoSpacing"/>
        <w:ind w:left="720" w:right="720"/>
        <w:jc w:val="both"/>
        <w:rPr>
          <w:b/>
          <w:bCs/>
        </w:rPr>
      </w:pPr>
    </w:p>
    <w:p w14:paraId="60745158" w14:textId="3BB9497D" w:rsidR="008A2BA3" w:rsidRDefault="008A2BA3" w:rsidP="008A2BA3">
      <w:pPr>
        <w:pStyle w:val="NoSpacing"/>
        <w:ind w:left="720" w:right="720"/>
        <w:jc w:val="both"/>
      </w:pPr>
      <w:r w:rsidRPr="002E1E3C">
        <w:rPr>
          <w:b/>
          <w:bCs/>
        </w:rPr>
        <w:t xml:space="preserve">Best Practice </w:t>
      </w:r>
      <w:r>
        <w:rPr>
          <w:rFonts w:cs="Times New Roman"/>
          <w:b/>
          <w:bCs/>
          <w:szCs w:val="24"/>
        </w:rPr>
        <w:t>MDL-§ 6</w:t>
      </w:r>
      <w:r>
        <w:rPr>
          <w:b/>
          <w:bCs/>
        </w:rPr>
        <w:t>(b)</w:t>
      </w:r>
      <w:r w:rsidRPr="002E1E3C">
        <w:rPr>
          <w:b/>
          <w:bCs/>
        </w:rPr>
        <w:t>:</w:t>
      </w:r>
      <w:r w:rsidRPr="002E1E3C">
        <w:t xml:space="preserve"> </w:t>
      </w:r>
      <w:r>
        <w:rPr>
          <w:rFonts w:cs="Times New Roman"/>
          <w:szCs w:val="24"/>
        </w:rPr>
        <w:t xml:space="preserve">Unless the court orders otherwise, </w:t>
      </w:r>
      <w:r>
        <w:t>t</w:t>
      </w:r>
      <w:r w:rsidRPr="002E1E3C">
        <w:t xml:space="preserve">he parties </w:t>
      </w:r>
      <w:r>
        <w:t xml:space="preserve">must </w:t>
      </w:r>
      <w:r>
        <w:rPr>
          <w:rFonts w:cs="Times New Roman"/>
          <w:szCs w:val="24"/>
        </w:rPr>
        <w:t xml:space="preserve">address their initial views on </w:t>
      </w:r>
      <w:r>
        <w:t>regarding</w:t>
      </w:r>
      <w:r w:rsidRPr="00E26FCD">
        <w:rPr>
          <w:rFonts w:cs="Times New Roman"/>
          <w:szCs w:val="24"/>
        </w:rPr>
        <w:t xml:space="preserve"> </w:t>
      </w:r>
      <w:r>
        <w:rPr>
          <w:rFonts w:cs="Times New Roman"/>
          <w:szCs w:val="24"/>
        </w:rPr>
        <w:t xml:space="preserve">how and when the parties will </w:t>
      </w:r>
      <w:r>
        <w:t xml:space="preserve">exchange information about factual bases for their claims and defenses, which should include considering adopting a comprehensive, but surgically precise, approach to handle frivolous and meritless filings and unwarranted denials of factual contentions involving many actions.  Permanent No. </w:t>
      </w:r>
      <w:r>
        <w:rPr>
          <w:rFonts w:cs="Times New Roman"/>
          <w:szCs w:val="24"/>
        </w:rPr>
        <w:t>MDL-§ 15</w:t>
      </w:r>
      <w:r>
        <w:t>(b).</w:t>
      </w:r>
    </w:p>
    <w:p w14:paraId="69618245" w14:textId="77777777" w:rsidR="008A2BA3" w:rsidRDefault="008A2BA3" w:rsidP="008A2BA3">
      <w:pPr>
        <w:pStyle w:val="NoSpacing"/>
        <w:ind w:left="720" w:right="720"/>
        <w:jc w:val="both"/>
      </w:pPr>
    </w:p>
    <w:p w14:paraId="5CCF8115" w14:textId="77777777" w:rsidR="008A2BA3" w:rsidRDefault="008A2BA3" w:rsidP="008A2B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Mass-tort MDLs can consist of thousands and tens of thousands of actions.  Even a small percentage that are frivolous or meritless imposes substantial burdens on the system.</w:t>
      </w:r>
      <w:r>
        <w:rPr>
          <w:rStyle w:val="FootnoteReference"/>
          <w:rFonts w:ascii="Times New Roman" w:hAnsi="Times New Roman" w:cs="Times New Roman"/>
          <w:sz w:val="24"/>
          <w:szCs w:val="24"/>
        </w:rPr>
        <w:footnoteReference w:id="1"/>
      </w:r>
      <w:r>
        <w:rPr>
          <w:rFonts w:ascii="Times New Roman" w:hAnsi="Times New Roman" w:cs="Times New Roman"/>
          <w:sz w:val="24"/>
          <w:szCs w:val="24"/>
        </w:rPr>
        <w:t xml:space="preserve">  The key practical purpose of Rule 16.1(b)(3)(B) is to establish practices and procedures to efficiently handle and deter “frivolous” or “meritless” filings and unwarranted denials of a factual contention that involve many individual actions in violation of Rule 11.</w:t>
      </w:r>
      <w:r>
        <w:rPr>
          <w:rStyle w:val="FootnoteReference"/>
          <w:rFonts w:ascii="Times New Roman" w:hAnsi="Times New Roman" w:cs="Times New Roman"/>
          <w:sz w:val="24"/>
          <w:szCs w:val="24"/>
        </w:rPr>
        <w:footnoteReference w:id="2"/>
      </w:r>
      <w:r>
        <w:rPr>
          <w:rFonts w:ascii="Times New Roman" w:hAnsi="Times New Roman" w:cs="Times New Roman"/>
          <w:sz w:val="24"/>
          <w:szCs w:val="24"/>
        </w:rPr>
        <w:t xml:space="preserve">  A court is well equipped to handle Rule 11 violations in a single action.  But when the rule is violated in hundreds or thousands of actions in a mass-tort MDL, a comprehensive approach is needed.</w:t>
      </w:r>
      <w:r>
        <w:rPr>
          <w:rStyle w:val="FootnoteReference"/>
          <w:rFonts w:ascii="Times New Roman" w:hAnsi="Times New Roman" w:cs="Times New Roman"/>
          <w:sz w:val="24"/>
          <w:szCs w:val="24"/>
        </w:rPr>
        <w:footnoteReference w:id="3"/>
      </w:r>
    </w:p>
    <w:p w14:paraId="1F97F1AD" w14:textId="77777777" w:rsidR="008A2BA3" w:rsidRDefault="008A2BA3" w:rsidP="008A2BA3">
      <w:pPr>
        <w:spacing w:after="0" w:line="360" w:lineRule="auto"/>
        <w:ind w:firstLine="720"/>
        <w:jc w:val="both"/>
        <w:rPr>
          <w:rFonts w:ascii="Times New Roman" w:hAnsi="Times New Roman" w:cs="Times New Roman"/>
          <w:sz w:val="24"/>
          <w:szCs w:val="24"/>
        </w:rPr>
      </w:pPr>
      <w:r w:rsidRPr="00BF1111">
        <w:rPr>
          <w:rFonts w:ascii="Times New Roman" w:hAnsi="Times New Roman" w:cs="Times New Roman"/>
          <w:sz w:val="24"/>
          <w:szCs w:val="24"/>
        </w:rPr>
        <w:t xml:space="preserve">The court and plaintiff and defense lawyers </w:t>
      </w:r>
      <w:r>
        <w:rPr>
          <w:rFonts w:ascii="Times New Roman" w:hAnsi="Times New Roman" w:cs="Times New Roman"/>
          <w:sz w:val="24"/>
          <w:szCs w:val="24"/>
        </w:rPr>
        <w:t>share</w:t>
      </w:r>
      <w:r w:rsidRPr="00BF1111">
        <w:rPr>
          <w:rFonts w:ascii="Times New Roman" w:hAnsi="Times New Roman" w:cs="Times New Roman"/>
          <w:sz w:val="24"/>
          <w:szCs w:val="24"/>
        </w:rPr>
        <w:t xml:space="preserve"> a joint responsibility to </w:t>
      </w:r>
      <w:r>
        <w:rPr>
          <w:rFonts w:ascii="Times New Roman" w:hAnsi="Times New Roman" w:cs="Times New Roman"/>
          <w:sz w:val="24"/>
          <w:szCs w:val="24"/>
        </w:rPr>
        <w:t>develop procedures that deter frivolous and meritless filings before they complicate</w:t>
      </w:r>
      <w:r w:rsidRPr="00BF1111">
        <w:rPr>
          <w:rFonts w:ascii="Times New Roman" w:hAnsi="Times New Roman" w:cs="Times New Roman"/>
          <w:sz w:val="24"/>
          <w:szCs w:val="24"/>
        </w:rPr>
        <w:t xml:space="preserve"> </w:t>
      </w:r>
      <w:r>
        <w:rPr>
          <w:rFonts w:ascii="Times New Roman" w:hAnsi="Times New Roman" w:cs="Times New Roman"/>
          <w:sz w:val="24"/>
          <w:szCs w:val="24"/>
        </w:rPr>
        <w:t>resolutions of actions</w:t>
      </w:r>
      <w:r w:rsidRPr="00BF1111">
        <w:rPr>
          <w:rFonts w:ascii="Times New Roman" w:hAnsi="Times New Roman" w:cs="Times New Roman"/>
          <w:sz w:val="24"/>
          <w:szCs w:val="24"/>
        </w:rPr>
        <w:t xml:space="preserve">, </w:t>
      </w:r>
      <w:r>
        <w:rPr>
          <w:rFonts w:ascii="Times New Roman" w:hAnsi="Times New Roman" w:cs="Times New Roman"/>
          <w:sz w:val="24"/>
          <w:szCs w:val="24"/>
        </w:rPr>
        <w:t>unnecessarily prolonging the life of the MDL and</w:t>
      </w:r>
      <w:r w:rsidRPr="00BF1111">
        <w:rPr>
          <w:rFonts w:ascii="Times New Roman" w:hAnsi="Times New Roman" w:cs="Times New Roman"/>
          <w:sz w:val="24"/>
          <w:szCs w:val="24"/>
        </w:rPr>
        <w:t xml:space="preserve"> adversely affecting all </w:t>
      </w:r>
      <w:r>
        <w:rPr>
          <w:rFonts w:ascii="Times New Roman" w:hAnsi="Times New Roman" w:cs="Times New Roman"/>
          <w:sz w:val="24"/>
          <w:szCs w:val="24"/>
        </w:rPr>
        <w:t>involved.</w:t>
      </w:r>
      <w:r>
        <w:rPr>
          <w:rStyle w:val="FootnoteReference"/>
          <w:rFonts w:ascii="Times New Roman" w:hAnsi="Times New Roman" w:cs="Times New Roman"/>
          <w:sz w:val="24"/>
          <w:szCs w:val="24"/>
        </w:rPr>
        <w:footnoteReference w:id="4"/>
      </w:r>
      <w:r>
        <w:rPr>
          <w:rFonts w:ascii="Times New Roman" w:hAnsi="Times New Roman" w:cs="Times New Roman"/>
          <w:sz w:val="24"/>
          <w:szCs w:val="24"/>
        </w:rPr>
        <w:t xml:space="preserve"> </w:t>
      </w:r>
      <w:r w:rsidRPr="00BF1111">
        <w:rPr>
          <w:rFonts w:ascii="Times New Roman" w:hAnsi="Times New Roman" w:cs="Times New Roman"/>
          <w:sz w:val="24"/>
          <w:szCs w:val="24"/>
        </w:rPr>
        <w:t> </w:t>
      </w:r>
      <w:r>
        <w:rPr>
          <w:rFonts w:ascii="Times New Roman" w:hAnsi="Times New Roman" w:cs="Times New Roman"/>
          <w:sz w:val="24"/>
          <w:szCs w:val="24"/>
        </w:rPr>
        <w:t xml:space="preserve">The parties and court should adopt a comprehensive, but surgically precise, process that effectively deters the </w:t>
      </w:r>
      <w:r>
        <w:rPr>
          <w:rFonts w:ascii="Times New Roman" w:hAnsi="Times New Roman" w:cs="Times New Roman"/>
          <w:sz w:val="24"/>
          <w:szCs w:val="24"/>
        </w:rPr>
        <w:lastRenderedPageBreak/>
        <w:t xml:space="preserve">filing of most frivolous or meritless actions and targets the main offenders. A balanced approach should also ensure that defendants comply with comparable obligations to cease persisting in denying significant factual case-dispositive allegations that involve many individual actions when they learn otherwise, </w:t>
      </w:r>
      <w:r w:rsidRPr="00C12591">
        <w:rPr>
          <w:rFonts w:ascii="Times New Roman" w:hAnsi="Times New Roman" w:cs="Times New Roman"/>
          <w:i/>
          <w:iCs/>
          <w:sz w:val="24"/>
          <w:szCs w:val="24"/>
        </w:rPr>
        <w:t>e.g</w:t>
      </w:r>
      <w:r>
        <w:rPr>
          <w:rFonts w:ascii="Times New Roman" w:hAnsi="Times New Roman" w:cs="Times New Roman"/>
          <w:sz w:val="24"/>
          <w:szCs w:val="24"/>
        </w:rPr>
        <w:t xml:space="preserve">., abandoning statute of limitations arguments, if appropriate.    </w:t>
      </w:r>
    </w:p>
    <w:p w14:paraId="231F34AB" w14:textId="77777777" w:rsidR="008A2BA3" w:rsidRDefault="008A2BA3" w:rsidP="008A2BA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Under Rule 16.1(b)(3)(B), the parties must also address “how and when the parties will exchange information about the factual bases for their claims and defenses” in their report to the court. T</w:t>
      </w:r>
      <w:r w:rsidRPr="002E1E3C">
        <w:rPr>
          <w:rFonts w:ascii="Times New Roman" w:hAnsi="Times New Roman" w:cs="Times New Roman"/>
          <w:sz w:val="24"/>
          <w:szCs w:val="24"/>
        </w:rPr>
        <w:t xml:space="preserve">he parties and court need information </w:t>
      </w:r>
      <w:r>
        <w:rPr>
          <w:rFonts w:ascii="Times New Roman" w:hAnsi="Times New Roman" w:cs="Times New Roman"/>
          <w:sz w:val="24"/>
          <w:szCs w:val="24"/>
        </w:rPr>
        <w:t xml:space="preserve">not only to evaluate the merit of the claims but also for case management relevant to selecting bellwether cases for trials, conducting settlement negotiations, and </w:t>
      </w:r>
      <w:r w:rsidRPr="002E1E3C">
        <w:rPr>
          <w:rFonts w:ascii="Times New Roman" w:hAnsi="Times New Roman" w:cs="Times New Roman"/>
          <w:sz w:val="24"/>
          <w:szCs w:val="24"/>
        </w:rPr>
        <w:t>assess</w:t>
      </w:r>
      <w:r>
        <w:rPr>
          <w:rFonts w:ascii="Times New Roman" w:hAnsi="Times New Roman" w:cs="Times New Roman"/>
          <w:sz w:val="24"/>
          <w:szCs w:val="24"/>
        </w:rPr>
        <w:t>ing</w:t>
      </w:r>
      <w:r w:rsidRPr="002E1E3C">
        <w:rPr>
          <w:rFonts w:ascii="Times New Roman" w:hAnsi="Times New Roman" w:cs="Times New Roman"/>
          <w:sz w:val="24"/>
          <w:szCs w:val="24"/>
        </w:rPr>
        <w:t xml:space="preserve"> the number and location of the plaintiffs involved, the levels of injury, the types of exposure, and other factors.</w:t>
      </w:r>
      <w:r>
        <w:rPr>
          <w:rStyle w:val="FootnoteReference"/>
          <w:rFonts w:ascii="Times New Roman" w:hAnsi="Times New Roman" w:cs="Times New Roman"/>
          <w:sz w:val="24"/>
          <w:szCs w:val="24"/>
        </w:rPr>
        <w:footnoteReference w:id="5"/>
      </w:r>
      <w:r w:rsidRPr="002E1E3C">
        <w:rPr>
          <w:rFonts w:ascii="Times New Roman" w:hAnsi="Times New Roman" w:cs="Times New Roman"/>
          <w:sz w:val="24"/>
          <w:szCs w:val="24"/>
        </w:rPr>
        <w:t xml:space="preserve">  </w:t>
      </w:r>
    </w:p>
    <w:p w14:paraId="7F344E26" w14:textId="77777777" w:rsidR="008A2BA3" w:rsidRDefault="008A2BA3" w:rsidP="008A2BA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As a first step, transferee courts have experimented with ways to efficiently and fairly screen complaints at an early stage. For example, preliminary-profile forms served within 30 to 60 days of the filing of a complaint with proof-of-product usage have been useful as a first step in this screening process.</w:t>
      </w:r>
      <w:r>
        <w:rPr>
          <w:rStyle w:val="FootnoteReference"/>
          <w:rFonts w:ascii="Times New Roman" w:hAnsi="Times New Roman" w:cs="Times New Roman"/>
          <w:sz w:val="24"/>
          <w:szCs w:val="24"/>
        </w:rPr>
        <w:footnoteReference w:id="6"/>
      </w:r>
      <w:r>
        <w:rPr>
          <w:rFonts w:ascii="Times New Roman" w:hAnsi="Times New Roman" w:cs="Times New Roman"/>
          <w:sz w:val="24"/>
          <w:szCs w:val="24"/>
        </w:rPr>
        <w:t xml:space="preserve">   They and the later, more robust fact sheets have been used to identify claims that are potential candidates for early disposition.</w:t>
      </w:r>
      <w:r w:rsidRPr="00734FC6">
        <w:rPr>
          <w:rFonts w:ascii="Times New Roman" w:hAnsi="Times New Roman" w:cs="Times New Roman"/>
          <w:sz w:val="24"/>
          <w:szCs w:val="24"/>
        </w:rPr>
        <w:t xml:space="preserve"> </w:t>
      </w:r>
      <w:r>
        <w:rPr>
          <w:rFonts w:ascii="Times New Roman" w:hAnsi="Times New Roman" w:cs="Times New Roman"/>
          <w:sz w:val="24"/>
          <w:szCs w:val="24"/>
        </w:rPr>
        <w:t xml:space="preserve">Both instruments have required not only product identification, but also minimum evidentiary documentation of exposure or product use and injury, </w:t>
      </w:r>
      <w:r w:rsidRPr="00270F83">
        <w:rPr>
          <w:rFonts w:ascii="Times New Roman" w:hAnsi="Times New Roman" w:cs="Times New Roman"/>
          <w:i/>
          <w:iCs/>
          <w:sz w:val="24"/>
          <w:szCs w:val="24"/>
        </w:rPr>
        <w:t>e.g.,</w:t>
      </w:r>
      <w:r>
        <w:rPr>
          <w:rFonts w:ascii="Times New Roman" w:hAnsi="Times New Roman" w:cs="Times New Roman"/>
          <w:sz w:val="24"/>
          <w:szCs w:val="24"/>
        </w:rPr>
        <w:t xml:space="preserve"> evidence of a prescription or receipt of a product purchase or a medical diagnosis or other medical records. </w:t>
      </w:r>
    </w:p>
    <w:p w14:paraId="14A6F354" w14:textId="77777777" w:rsidR="008A2BA3" w:rsidRDefault="008A2BA3" w:rsidP="008A2BA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Often, the judge explicitly deems such fact sheets as standard interrogatories, subject to Rules 26 and 37.</w:t>
      </w:r>
      <w:r>
        <w:rPr>
          <w:rStyle w:val="FootnoteReference"/>
          <w:rFonts w:ascii="Times New Roman" w:hAnsi="Times New Roman" w:cs="Times New Roman"/>
          <w:sz w:val="24"/>
          <w:szCs w:val="24"/>
        </w:rPr>
        <w:footnoteReference w:id="7"/>
      </w:r>
      <w:r>
        <w:rPr>
          <w:rFonts w:ascii="Times New Roman" w:hAnsi="Times New Roman" w:cs="Times New Roman"/>
          <w:sz w:val="24"/>
          <w:szCs w:val="24"/>
        </w:rPr>
        <w:t xml:space="preserve">    Typically, the parties are requested to agree and propose the text of the fact sheets.</w:t>
      </w:r>
      <w:r>
        <w:rPr>
          <w:rStyle w:val="FootnoteReference"/>
          <w:rFonts w:ascii="Times New Roman" w:hAnsi="Times New Roman" w:cs="Times New Roman"/>
          <w:sz w:val="24"/>
          <w:szCs w:val="24"/>
        </w:rPr>
        <w:footnoteReference w:id="8"/>
      </w:r>
      <w:r>
        <w:rPr>
          <w:rFonts w:ascii="Times New Roman" w:hAnsi="Times New Roman" w:cs="Times New Roman"/>
          <w:sz w:val="24"/>
          <w:szCs w:val="24"/>
        </w:rPr>
        <w:t xml:space="preserve"> </w:t>
      </w:r>
    </w:p>
    <w:p w14:paraId="63D1AA2A" w14:textId="77777777" w:rsidR="008A2BA3" w:rsidRDefault="008A2BA3" w:rsidP="008A2BA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Transferee courts in mass-tort MDLs usually direct the parties to submit fact sheets within a reasonable fixed time and outline a process and procedure to resolve any alleged deficiencies.</w:t>
      </w:r>
      <w:r>
        <w:rPr>
          <w:rStyle w:val="FootnoteReference"/>
          <w:rFonts w:ascii="Times New Roman" w:hAnsi="Times New Roman" w:cs="Times New Roman"/>
          <w:sz w:val="24"/>
          <w:szCs w:val="24"/>
        </w:rPr>
        <w:footnoteReference w:id="9"/>
      </w:r>
      <w:r>
        <w:rPr>
          <w:rFonts w:ascii="Times New Roman" w:hAnsi="Times New Roman" w:cs="Times New Roman"/>
          <w:sz w:val="24"/>
          <w:szCs w:val="24"/>
        </w:rPr>
        <w:t xml:space="preserve"> Some courts have deferred submission of fact sheets until a dispositive motion has been resolved. The court must weigh the benefits in possibly saving the time and expense in completing the facts sheets with the delay incurred if the dispositive motion is denied.  </w:t>
      </w:r>
    </w:p>
    <w:p w14:paraId="7D7A067D" w14:textId="77777777" w:rsidR="008A2BA3" w:rsidRDefault="008A2BA3" w:rsidP="008A2BA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Parties in mass-tort MDLs typically agree on the means of communication storing and sharing information about their claims and defenses.  </w:t>
      </w:r>
      <w:r w:rsidRPr="00B95BB0">
        <w:rPr>
          <w:rFonts w:ascii="Times New Roman" w:hAnsi="Times New Roman" w:cs="Times New Roman"/>
          <w:i/>
          <w:iCs/>
          <w:sz w:val="24"/>
          <w:szCs w:val="24"/>
        </w:rPr>
        <w:t>See</w:t>
      </w:r>
      <w:r>
        <w:rPr>
          <w:rFonts w:ascii="Times New Roman" w:hAnsi="Times New Roman" w:cs="Times New Roman"/>
          <w:sz w:val="24"/>
          <w:szCs w:val="24"/>
        </w:rPr>
        <w:t xml:space="preserve"> Best Practice Permanent No. </w:t>
      </w:r>
      <w:r w:rsidRPr="00B95BB0">
        <w:rPr>
          <w:rFonts w:ascii="Times New Roman" w:hAnsi="Times New Roman" w:cs="Times New Roman"/>
          <w:sz w:val="24"/>
          <w:szCs w:val="24"/>
        </w:rPr>
        <w:t xml:space="preserve">MDL-§ </w:t>
      </w:r>
      <w:r>
        <w:rPr>
          <w:rFonts w:ascii="Times New Roman" w:hAnsi="Times New Roman" w:cs="Times New Roman"/>
          <w:sz w:val="24"/>
          <w:szCs w:val="24"/>
        </w:rPr>
        <w:t>14</w:t>
      </w:r>
      <w:r w:rsidRPr="00B95BB0">
        <w:rPr>
          <w:rFonts w:ascii="Times New Roman" w:hAnsi="Times New Roman" w:cs="Times New Roman"/>
          <w:sz w:val="24"/>
          <w:szCs w:val="24"/>
        </w:rPr>
        <w:t>(b)</w:t>
      </w:r>
      <w:r>
        <w:rPr>
          <w:rFonts w:ascii="Times New Roman" w:hAnsi="Times New Roman" w:cs="Times New Roman"/>
          <w:sz w:val="24"/>
          <w:szCs w:val="24"/>
        </w:rPr>
        <w:t xml:space="preserve">, which addresses a central-exchange platform containing, among other things, the parties’ fact sheets. </w:t>
      </w:r>
    </w:p>
    <w:p w14:paraId="4D57E591" w14:textId="77777777" w:rsidR="008A2BA3" w:rsidRDefault="008A2BA3" w:rsidP="008A2BA3">
      <w:pPr>
        <w:spacing w:after="0" w:line="240" w:lineRule="auto"/>
        <w:ind w:left="720" w:right="720"/>
        <w:jc w:val="both"/>
        <w:rPr>
          <w:rFonts w:ascii="Times New Roman" w:hAnsi="Times New Roman" w:cs="Times New Roman"/>
          <w:sz w:val="24"/>
          <w:szCs w:val="24"/>
        </w:rPr>
      </w:pPr>
      <w:r w:rsidRPr="003B1ACC">
        <w:rPr>
          <w:rFonts w:ascii="Times New Roman" w:hAnsi="Times New Roman" w:cs="Times New Roman"/>
          <w:b/>
          <w:bCs/>
          <w:sz w:val="24"/>
          <w:szCs w:val="24"/>
        </w:rPr>
        <w:t>Best Practice MDL-§ 6(b)(</w:t>
      </w:r>
      <w:proofErr w:type="spellStart"/>
      <w:r>
        <w:rPr>
          <w:rFonts w:ascii="Times New Roman" w:hAnsi="Times New Roman" w:cs="Times New Roman"/>
          <w:b/>
          <w:bCs/>
          <w:sz w:val="24"/>
          <w:szCs w:val="24"/>
        </w:rPr>
        <w:t>i</w:t>
      </w:r>
      <w:proofErr w:type="spellEnd"/>
      <w:r w:rsidRPr="003B1ACC">
        <w:rPr>
          <w:rFonts w:ascii="Times New Roman" w:hAnsi="Times New Roman" w:cs="Times New Roman"/>
          <w:b/>
          <w:bCs/>
          <w:sz w:val="24"/>
          <w:szCs w:val="24"/>
        </w:rPr>
        <w:t>):</w:t>
      </w:r>
      <w:r>
        <w:rPr>
          <w:rFonts w:ascii="Times New Roman" w:hAnsi="Times New Roman" w:cs="Times New Roman"/>
          <w:b/>
          <w:bCs/>
          <w:sz w:val="24"/>
          <w:szCs w:val="24"/>
        </w:rPr>
        <w:t xml:space="preserve">  </w:t>
      </w:r>
      <w:r w:rsidRPr="00C12591">
        <w:rPr>
          <w:rFonts w:ascii="Times New Roman" w:hAnsi="Times New Roman" w:cs="Times New Roman"/>
          <w:sz w:val="24"/>
          <w:szCs w:val="24"/>
        </w:rPr>
        <w:t xml:space="preserve">As part of </w:t>
      </w:r>
      <w:r>
        <w:rPr>
          <w:rFonts w:ascii="Times New Roman" w:hAnsi="Times New Roman" w:cs="Times New Roman"/>
          <w:sz w:val="24"/>
          <w:szCs w:val="24"/>
        </w:rPr>
        <w:t>a</w:t>
      </w:r>
      <w:r w:rsidRPr="00C12591">
        <w:rPr>
          <w:rFonts w:ascii="Times New Roman" w:hAnsi="Times New Roman" w:cs="Times New Roman"/>
          <w:sz w:val="24"/>
          <w:szCs w:val="24"/>
        </w:rPr>
        <w:t xml:space="preserve"> comprehensive approach</w:t>
      </w:r>
      <w:r>
        <w:rPr>
          <w:rFonts w:ascii="Times New Roman" w:hAnsi="Times New Roman" w:cs="Times New Roman"/>
          <w:b/>
          <w:bCs/>
          <w:sz w:val="24"/>
          <w:szCs w:val="24"/>
        </w:rPr>
        <w:t xml:space="preserve"> t</w:t>
      </w:r>
      <w:r w:rsidRPr="00BF1111">
        <w:rPr>
          <w:rFonts w:ascii="Times New Roman" w:hAnsi="Times New Roman" w:cs="Times New Roman"/>
          <w:sz w:val="24"/>
          <w:szCs w:val="24"/>
        </w:rPr>
        <w:t>he court should require defense and plaintiff lead counsel to work together an</w:t>
      </w:r>
      <w:r>
        <w:rPr>
          <w:rFonts w:ascii="Times New Roman" w:hAnsi="Times New Roman" w:cs="Times New Roman"/>
          <w:sz w:val="24"/>
          <w:szCs w:val="24"/>
        </w:rPr>
        <w:t>d</w:t>
      </w:r>
      <w:r w:rsidRPr="00BF1111">
        <w:rPr>
          <w:rFonts w:ascii="Times New Roman" w:hAnsi="Times New Roman" w:cs="Times New Roman"/>
          <w:sz w:val="24"/>
          <w:szCs w:val="24"/>
        </w:rPr>
        <w:t xml:space="preserve"> develop criteria for determining whether a filing is likely </w:t>
      </w:r>
      <w:r>
        <w:rPr>
          <w:rFonts w:ascii="Times New Roman" w:hAnsi="Times New Roman" w:cs="Times New Roman"/>
          <w:sz w:val="24"/>
          <w:szCs w:val="24"/>
        </w:rPr>
        <w:t>“</w:t>
      </w:r>
      <w:r w:rsidRPr="00BF1111">
        <w:rPr>
          <w:rFonts w:ascii="Times New Roman" w:hAnsi="Times New Roman" w:cs="Times New Roman"/>
          <w:sz w:val="24"/>
          <w:szCs w:val="24"/>
        </w:rPr>
        <w:t>frivolous</w:t>
      </w:r>
      <w:r>
        <w:rPr>
          <w:rFonts w:ascii="Times New Roman" w:hAnsi="Times New Roman" w:cs="Times New Roman"/>
          <w:sz w:val="24"/>
          <w:szCs w:val="24"/>
        </w:rPr>
        <w:t xml:space="preserve">” or “meritless.”   </w:t>
      </w:r>
      <w:r w:rsidRPr="003B1ACC">
        <w:rPr>
          <w:rFonts w:ascii="Times New Roman" w:hAnsi="Times New Roman" w:cs="Times New Roman"/>
          <w:sz w:val="24"/>
          <w:szCs w:val="24"/>
        </w:rPr>
        <w:t>Permanent No. MDL-§ 15(b)(</w:t>
      </w:r>
      <w:proofErr w:type="spellStart"/>
      <w:r w:rsidRPr="003B1ACC">
        <w:rPr>
          <w:rFonts w:ascii="Times New Roman" w:hAnsi="Times New Roman" w:cs="Times New Roman"/>
          <w:sz w:val="24"/>
          <w:szCs w:val="24"/>
        </w:rPr>
        <w:t>i</w:t>
      </w:r>
      <w:proofErr w:type="spellEnd"/>
      <w:r w:rsidRPr="003B1ACC">
        <w:rPr>
          <w:rFonts w:ascii="Times New Roman" w:hAnsi="Times New Roman" w:cs="Times New Roman"/>
          <w:sz w:val="24"/>
          <w:szCs w:val="24"/>
        </w:rPr>
        <w:t>).</w:t>
      </w:r>
    </w:p>
    <w:p w14:paraId="400EC4C4" w14:textId="77777777" w:rsidR="008A2BA3" w:rsidRDefault="008A2BA3" w:rsidP="008A2BA3">
      <w:pPr>
        <w:spacing w:after="0" w:line="360" w:lineRule="auto"/>
        <w:ind w:firstLine="720"/>
        <w:jc w:val="both"/>
        <w:rPr>
          <w:rFonts w:ascii="Times New Roman" w:hAnsi="Times New Roman" w:cs="Times New Roman"/>
          <w:sz w:val="24"/>
          <w:szCs w:val="24"/>
        </w:rPr>
      </w:pPr>
    </w:p>
    <w:p w14:paraId="119F6BEC" w14:textId="77777777" w:rsidR="008A2BA3" w:rsidRDefault="008A2BA3" w:rsidP="008A2B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It is in the self-interest of both sides and the court to promptly identify and resolve “frivolous” actions in a mass-tort MDL, which </w:t>
      </w:r>
      <w:proofErr w:type="gramStart"/>
      <w:r>
        <w:rPr>
          <w:rFonts w:ascii="Times New Roman" w:hAnsi="Times New Roman" w:cs="Times New Roman"/>
          <w:sz w:val="24"/>
          <w:szCs w:val="24"/>
        </w:rPr>
        <w:t>generate</w:t>
      </w:r>
      <w:proofErr w:type="gramEnd"/>
      <w:r>
        <w:rPr>
          <w:rFonts w:ascii="Times New Roman" w:hAnsi="Times New Roman" w:cs="Times New Roman"/>
          <w:sz w:val="24"/>
          <w:szCs w:val="24"/>
        </w:rPr>
        <w:t xml:space="preserve"> wasteful litigation, harden the defendant’s and plaintiffs’ opposition, and bog down settlement negotiations.  Regularized efforts should be taken early to address such filings promptly after the plaintiffs and defendants have had a reasonable opportunity for further investigation or discovery to collect evidentiary support before significant expenditures have been spent and recoupment of sunk costs becomes a strategic priority.</w:t>
      </w:r>
      <w:r w:rsidRPr="00BF1111">
        <w:rPr>
          <w:rFonts w:ascii="Times New Roman" w:hAnsi="Times New Roman" w:cs="Times New Roman"/>
          <w:sz w:val="24"/>
          <w:szCs w:val="24"/>
        </w:rPr>
        <w:t> </w:t>
      </w:r>
    </w:p>
    <w:p w14:paraId="2BFBF29C" w14:textId="77777777" w:rsidR="008A2BA3" w:rsidRDefault="008A2BA3" w:rsidP="008A2B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criteria for “frivolous” filings should explain the minimum amount of evidence showing that a pleader is entitled to relief.</w:t>
      </w:r>
      <w:r>
        <w:rPr>
          <w:rStyle w:val="FootnoteReference"/>
          <w:rFonts w:ascii="Times New Roman" w:hAnsi="Times New Roman" w:cs="Times New Roman"/>
          <w:sz w:val="24"/>
          <w:szCs w:val="24"/>
        </w:rPr>
        <w:footnoteReference w:id="10"/>
      </w:r>
      <w:r>
        <w:rPr>
          <w:rFonts w:ascii="Times New Roman" w:hAnsi="Times New Roman" w:cs="Times New Roman"/>
          <w:sz w:val="24"/>
          <w:szCs w:val="24"/>
        </w:rPr>
        <w:t xml:space="preserve"> Evidence of product usage can be found in pharmacy records, prescribing physician’s records or, in the case of medical devices, in the hospital chart for the implantation surgery. A plaintiff cannot proceed with a case without this information.  Evidence of causation usually comes later in the form of expert reports. The criteria for “meritless” filings may explain the limits on the reasonableness of extending, modifying, or </w:t>
      </w:r>
      <w:r w:rsidRPr="00C42045">
        <w:rPr>
          <w:rFonts w:ascii="Times New Roman" w:hAnsi="Times New Roman" w:cs="Times New Roman"/>
          <w:sz w:val="24"/>
          <w:szCs w:val="24"/>
        </w:rPr>
        <w:t>reversing</w:t>
      </w:r>
      <w:r>
        <w:rPr>
          <w:rFonts w:ascii="Times New Roman" w:hAnsi="Times New Roman" w:cs="Times New Roman"/>
          <w:sz w:val="24"/>
          <w:szCs w:val="24"/>
        </w:rPr>
        <w:t xml:space="preserve"> existing </w:t>
      </w:r>
      <w:r>
        <w:rPr>
          <w:rFonts w:ascii="Times New Roman" w:hAnsi="Times New Roman" w:cs="Times New Roman"/>
          <w:sz w:val="24"/>
          <w:szCs w:val="24"/>
        </w:rPr>
        <w:lastRenderedPageBreak/>
        <w:t>law or for establishing new law supporting a claim or defense.</w:t>
      </w:r>
      <w:r>
        <w:rPr>
          <w:rStyle w:val="FootnoteReference"/>
          <w:rFonts w:ascii="Times New Roman" w:hAnsi="Times New Roman" w:cs="Times New Roman"/>
          <w:sz w:val="24"/>
          <w:szCs w:val="24"/>
        </w:rPr>
        <w:footnoteReference w:id="11"/>
      </w:r>
      <w:r>
        <w:rPr>
          <w:rFonts w:ascii="Times New Roman" w:hAnsi="Times New Roman" w:cs="Times New Roman"/>
          <w:sz w:val="24"/>
          <w:szCs w:val="24"/>
        </w:rPr>
        <w:t xml:space="preserve">   There may be overlap between the two when statute of limitations or other questions arise.   Criteria for unwarranted denials of factual contentions will vary, depending on the circumstances, but should be limited to denials of significant factual case-dispositive allegations that involve many individual actions comparable to the plaintiffs’ obligations.</w:t>
      </w:r>
    </w:p>
    <w:p w14:paraId="7B971526" w14:textId="77777777" w:rsidR="008A2BA3" w:rsidRDefault="008A2BA3" w:rsidP="008A2BA3">
      <w:pPr>
        <w:spacing w:after="0" w:line="240" w:lineRule="auto"/>
        <w:ind w:left="720" w:right="720"/>
        <w:jc w:val="both"/>
        <w:rPr>
          <w:rFonts w:ascii="Times New Roman" w:hAnsi="Times New Roman" w:cs="Times New Roman"/>
          <w:sz w:val="24"/>
          <w:szCs w:val="24"/>
        </w:rPr>
      </w:pPr>
      <w:r w:rsidRPr="003B1ACC">
        <w:rPr>
          <w:rFonts w:ascii="Times New Roman" w:hAnsi="Times New Roman" w:cs="Times New Roman"/>
          <w:b/>
          <w:bCs/>
          <w:sz w:val="24"/>
          <w:szCs w:val="24"/>
        </w:rPr>
        <w:t>Best Practice MDL-§ 6(b)(</w:t>
      </w:r>
      <w:r>
        <w:rPr>
          <w:rFonts w:ascii="Times New Roman" w:hAnsi="Times New Roman" w:cs="Times New Roman"/>
          <w:b/>
          <w:bCs/>
          <w:sz w:val="24"/>
          <w:szCs w:val="24"/>
        </w:rPr>
        <w:t>i</w:t>
      </w:r>
      <w:r w:rsidRPr="003B1ACC">
        <w:rPr>
          <w:rFonts w:ascii="Times New Roman" w:hAnsi="Times New Roman" w:cs="Times New Roman"/>
          <w:b/>
          <w:bCs/>
          <w:sz w:val="24"/>
          <w:szCs w:val="24"/>
        </w:rPr>
        <w:t>i):</w:t>
      </w:r>
      <w:r>
        <w:rPr>
          <w:rFonts w:ascii="Times New Roman" w:hAnsi="Times New Roman" w:cs="Times New Roman"/>
          <w:b/>
          <w:bCs/>
          <w:sz w:val="24"/>
          <w:szCs w:val="24"/>
        </w:rPr>
        <w:t xml:space="preserve">   </w:t>
      </w:r>
      <w:r w:rsidRPr="0016616A">
        <w:rPr>
          <w:rFonts w:ascii="Times New Roman" w:hAnsi="Times New Roman" w:cs="Times New Roman"/>
          <w:sz w:val="24"/>
          <w:szCs w:val="24"/>
        </w:rPr>
        <w:t>T</w:t>
      </w:r>
      <w:r w:rsidRPr="00314489">
        <w:rPr>
          <w:rFonts w:ascii="Times New Roman" w:hAnsi="Times New Roman" w:cs="Times New Roman"/>
          <w:sz w:val="24"/>
          <w:szCs w:val="24"/>
        </w:rPr>
        <w:t xml:space="preserve">he defendant </w:t>
      </w:r>
      <w:r>
        <w:rPr>
          <w:rFonts w:ascii="Times New Roman" w:hAnsi="Times New Roman" w:cs="Times New Roman"/>
          <w:sz w:val="24"/>
          <w:szCs w:val="24"/>
        </w:rPr>
        <w:t xml:space="preserve">lawyers </w:t>
      </w:r>
      <w:r w:rsidRPr="00314489">
        <w:rPr>
          <w:rFonts w:ascii="Times New Roman" w:hAnsi="Times New Roman" w:cs="Times New Roman"/>
          <w:sz w:val="24"/>
          <w:szCs w:val="24"/>
        </w:rPr>
        <w:t xml:space="preserve">should not </w:t>
      </w:r>
      <w:r>
        <w:rPr>
          <w:rFonts w:ascii="Times New Roman" w:hAnsi="Times New Roman" w:cs="Times New Roman"/>
          <w:sz w:val="24"/>
          <w:szCs w:val="24"/>
        </w:rPr>
        <w:t>persist</w:t>
      </w:r>
      <w:r w:rsidRPr="00314489">
        <w:rPr>
          <w:rFonts w:ascii="Times New Roman" w:hAnsi="Times New Roman" w:cs="Times New Roman"/>
          <w:sz w:val="24"/>
          <w:szCs w:val="24"/>
        </w:rPr>
        <w:t xml:space="preserve"> </w:t>
      </w:r>
      <w:r>
        <w:rPr>
          <w:rFonts w:ascii="Times New Roman" w:hAnsi="Times New Roman" w:cs="Times New Roman"/>
          <w:sz w:val="24"/>
          <w:szCs w:val="24"/>
        </w:rPr>
        <w:t>denying</w:t>
      </w:r>
      <w:r w:rsidRPr="00314489">
        <w:rPr>
          <w:rFonts w:ascii="Times New Roman" w:hAnsi="Times New Roman" w:cs="Times New Roman"/>
          <w:sz w:val="24"/>
          <w:szCs w:val="24"/>
        </w:rPr>
        <w:t xml:space="preserve"> </w:t>
      </w:r>
      <w:r>
        <w:rPr>
          <w:rFonts w:ascii="Times New Roman" w:hAnsi="Times New Roman" w:cs="Times New Roman"/>
          <w:sz w:val="24"/>
          <w:szCs w:val="24"/>
        </w:rPr>
        <w:t>factual contentions, which were initially made on information or belief</w:t>
      </w:r>
      <w:r w:rsidRPr="0016616A">
        <w:rPr>
          <w:rFonts w:ascii="Times New Roman" w:hAnsi="Times New Roman" w:cs="Times New Roman"/>
          <w:sz w:val="24"/>
          <w:szCs w:val="24"/>
        </w:rPr>
        <w:t xml:space="preserve"> </w:t>
      </w:r>
      <w:r>
        <w:rPr>
          <w:rFonts w:ascii="Times New Roman" w:hAnsi="Times New Roman" w:cs="Times New Roman"/>
          <w:sz w:val="24"/>
          <w:szCs w:val="24"/>
        </w:rPr>
        <w:t xml:space="preserve">but were found </w:t>
      </w:r>
      <w:r w:rsidRPr="00314489">
        <w:rPr>
          <w:rFonts w:ascii="Times New Roman" w:hAnsi="Times New Roman" w:cs="Times New Roman"/>
          <w:sz w:val="24"/>
          <w:szCs w:val="24"/>
        </w:rPr>
        <w:t>after further investigation or discovery</w:t>
      </w:r>
      <w:r>
        <w:rPr>
          <w:rFonts w:ascii="Times New Roman" w:hAnsi="Times New Roman" w:cs="Times New Roman"/>
          <w:sz w:val="24"/>
          <w:szCs w:val="24"/>
        </w:rPr>
        <w:t xml:space="preserve"> to be</w:t>
      </w:r>
      <w:r w:rsidRPr="00314489">
        <w:rPr>
          <w:rFonts w:ascii="Times New Roman" w:hAnsi="Times New Roman" w:cs="Times New Roman"/>
          <w:sz w:val="24"/>
          <w:szCs w:val="24"/>
        </w:rPr>
        <w:t xml:space="preserve"> no longer warranted. </w:t>
      </w:r>
      <w:r w:rsidRPr="003B1ACC">
        <w:rPr>
          <w:rFonts w:ascii="Times New Roman" w:hAnsi="Times New Roman" w:cs="Times New Roman"/>
          <w:sz w:val="24"/>
          <w:szCs w:val="24"/>
        </w:rPr>
        <w:t>Permanent No. MDL-§ 15(b)(</w:t>
      </w:r>
      <w:r>
        <w:rPr>
          <w:rFonts w:ascii="Times New Roman" w:hAnsi="Times New Roman" w:cs="Times New Roman"/>
          <w:sz w:val="24"/>
          <w:szCs w:val="24"/>
        </w:rPr>
        <w:t>i</w:t>
      </w:r>
      <w:r w:rsidRPr="003B1ACC">
        <w:rPr>
          <w:rFonts w:ascii="Times New Roman" w:hAnsi="Times New Roman" w:cs="Times New Roman"/>
          <w:sz w:val="24"/>
          <w:szCs w:val="24"/>
        </w:rPr>
        <w:t>i).</w:t>
      </w:r>
      <w:r>
        <w:rPr>
          <w:rFonts w:ascii="Times New Roman" w:hAnsi="Times New Roman" w:cs="Times New Roman"/>
          <w:sz w:val="24"/>
          <w:szCs w:val="24"/>
        </w:rPr>
        <w:t xml:space="preserve"> </w:t>
      </w:r>
    </w:p>
    <w:p w14:paraId="6E1341C5" w14:textId="77777777" w:rsidR="008A2BA3" w:rsidRDefault="008A2BA3" w:rsidP="008A2BA3">
      <w:pPr>
        <w:spacing w:after="0" w:line="240" w:lineRule="auto"/>
        <w:ind w:left="720" w:right="720"/>
        <w:jc w:val="both"/>
        <w:rPr>
          <w:rFonts w:ascii="Times New Roman" w:hAnsi="Times New Roman" w:cs="Times New Roman"/>
          <w:sz w:val="24"/>
          <w:szCs w:val="24"/>
        </w:rPr>
      </w:pPr>
    </w:p>
    <w:p w14:paraId="73CF2337" w14:textId="77777777" w:rsidR="008A2BA3" w:rsidRDefault="008A2BA3" w:rsidP="008A2B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1993 amendments to Rule 11 were intended to serve to “equalize the burden of the rule upon plaintiffs and defendants, who under Rule 8(b) are in effect allowed to deny allegations by stating that from their initial investigation they lack sufficient information to form a belief as to the truth of the allegation.</w:t>
      </w:r>
      <w:r>
        <w:rPr>
          <w:rStyle w:val="FootnoteReference"/>
          <w:rFonts w:ascii="Times New Roman" w:hAnsi="Times New Roman" w:cs="Times New Roman"/>
          <w:sz w:val="24"/>
          <w:szCs w:val="24"/>
        </w:rPr>
        <w:footnoteReference w:id="12"/>
      </w:r>
      <w:r>
        <w:rPr>
          <w:rFonts w:ascii="Times New Roman" w:hAnsi="Times New Roman" w:cs="Times New Roman"/>
          <w:sz w:val="24"/>
          <w:szCs w:val="24"/>
        </w:rPr>
        <w:t xml:space="preserve"> If, after further investigation or discovery, a denial is no longer warranted, the defendant should not persist insisting on that denial.”</w:t>
      </w:r>
      <w:r>
        <w:rPr>
          <w:rStyle w:val="FootnoteReference"/>
          <w:rFonts w:ascii="Times New Roman" w:hAnsi="Times New Roman" w:cs="Times New Roman"/>
          <w:sz w:val="24"/>
          <w:szCs w:val="24"/>
        </w:rPr>
        <w:footnoteReference w:id="13"/>
      </w:r>
      <w:r>
        <w:rPr>
          <w:rFonts w:ascii="Times New Roman" w:hAnsi="Times New Roman" w:cs="Times New Roman"/>
          <w:sz w:val="24"/>
          <w:szCs w:val="24"/>
        </w:rPr>
        <w:t xml:space="preserve"> </w:t>
      </w:r>
    </w:p>
    <w:p w14:paraId="6C86F089" w14:textId="77777777" w:rsidR="008A2BA3" w:rsidRPr="002E1E3C" w:rsidRDefault="008A2BA3" w:rsidP="008A2BA3">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mass-tort MDL context, a defendant typically denies hundreds of factual allegations in its answer to the master complaint. The rule makes clear that simply because the defendant has no contradictory evidence or reasonably doubts the credibility of the only evidence relevant to the matter it need not admit that an allegation is true.</w:t>
      </w:r>
      <w:r>
        <w:rPr>
          <w:rStyle w:val="FootnoteReference"/>
          <w:rFonts w:ascii="Times New Roman" w:hAnsi="Times New Roman" w:cs="Times New Roman"/>
          <w:sz w:val="24"/>
          <w:szCs w:val="24"/>
        </w:rPr>
        <w:footnoteReference w:id="14"/>
      </w:r>
      <w:r>
        <w:rPr>
          <w:rFonts w:ascii="Times New Roman" w:hAnsi="Times New Roman" w:cs="Times New Roman"/>
          <w:sz w:val="24"/>
          <w:szCs w:val="24"/>
        </w:rPr>
        <w:t xml:space="preserve"> But if the defendant learns after further investigation or discovery that the denial of the factual contention is no longer warranted, it must cease advocating that position.</w:t>
      </w:r>
    </w:p>
    <w:p w14:paraId="0FC6A5D8" w14:textId="77777777" w:rsidR="008A2BA3" w:rsidRDefault="008A2BA3" w:rsidP="008A2BA3">
      <w:pPr>
        <w:pStyle w:val="ListParagraph"/>
        <w:ind w:right="720"/>
        <w:jc w:val="both"/>
        <w:rPr>
          <w:rFonts w:cs="Times New Roman"/>
          <w:b/>
          <w:bCs/>
          <w:szCs w:val="24"/>
        </w:rPr>
      </w:pPr>
      <w:r w:rsidRPr="003B1ACC">
        <w:rPr>
          <w:rFonts w:ascii="Times New Roman" w:hAnsi="Times New Roman" w:cs="Times New Roman"/>
          <w:b/>
          <w:bCs/>
          <w:sz w:val="24"/>
          <w:szCs w:val="24"/>
        </w:rPr>
        <w:t>Best Practice MDL-§ 6(b)(</w:t>
      </w:r>
      <w:r>
        <w:rPr>
          <w:rFonts w:ascii="Times New Roman" w:hAnsi="Times New Roman" w:cs="Times New Roman"/>
          <w:b/>
          <w:bCs/>
          <w:sz w:val="24"/>
          <w:szCs w:val="24"/>
        </w:rPr>
        <w:t>ii</w:t>
      </w:r>
      <w:r w:rsidRPr="003B1ACC">
        <w:rPr>
          <w:rFonts w:ascii="Times New Roman" w:hAnsi="Times New Roman" w:cs="Times New Roman"/>
          <w:b/>
          <w:bCs/>
          <w:sz w:val="24"/>
          <w:szCs w:val="24"/>
        </w:rPr>
        <w:t>i):</w:t>
      </w:r>
      <w:r w:rsidRPr="003B1ACC">
        <w:rPr>
          <w:rFonts w:ascii="Times New Roman" w:hAnsi="Times New Roman" w:cs="Times New Roman"/>
          <w:sz w:val="24"/>
          <w:szCs w:val="24"/>
        </w:rPr>
        <w:t xml:space="preserve"> The parties should suggest that the court </w:t>
      </w:r>
      <w:r>
        <w:rPr>
          <w:rFonts w:ascii="Times New Roman" w:hAnsi="Times New Roman" w:cs="Times New Roman"/>
          <w:sz w:val="24"/>
          <w:szCs w:val="24"/>
        </w:rPr>
        <w:t>in a case-management order</w:t>
      </w:r>
      <w:r w:rsidRPr="003B1ACC">
        <w:rPr>
          <w:rFonts w:ascii="Times New Roman" w:hAnsi="Times New Roman" w:cs="Times New Roman"/>
          <w:sz w:val="24"/>
          <w:szCs w:val="24"/>
        </w:rPr>
        <w:t xml:space="preserve"> require</w:t>
      </w:r>
      <w:r>
        <w:rPr>
          <w:rFonts w:ascii="Times New Roman" w:hAnsi="Times New Roman" w:cs="Times New Roman"/>
          <w:sz w:val="24"/>
          <w:szCs w:val="24"/>
        </w:rPr>
        <w:t xml:space="preserve"> that the </w:t>
      </w:r>
      <w:r w:rsidRPr="003B1ACC">
        <w:rPr>
          <w:rFonts w:ascii="Times New Roman" w:hAnsi="Times New Roman" w:cs="Times New Roman"/>
          <w:sz w:val="24"/>
          <w:szCs w:val="24"/>
        </w:rPr>
        <w:t>parties</w:t>
      </w:r>
      <w:r>
        <w:rPr>
          <w:rFonts w:ascii="Times New Roman" w:hAnsi="Times New Roman" w:cs="Times New Roman"/>
          <w:sz w:val="24"/>
          <w:szCs w:val="24"/>
        </w:rPr>
        <w:t xml:space="preserve">’ facts sheets include a certification that they complied with their respective Rule 11(b)(3) and (b)(4) obligations.  </w:t>
      </w:r>
      <w:bookmarkStart w:id="0" w:name="_Hlk169800907"/>
      <w:r w:rsidRPr="003B1ACC">
        <w:rPr>
          <w:rFonts w:ascii="Times New Roman" w:hAnsi="Times New Roman" w:cs="Times New Roman"/>
          <w:sz w:val="24"/>
          <w:szCs w:val="24"/>
        </w:rPr>
        <w:t>Permanent No. MDL-§ 15(b)(</w:t>
      </w:r>
      <w:r>
        <w:rPr>
          <w:rFonts w:ascii="Times New Roman" w:hAnsi="Times New Roman" w:cs="Times New Roman"/>
          <w:sz w:val="24"/>
          <w:szCs w:val="24"/>
        </w:rPr>
        <w:t>ii</w:t>
      </w:r>
      <w:r w:rsidRPr="003B1ACC">
        <w:rPr>
          <w:rFonts w:ascii="Times New Roman" w:hAnsi="Times New Roman" w:cs="Times New Roman"/>
          <w:sz w:val="24"/>
          <w:szCs w:val="24"/>
        </w:rPr>
        <w:t>i).</w:t>
      </w:r>
      <w:bookmarkEnd w:id="0"/>
    </w:p>
    <w:p w14:paraId="52D4FC80" w14:textId="77777777" w:rsidR="008A2BA3" w:rsidRDefault="008A2BA3" w:rsidP="008A2BA3">
      <w:pPr>
        <w:pStyle w:val="NoSpacing"/>
        <w:spacing w:line="360" w:lineRule="auto"/>
        <w:ind w:firstLine="720"/>
        <w:jc w:val="both"/>
        <w:rPr>
          <w:rFonts w:cs="Times New Roman"/>
          <w:szCs w:val="24"/>
        </w:rPr>
      </w:pPr>
      <w:r w:rsidRPr="00ED61CA">
        <w:rPr>
          <w:rFonts w:cs="Times New Roman"/>
          <w:szCs w:val="24"/>
        </w:rPr>
        <w:lastRenderedPageBreak/>
        <w:t xml:space="preserve">Rule 16.1(b)(3)(B) recognizes that </w:t>
      </w:r>
      <w:r>
        <w:rPr>
          <w:rFonts w:cs="Times New Roman"/>
          <w:szCs w:val="24"/>
        </w:rPr>
        <w:t xml:space="preserve">“concerns have been raised on both the plaintiff side and defense side [as well as transferee judges] that </w:t>
      </w:r>
      <w:r w:rsidRPr="00ED61CA">
        <w:rPr>
          <w:rFonts w:cs="Times New Roman"/>
          <w:szCs w:val="24"/>
        </w:rPr>
        <w:t xml:space="preserve">some of the claims and defenses have been asserted </w:t>
      </w:r>
      <w:r>
        <w:rPr>
          <w:rFonts w:cs="Times New Roman"/>
          <w:szCs w:val="24"/>
        </w:rPr>
        <w:t xml:space="preserve">[in fact sheets and in other exchanges of information about the factual basis of the case] </w:t>
      </w:r>
      <w:r w:rsidRPr="00ED61CA">
        <w:rPr>
          <w:rFonts w:cs="Times New Roman"/>
          <w:szCs w:val="24"/>
        </w:rPr>
        <w:t>without the inquiry called for by Rule</w:t>
      </w:r>
      <w:r>
        <w:rPr>
          <w:rFonts w:cs="Times New Roman"/>
          <w:szCs w:val="24"/>
        </w:rPr>
        <w:t xml:space="preserve"> 11</w:t>
      </w:r>
      <w:r w:rsidRPr="00ED61CA">
        <w:rPr>
          <w:rFonts w:cs="Times New Roman"/>
          <w:szCs w:val="24"/>
        </w:rPr>
        <w:t>(b).</w:t>
      </w:r>
      <w:r>
        <w:rPr>
          <w:rFonts w:cs="Times New Roman"/>
          <w:szCs w:val="24"/>
        </w:rPr>
        <w:t>”</w:t>
      </w:r>
      <w:r>
        <w:rPr>
          <w:rStyle w:val="FootnoteReference"/>
          <w:rFonts w:cs="Times New Roman"/>
          <w:szCs w:val="24"/>
        </w:rPr>
        <w:footnoteReference w:id="15"/>
      </w:r>
      <w:r>
        <w:rPr>
          <w:rFonts w:cs="Times New Roman"/>
          <w:szCs w:val="24"/>
        </w:rPr>
        <w:t xml:space="preserve">  The problem is not so much a few outlier actions, but instead involves hundreds or thousands of actions in individual mass-tort MDLs.</w:t>
      </w:r>
    </w:p>
    <w:p w14:paraId="4FE79AB5" w14:textId="77777777" w:rsidR="008A2BA3" w:rsidRDefault="008A2BA3" w:rsidP="008A2BA3">
      <w:pPr>
        <w:pStyle w:val="NoSpacing"/>
        <w:spacing w:line="360" w:lineRule="auto"/>
        <w:ind w:firstLine="720"/>
        <w:jc w:val="both"/>
        <w:rPr>
          <w:rFonts w:cs="Times New Roman"/>
          <w:szCs w:val="24"/>
        </w:rPr>
      </w:pPr>
      <w:r>
        <w:rPr>
          <w:rFonts w:cs="Times New Roman"/>
          <w:szCs w:val="24"/>
        </w:rPr>
        <w:t xml:space="preserve">As a first step in restoring the salutary effects of Rule 11 as a general deterrent in mass-tort MDLs, the parties should recommend to the court that it include a notice in an early case-management order, reminding plaintiffs and defendants of their Rule 11 certification obligations. </w:t>
      </w:r>
    </w:p>
    <w:p w14:paraId="0326F44A" w14:textId="77777777" w:rsidR="008A2BA3" w:rsidRDefault="008A2BA3" w:rsidP="008A2BA3">
      <w:pPr>
        <w:pStyle w:val="NoSpacing"/>
        <w:spacing w:line="360" w:lineRule="auto"/>
        <w:ind w:firstLine="720"/>
        <w:jc w:val="both"/>
        <w:rPr>
          <w:rFonts w:cs="Times New Roman"/>
          <w:szCs w:val="24"/>
        </w:rPr>
      </w:pPr>
      <w:r>
        <w:rPr>
          <w:rFonts w:cs="Times New Roman"/>
          <w:szCs w:val="24"/>
        </w:rPr>
        <w:t>Rule 11(b)(3) allows a plaintiff to file an action on a belief formed after reasonable inquiry even if the factual contentions may not have evidentiary support, but only “if specifically so identified, will likely have evidentiary support after a reasonable opportunity for further investigation or discovery.”</w:t>
      </w:r>
      <w:r w:rsidRPr="00AF129F">
        <w:rPr>
          <w:rStyle w:val="FootnoteReference"/>
          <w:rFonts w:cs="Times New Roman"/>
          <w:szCs w:val="24"/>
        </w:rPr>
        <w:t xml:space="preserve"> </w:t>
      </w:r>
      <w:r>
        <w:rPr>
          <w:rStyle w:val="FootnoteReference"/>
          <w:rFonts w:cs="Times New Roman"/>
          <w:szCs w:val="24"/>
        </w:rPr>
        <w:footnoteReference w:id="16"/>
      </w:r>
      <w:r>
        <w:rPr>
          <w:rFonts w:cs="Times New Roman"/>
          <w:szCs w:val="24"/>
        </w:rPr>
        <w:t xml:space="preserve">  Rule 11(b)(4) allows a defendant to deny a factual contention on a belief formed after reasonable inquiry even if the denial may not be warranted, but only “if specifically so identified, are reasonably based on belief or a lack of information.”  Recording the respective Rule 11(b)(3) and (b)(4) certifications in plaintiff and defendant fact sheets provides a sound record for future judicial actions. </w:t>
      </w:r>
    </w:p>
    <w:p w14:paraId="087668E4" w14:textId="77777777" w:rsidR="008A2BA3" w:rsidRDefault="008A2BA3" w:rsidP="008A2BA3">
      <w:pPr>
        <w:pStyle w:val="NoSpacing"/>
        <w:spacing w:line="360" w:lineRule="auto"/>
        <w:ind w:firstLine="720"/>
        <w:jc w:val="both"/>
        <w:rPr>
          <w:rFonts w:cs="Times New Roman"/>
          <w:szCs w:val="24"/>
        </w:rPr>
      </w:pPr>
      <w:r>
        <w:rPr>
          <w:rFonts w:cs="Times New Roman"/>
          <w:szCs w:val="24"/>
        </w:rPr>
        <w:t xml:space="preserve">The certifications can be easily accomplished by simply </w:t>
      </w:r>
      <w:r w:rsidRPr="003B1ACC">
        <w:rPr>
          <w:rFonts w:cs="Times New Roman"/>
          <w:szCs w:val="24"/>
        </w:rPr>
        <w:t>check</w:t>
      </w:r>
      <w:r>
        <w:rPr>
          <w:rFonts w:cs="Times New Roman"/>
          <w:szCs w:val="24"/>
        </w:rPr>
        <w:t>ing</w:t>
      </w:r>
      <w:r w:rsidRPr="003B1ACC">
        <w:rPr>
          <w:rFonts w:cs="Times New Roman"/>
          <w:szCs w:val="24"/>
        </w:rPr>
        <w:t xml:space="preserve"> one of two boxes to be added </w:t>
      </w:r>
      <w:r>
        <w:rPr>
          <w:rFonts w:cs="Times New Roman"/>
          <w:szCs w:val="24"/>
        </w:rPr>
        <w:t xml:space="preserve">separately </w:t>
      </w:r>
      <w:r w:rsidRPr="003B1ACC">
        <w:rPr>
          <w:rFonts w:cs="Times New Roman"/>
          <w:szCs w:val="24"/>
        </w:rPr>
        <w:t>to</w:t>
      </w:r>
      <w:r>
        <w:rPr>
          <w:rFonts w:cs="Times New Roman"/>
          <w:szCs w:val="24"/>
        </w:rPr>
        <w:t xml:space="preserve"> plaintiff and defendant</w:t>
      </w:r>
      <w:r w:rsidRPr="003B1ACC">
        <w:rPr>
          <w:rFonts w:cs="Times New Roman"/>
          <w:szCs w:val="24"/>
        </w:rPr>
        <w:t xml:space="preserve"> facts sheets certify</w:t>
      </w:r>
      <w:r>
        <w:rPr>
          <w:rFonts w:cs="Times New Roman"/>
          <w:szCs w:val="24"/>
        </w:rPr>
        <w:t>ing</w:t>
      </w:r>
      <w:r w:rsidRPr="003B1ACC">
        <w:rPr>
          <w:rFonts w:cs="Times New Roman"/>
          <w:szCs w:val="24"/>
        </w:rPr>
        <w:t xml:space="preserve"> </w:t>
      </w:r>
      <w:r>
        <w:rPr>
          <w:rFonts w:cs="Times New Roman"/>
          <w:szCs w:val="24"/>
        </w:rPr>
        <w:t>that</w:t>
      </w:r>
      <w:r w:rsidRPr="003B1ACC">
        <w:rPr>
          <w:rFonts w:cs="Times New Roman"/>
          <w:szCs w:val="24"/>
        </w:rPr>
        <w:t>: (</w:t>
      </w:r>
      <w:proofErr w:type="spellStart"/>
      <w:r w:rsidRPr="003B1ACC">
        <w:rPr>
          <w:rFonts w:cs="Times New Roman"/>
          <w:szCs w:val="24"/>
        </w:rPr>
        <w:t>i</w:t>
      </w:r>
      <w:proofErr w:type="spellEnd"/>
      <w:r w:rsidRPr="003B1ACC">
        <w:rPr>
          <w:rFonts w:cs="Times New Roman"/>
          <w:szCs w:val="24"/>
        </w:rPr>
        <w:t xml:space="preserve">) </w:t>
      </w:r>
      <w:r>
        <w:rPr>
          <w:rFonts w:cs="Times New Roman"/>
          <w:szCs w:val="24"/>
        </w:rPr>
        <w:t xml:space="preserve">case-dispositive </w:t>
      </w:r>
      <w:r w:rsidRPr="003B1ACC">
        <w:rPr>
          <w:rFonts w:cs="Times New Roman"/>
          <w:szCs w:val="24"/>
        </w:rPr>
        <w:t>factual contentions</w:t>
      </w:r>
      <w:r>
        <w:rPr>
          <w:rFonts w:cs="Times New Roman"/>
          <w:szCs w:val="24"/>
        </w:rPr>
        <w:t xml:space="preserve"> </w:t>
      </w:r>
      <w:r w:rsidRPr="003B1ACC">
        <w:rPr>
          <w:rFonts w:cs="Times New Roman"/>
          <w:szCs w:val="24"/>
        </w:rPr>
        <w:t>have evidentiary support</w:t>
      </w:r>
      <w:r w:rsidRPr="00650D7D">
        <w:rPr>
          <w:rFonts w:cs="Times New Roman"/>
          <w:szCs w:val="24"/>
        </w:rPr>
        <w:t xml:space="preserve"> </w:t>
      </w:r>
      <w:r>
        <w:rPr>
          <w:rFonts w:cs="Times New Roman"/>
          <w:szCs w:val="24"/>
        </w:rPr>
        <w:t xml:space="preserve">or they </w:t>
      </w:r>
      <w:r w:rsidRPr="003B1ACC">
        <w:rPr>
          <w:rFonts w:cs="Times New Roman"/>
          <w:szCs w:val="24"/>
        </w:rPr>
        <w:t>“will likely have, evidentiary support after a reasonable opportunity for further investigation or</w:t>
      </w:r>
      <w:r>
        <w:rPr>
          <w:rFonts w:cs="Times New Roman"/>
          <w:szCs w:val="24"/>
        </w:rPr>
        <w:t xml:space="preserve"> </w:t>
      </w:r>
      <w:r w:rsidRPr="003B1ACC">
        <w:rPr>
          <w:rFonts w:cs="Times New Roman"/>
          <w:szCs w:val="24"/>
        </w:rPr>
        <w:t>discovery</w:t>
      </w:r>
      <w:r>
        <w:rPr>
          <w:rFonts w:cs="Times New Roman"/>
          <w:szCs w:val="24"/>
        </w:rPr>
        <w:t>,</w:t>
      </w:r>
      <w:r w:rsidRPr="003B1ACC">
        <w:rPr>
          <w:rFonts w:cs="Times New Roman"/>
          <w:szCs w:val="24"/>
        </w:rPr>
        <w:t xml:space="preserve">” </w:t>
      </w:r>
      <w:r>
        <w:rPr>
          <w:rFonts w:cs="Times New Roman"/>
          <w:szCs w:val="24"/>
        </w:rPr>
        <w:t>consistent with Rule 11(b)(3); and (ii) denials of case-dispositive “factual contentions are warranted on the evidence” or</w:t>
      </w:r>
      <w:r w:rsidRPr="003B1ACC">
        <w:rPr>
          <w:rFonts w:cs="Times New Roman"/>
          <w:szCs w:val="24"/>
        </w:rPr>
        <w:t xml:space="preserve"> </w:t>
      </w:r>
      <w:r>
        <w:rPr>
          <w:rFonts w:cs="Times New Roman"/>
          <w:szCs w:val="24"/>
        </w:rPr>
        <w:t xml:space="preserve">“are reasonably based on belief and information” </w:t>
      </w:r>
      <w:r w:rsidRPr="003B1ACC">
        <w:rPr>
          <w:rFonts w:cs="Times New Roman"/>
          <w:szCs w:val="24"/>
        </w:rPr>
        <w:t>consistent with Rule 11(b)(</w:t>
      </w:r>
      <w:r>
        <w:rPr>
          <w:rFonts w:cs="Times New Roman"/>
          <w:szCs w:val="24"/>
        </w:rPr>
        <w:t xml:space="preserve">4).  </w:t>
      </w:r>
    </w:p>
    <w:p w14:paraId="41A2BA89" w14:textId="77777777" w:rsidR="008A2BA3" w:rsidRPr="00C16EF3" w:rsidRDefault="008A2BA3" w:rsidP="008A2BA3">
      <w:pPr>
        <w:spacing w:after="0" w:line="360" w:lineRule="auto"/>
        <w:ind w:firstLine="720"/>
        <w:jc w:val="both"/>
        <w:rPr>
          <w:rFonts w:ascii="Times New Roman" w:hAnsi="Times New Roman" w:cs="Times New Roman"/>
          <w:sz w:val="24"/>
          <w:szCs w:val="24"/>
        </w:rPr>
      </w:pPr>
      <w:r w:rsidRPr="00C16EF3">
        <w:rPr>
          <w:rFonts w:ascii="Times New Roman" w:hAnsi="Times New Roman" w:cs="Times New Roman"/>
          <w:sz w:val="24"/>
          <w:szCs w:val="24"/>
        </w:rPr>
        <w:t xml:space="preserve">In mass-tort MDLs, plaintiff law firms often require substantial time, as a practical matter, to properly vet hundreds or thousands of cases and gather evidentiary support for every action. </w:t>
      </w:r>
      <w:r>
        <w:rPr>
          <w:rFonts w:ascii="Times New Roman" w:hAnsi="Times New Roman" w:cs="Times New Roman"/>
          <w:sz w:val="24"/>
          <w:szCs w:val="24"/>
        </w:rPr>
        <w:t xml:space="preserve"> Rule 11 anticipates the need for adequate time to conduct </w:t>
      </w:r>
      <w:r w:rsidRPr="00C16EF3">
        <w:rPr>
          <w:rFonts w:ascii="Times New Roman" w:hAnsi="Times New Roman" w:cs="Times New Roman"/>
          <w:sz w:val="24"/>
          <w:szCs w:val="24"/>
        </w:rPr>
        <w:t>reasonable post-filing investigation or discovery to</w:t>
      </w:r>
      <w:r w:rsidRPr="00C16EF3">
        <w:rPr>
          <w:rFonts w:ascii="Times New Roman" w:eastAsia="Times New Roman" w:hAnsi="Times New Roman" w:cs="Times New Roman"/>
          <w:spacing w:val="-1"/>
          <w:sz w:val="24"/>
          <w:szCs w:val="24"/>
        </w:rPr>
        <w:t xml:space="preserve"> </w:t>
      </w:r>
      <w:r w:rsidRPr="00C16EF3">
        <w:rPr>
          <w:rFonts w:ascii="Times New Roman" w:eastAsia="Times New Roman" w:hAnsi="Times New Roman" w:cs="Times New Roman"/>
          <w:sz w:val="24"/>
          <w:szCs w:val="24"/>
        </w:rPr>
        <w:t>verify</w:t>
      </w:r>
      <w:r w:rsidRPr="00C16EF3">
        <w:rPr>
          <w:rFonts w:ascii="Times New Roman" w:eastAsia="Times New Roman" w:hAnsi="Times New Roman" w:cs="Times New Roman"/>
          <w:spacing w:val="-3"/>
          <w:sz w:val="24"/>
          <w:szCs w:val="24"/>
        </w:rPr>
        <w:t xml:space="preserve"> </w:t>
      </w:r>
      <w:r w:rsidRPr="00C16EF3">
        <w:rPr>
          <w:rFonts w:ascii="Times New Roman" w:eastAsia="Times New Roman" w:hAnsi="Times New Roman" w:cs="Times New Roman"/>
          <w:sz w:val="24"/>
          <w:szCs w:val="24"/>
        </w:rPr>
        <w:t>specific</w:t>
      </w:r>
      <w:r w:rsidRPr="00C16EF3">
        <w:rPr>
          <w:rFonts w:ascii="Times New Roman" w:eastAsia="Times New Roman" w:hAnsi="Times New Roman" w:cs="Times New Roman"/>
          <w:spacing w:val="-2"/>
          <w:sz w:val="24"/>
          <w:szCs w:val="24"/>
        </w:rPr>
        <w:t xml:space="preserve"> </w:t>
      </w:r>
      <w:r w:rsidRPr="00C16EF3">
        <w:rPr>
          <w:rFonts w:ascii="Times New Roman" w:eastAsia="Times New Roman" w:hAnsi="Times New Roman" w:cs="Times New Roman"/>
          <w:sz w:val="24"/>
          <w:szCs w:val="24"/>
        </w:rPr>
        <w:t>product</w:t>
      </w:r>
      <w:r w:rsidRPr="00C16EF3">
        <w:rPr>
          <w:rFonts w:ascii="Times New Roman" w:eastAsia="Times New Roman" w:hAnsi="Times New Roman" w:cs="Times New Roman"/>
          <w:spacing w:val="-3"/>
          <w:sz w:val="24"/>
          <w:szCs w:val="24"/>
        </w:rPr>
        <w:t xml:space="preserve"> </w:t>
      </w:r>
      <w:r w:rsidRPr="00C16EF3">
        <w:rPr>
          <w:rFonts w:ascii="Times New Roman" w:eastAsia="Times New Roman" w:hAnsi="Times New Roman" w:cs="Times New Roman"/>
          <w:sz w:val="24"/>
          <w:szCs w:val="24"/>
        </w:rPr>
        <w:t>use,</w:t>
      </w:r>
      <w:r w:rsidRPr="00C16EF3">
        <w:rPr>
          <w:rFonts w:ascii="Times New Roman" w:eastAsia="Times New Roman" w:hAnsi="Times New Roman" w:cs="Times New Roman"/>
          <w:spacing w:val="-3"/>
          <w:sz w:val="24"/>
          <w:szCs w:val="24"/>
        </w:rPr>
        <w:t xml:space="preserve"> </w:t>
      </w:r>
      <w:r w:rsidRPr="00C16EF3">
        <w:rPr>
          <w:rFonts w:ascii="Times New Roman" w:eastAsia="Times New Roman" w:hAnsi="Times New Roman" w:cs="Times New Roman"/>
          <w:sz w:val="24"/>
          <w:szCs w:val="24"/>
        </w:rPr>
        <w:t>exposure,</w:t>
      </w:r>
      <w:r w:rsidRPr="00C16EF3">
        <w:rPr>
          <w:rFonts w:ascii="Times New Roman" w:eastAsia="Times New Roman" w:hAnsi="Times New Roman" w:cs="Times New Roman"/>
          <w:spacing w:val="-3"/>
          <w:sz w:val="24"/>
          <w:szCs w:val="24"/>
        </w:rPr>
        <w:t xml:space="preserve"> </w:t>
      </w:r>
      <w:r w:rsidRPr="00C16EF3">
        <w:rPr>
          <w:rFonts w:ascii="Times New Roman" w:eastAsia="Times New Roman" w:hAnsi="Times New Roman" w:cs="Times New Roman"/>
          <w:sz w:val="24"/>
          <w:szCs w:val="24"/>
        </w:rPr>
        <w:t>or</w:t>
      </w:r>
      <w:r w:rsidRPr="00C16EF3">
        <w:rPr>
          <w:rFonts w:ascii="Times New Roman" w:eastAsia="Times New Roman" w:hAnsi="Times New Roman" w:cs="Times New Roman"/>
          <w:spacing w:val="-2"/>
          <w:sz w:val="24"/>
          <w:szCs w:val="24"/>
        </w:rPr>
        <w:t xml:space="preserve"> </w:t>
      </w:r>
      <w:r w:rsidRPr="00C16EF3">
        <w:rPr>
          <w:rFonts w:ascii="Times New Roman" w:eastAsia="Times New Roman" w:hAnsi="Times New Roman" w:cs="Times New Roman"/>
          <w:sz w:val="24"/>
          <w:szCs w:val="24"/>
        </w:rPr>
        <w:t>implantation;</w:t>
      </w:r>
      <w:r w:rsidRPr="00C16EF3">
        <w:rPr>
          <w:rFonts w:ascii="Times New Roman" w:eastAsia="Times New Roman" w:hAnsi="Times New Roman" w:cs="Times New Roman"/>
          <w:spacing w:val="-3"/>
          <w:sz w:val="24"/>
          <w:szCs w:val="24"/>
        </w:rPr>
        <w:t xml:space="preserve"> </w:t>
      </w:r>
      <w:r w:rsidRPr="00C16EF3">
        <w:rPr>
          <w:rFonts w:ascii="Times New Roman" w:eastAsia="Times New Roman" w:hAnsi="Times New Roman" w:cs="Times New Roman"/>
          <w:sz w:val="24"/>
          <w:szCs w:val="24"/>
        </w:rPr>
        <w:t>to</w:t>
      </w:r>
      <w:r w:rsidRPr="00C16EF3">
        <w:rPr>
          <w:rFonts w:ascii="Times New Roman" w:eastAsia="Times New Roman" w:hAnsi="Times New Roman" w:cs="Times New Roman"/>
          <w:spacing w:val="-3"/>
          <w:sz w:val="24"/>
          <w:szCs w:val="24"/>
        </w:rPr>
        <w:t xml:space="preserve"> </w:t>
      </w:r>
      <w:r w:rsidRPr="00C16EF3">
        <w:rPr>
          <w:rFonts w:ascii="Times New Roman" w:eastAsia="Times New Roman" w:hAnsi="Times New Roman" w:cs="Times New Roman"/>
          <w:sz w:val="24"/>
          <w:szCs w:val="24"/>
        </w:rPr>
        <w:t>obtain</w:t>
      </w:r>
      <w:r w:rsidRPr="00C16EF3">
        <w:rPr>
          <w:rFonts w:ascii="Times New Roman" w:eastAsia="Times New Roman" w:hAnsi="Times New Roman" w:cs="Times New Roman"/>
          <w:spacing w:val="-3"/>
          <w:sz w:val="24"/>
          <w:szCs w:val="24"/>
        </w:rPr>
        <w:t xml:space="preserve"> </w:t>
      </w:r>
      <w:r w:rsidRPr="00C16EF3">
        <w:rPr>
          <w:rFonts w:ascii="Times New Roman" w:eastAsia="Times New Roman" w:hAnsi="Times New Roman" w:cs="Times New Roman"/>
          <w:sz w:val="24"/>
          <w:szCs w:val="24"/>
        </w:rPr>
        <w:t xml:space="preserve">official medical records, or locate other documentation to confirm medical diagnosis and treatment; or sometimes </w:t>
      </w:r>
      <w:r w:rsidRPr="00C16EF3">
        <w:rPr>
          <w:rFonts w:ascii="Times New Roman" w:eastAsia="Times New Roman" w:hAnsi="Times New Roman" w:cs="Times New Roman"/>
          <w:sz w:val="24"/>
          <w:szCs w:val="24"/>
        </w:rPr>
        <w:lastRenderedPageBreak/>
        <w:t>even to find a client who may have moved, changed phone numbers, or even passed away is a key consideration.</w:t>
      </w:r>
      <w:r>
        <w:rPr>
          <w:rStyle w:val="FootnoteReference"/>
          <w:rFonts w:ascii="Times New Roman" w:eastAsia="Times New Roman" w:hAnsi="Times New Roman" w:cs="Times New Roman"/>
          <w:sz w:val="24"/>
          <w:szCs w:val="24"/>
        </w:rPr>
        <w:footnoteReference w:id="17"/>
      </w:r>
    </w:p>
    <w:p w14:paraId="1ADB0416" w14:textId="77777777" w:rsidR="008A2BA3" w:rsidRPr="00885686" w:rsidRDefault="008A2BA3" w:rsidP="008A2BA3">
      <w:pPr>
        <w:pStyle w:val="NoSpacing"/>
        <w:spacing w:line="360" w:lineRule="auto"/>
        <w:ind w:firstLine="720"/>
        <w:jc w:val="both"/>
        <w:rPr>
          <w:rFonts w:cs="Times New Roman"/>
          <w:szCs w:val="24"/>
        </w:rPr>
      </w:pPr>
      <w:r>
        <w:rPr>
          <w:rFonts w:cs="Times New Roman"/>
          <w:szCs w:val="24"/>
        </w:rPr>
        <w:t>Similarly, a defendant requires an equal amount of time to vet the same number of cases and may not have gathered evidentiary support to deny factual contentions.</w:t>
      </w:r>
      <w:r w:rsidRPr="00AF129F">
        <w:rPr>
          <w:rStyle w:val="FootnoteReference"/>
          <w:rFonts w:cs="Times New Roman"/>
          <w:szCs w:val="24"/>
        </w:rPr>
        <w:t xml:space="preserve"> </w:t>
      </w:r>
      <w:r>
        <w:rPr>
          <w:rStyle w:val="FootnoteReference"/>
          <w:rFonts w:cs="Times New Roman"/>
          <w:szCs w:val="24"/>
        </w:rPr>
        <w:footnoteReference w:id="18"/>
      </w:r>
      <w:r>
        <w:rPr>
          <w:rFonts w:cs="Times New Roman"/>
          <w:szCs w:val="24"/>
        </w:rPr>
        <w:t xml:space="preserve">   </w:t>
      </w:r>
    </w:p>
    <w:p w14:paraId="5F3880E1" w14:textId="77777777" w:rsidR="008A2BA3" w:rsidRDefault="008A2BA3" w:rsidP="008A2BA3">
      <w:pPr>
        <w:spacing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rule “does not require a formal amendment to pleadings for which evidentiary support is not obtained after further investigation or discovery, but rather calls upon a litigant not thereafter to advocate such claims or defenses.”</w:t>
      </w:r>
      <w:r>
        <w:rPr>
          <w:rStyle w:val="FootnoteReference"/>
          <w:rFonts w:ascii="Times New Roman" w:hAnsi="Times New Roman" w:cs="Times New Roman"/>
          <w:sz w:val="24"/>
          <w:szCs w:val="24"/>
        </w:rPr>
        <w:footnoteReference w:id="19"/>
      </w:r>
      <w:r>
        <w:rPr>
          <w:rFonts w:ascii="Times New Roman" w:hAnsi="Times New Roman" w:cs="Times New Roman"/>
          <w:sz w:val="24"/>
          <w:szCs w:val="24"/>
        </w:rPr>
        <w:t xml:space="preserve"> A party maintaining a complaint after learning that it has no evidentiary support is “advocating” the claim in violation of the rule.</w:t>
      </w:r>
    </w:p>
    <w:p w14:paraId="15B51D1F" w14:textId="77777777" w:rsidR="008A2BA3" w:rsidRDefault="008A2BA3" w:rsidP="008A2BA3">
      <w:pPr>
        <w:pStyle w:val="NoSpacing"/>
        <w:ind w:left="720" w:right="720"/>
        <w:jc w:val="both"/>
        <w:rPr>
          <w:rFonts w:cs="Times New Roman"/>
          <w:szCs w:val="24"/>
        </w:rPr>
      </w:pPr>
      <w:r w:rsidRPr="00606B34">
        <w:rPr>
          <w:rFonts w:cs="Times New Roman"/>
          <w:b/>
          <w:bCs/>
          <w:szCs w:val="24"/>
        </w:rPr>
        <w:t>Best Practice MDL-§ 6(b)(</w:t>
      </w:r>
      <w:r>
        <w:rPr>
          <w:rFonts w:cs="Times New Roman"/>
          <w:b/>
          <w:bCs/>
          <w:szCs w:val="24"/>
        </w:rPr>
        <w:t>iv</w:t>
      </w:r>
      <w:r w:rsidRPr="00606B34">
        <w:rPr>
          <w:rFonts w:cs="Times New Roman"/>
          <w:b/>
          <w:bCs/>
          <w:szCs w:val="24"/>
        </w:rPr>
        <w:t>):</w:t>
      </w:r>
      <w:r w:rsidRPr="00606B34">
        <w:rPr>
          <w:rFonts w:cs="Times New Roman"/>
          <w:szCs w:val="24"/>
        </w:rPr>
        <w:t xml:space="preserve"> The </w:t>
      </w:r>
      <w:r>
        <w:rPr>
          <w:rFonts w:cs="Times New Roman"/>
          <w:szCs w:val="24"/>
        </w:rPr>
        <w:t xml:space="preserve">parties should suggest that the court consider directing the leadership of both sides to meet and confer or, alternatively, assign the plaintiff steering committee or other vetting committee the responsibility to screen all actions filed in the MDL and report to the court any filings that may not have evidentiary support. </w:t>
      </w:r>
      <w:r>
        <w:t xml:space="preserve">Permanent No. </w:t>
      </w:r>
      <w:r>
        <w:rPr>
          <w:rFonts w:cs="Times New Roman"/>
          <w:szCs w:val="24"/>
        </w:rPr>
        <w:t>MDL-§ 15</w:t>
      </w:r>
      <w:r>
        <w:t>(b)(iv).</w:t>
      </w:r>
    </w:p>
    <w:p w14:paraId="602AD885" w14:textId="77777777" w:rsidR="008A2BA3" w:rsidRDefault="008A2BA3" w:rsidP="008A2BA3">
      <w:pPr>
        <w:pStyle w:val="NoSpacing"/>
        <w:ind w:left="720" w:right="720"/>
        <w:jc w:val="both"/>
        <w:rPr>
          <w:b/>
          <w:bCs/>
        </w:rPr>
      </w:pPr>
    </w:p>
    <w:p w14:paraId="66C1513D" w14:textId="77777777" w:rsidR="008A2BA3" w:rsidRDefault="008A2BA3" w:rsidP="008A2BA3">
      <w:pPr>
        <w:pStyle w:val="NoSpacing"/>
        <w:spacing w:line="360" w:lineRule="auto"/>
        <w:ind w:firstLine="720"/>
        <w:jc w:val="both"/>
      </w:pPr>
      <w:r>
        <w:t>P</w:t>
      </w:r>
      <w:r w:rsidRPr="00464A84">
        <w:t>laintiff</w:t>
      </w:r>
      <w:r>
        <w:t>s’</w:t>
      </w:r>
      <w:r w:rsidRPr="00464A84">
        <w:t xml:space="preserve"> leadership </w:t>
      </w:r>
      <w:r>
        <w:t>is in a good position to recognize whether individual filed actions are questionable and raise with the court those filings that may not have adequate evidentiary support at appropriate times, especially if the questionable filings are made by a single or a few law firms.</w:t>
      </w:r>
      <w:r>
        <w:rPr>
          <w:rStyle w:val="FootnoteReference"/>
        </w:rPr>
        <w:footnoteReference w:id="20"/>
      </w:r>
      <w:r>
        <w:t xml:space="preserve">  Plaintiffs’ leadership should consider informing the court of such cases either on their own or suggest to the court that it assign them to do it.  </w:t>
      </w:r>
    </w:p>
    <w:p w14:paraId="215672B8" w14:textId="77777777" w:rsidR="008A2BA3" w:rsidRDefault="008A2BA3" w:rsidP="008A2BA3">
      <w:pPr>
        <w:shd w:val="clear" w:color="auto" w:fill="FFFFFF"/>
        <w:spacing w:before="100" w:beforeAutospacing="1" w:after="0" w:line="240" w:lineRule="auto"/>
        <w:ind w:left="720" w:right="720"/>
        <w:jc w:val="both"/>
        <w:rPr>
          <w:rFonts w:ascii="Times New Roman" w:hAnsi="Times New Roman" w:cs="Times New Roman"/>
          <w:sz w:val="24"/>
          <w:szCs w:val="24"/>
        </w:rPr>
      </w:pPr>
      <w:r w:rsidRPr="00606B34">
        <w:rPr>
          <w:rFonts w:ascii="Times New Roman" w:hAnsi="Times New Roman" w:cs="Times New Roman"/>
          <w:b/>
          <w:bCs/>
          <w:sz w:val="24"/>
          <w:szCs w:val="24"/>
        </w:rPr>
        <w:t>Best Practice MDL-§ 6(b)(</w:t>
      </w:r>
      <w:r>
        <w:rPr>
          <w:rFonts w:ascii="Times New Roman" w:hAnsi="Times New Roman" w:cs="Times New Roman"/>
          <w:b/>
          <w:bCs/>
          <w:sz w:val="24"/>
          <w:szCs w:val="24"/>
        </w:rPr>
        <w:t>v</w:t>
      </w:r>
      <w:r w:rsidRPr="00606B34">
        <w:rPr>
          <w:rFonts w:ascii="Times New Roman" w:hAnsi="Times New Roman" w:cs="Times New Roman"/>
          <w:b/>
          <w:bCs/>
          <w:sz w:val="24"/>
          <w:szCs w:val="24"/>
        </w:rPr>
        <w:t>):</w:t>
      </w:r>
      <w:r>
        <w:rPr>
          <w:rFonts w:ascii="Times New Roman" w:hAnsi="Times New Roman" w:cs="Times New Roman"/>
          <w:b/>
          <w:bCs/>
          <w:sz w:val="24"/>
          <w:szCs w:val="24"/>
        </w:rPr>
        <w:t xml:space="preserve"> </w:t>
      </w:r>
      <w:r w:rsidRPr="0017755B">
        <w:rPr>
          <w:rFonts w:ascii="Times New Roman" w:hAnsi="Times New Roman" w:cs="Times New Roman"/>
          <w:sz w:val="24"/>
          <w:szCs w:val="24"/>
        </w:rPr>
        <w:t xml:space="preserve">The </w:t>
      </w:r>
      <w:r>
        <w:rPr>
          <w:rFonts w:ascii="Times New Roman" w:hAnsi="Times New Roman" w:cs="Times New Roman"/>
          <w:sz w:val="24"/>
          <w:szCs w:val="24"/>
        </w:rPr>
        <w:t>plaintiff leadership</w:t>
      </w:r>
      <w:r w:rsidRPr="0017755B">
        <w:rPr>
          <w:rFonts w:ascii="Times New Roman" w:hAnsi="Times New Roman" w:cs="Times New Roman"/>
          <w:sz w:val="24"/>
          <w:szCs w:val="24"/>
        </w:rPr>
        <w:t xml:space="preserve"> should </w:t>
      </w:r>
      <w:r>
        <w:rPr>
          <w:rFonts w:ascii="Times New Roman" w:hAnsi="Times New Roman" w:cs="Times New Roman"/>
          <w:sz w:val="24"/>
          <w:szCs w:val="24"/>
        </w:rPr>
        <w:t xml:space="preserve">consult with the defendant leadership and </w:t>
      </w:r>
      <w:r w:rsidRPr="0017755B">
        <w:rPr>
          <w:rFonts w:ascii="Times New Roman" w:hAnsi="Times New Roman" w:cs="Times New Roman"/>
          <w:sz w:val="24"/>
          <w:szCs w:val="24"/>
        </w:rPr>
        <w:t xml:space="preserve">jointly develop a vetting process using the information collected </w:t>
      </w:r>
      <w:r>
        <w:rPr>
          <w:rFonts w:ascii="Times New Roman" w:hAnsi="Times New Roman" w:cs="Times New Roman"/>
          <w:sz w:val="24"/>
          <w:szCs w:val="24"/>
        </w:rPr>
        <w:t>in</w:t>
      </w:r>
      <w:r w:rsidRPr="0017755B">
        <w:rPr>
          <w:rFonts w:ascii="Times New Roman" w:hAnsi="Times New Roman" w:cs="Times New Roman"/>
          <w:sz w:val="24"/>
          <w:szCs w:val="24"/>
        </w:rPr>
        <w:t xml:space="preserve"> the central-exchange platform</w:t>
      </w:r>
      <w:r>
        <w:rPr>
          <w:rFonts w:ascii="Times New Roman" w:hAnsi="Times New Roman" w:cs="Times New Roman"/>
          <w:sz w:val="24"/>
          <w:szCs w:val="24"/>
        </w:rPr>
        <w:t>, including designating a neutral to evaluate disputed filings</w:t>
      </w:r>
      <w:r w:rsidRPr="0017755B">
        <w:rPr>
          <w:rFonts w:ascii="Times New Roman" w:eastAsia="Times New Roman" w:hAnsi="Times New Roman" w:cs="Times New Roman"/>
          <w:color w:val="4A4A4A"/>
          <w:sz w:val="24"/>
          <w:szCs w:val="24"/>
        </w:rPr>
        <w:t>.</w:t>
      </w:r>
      <w:r w:rsidRPr="00606B34">
        <w:rPr>
          <w:rFonts w:ascii="Times New Roman" w:hAnsi="Times New Roman" w:cs="Times New Roman"/>
          <w:sz w:val="24"/>
          <w:szCs w:val="24"/>
        </w:rPr>
        <w:t xml:space="preserve"> Permanent No. MDL-§ 1</w:t>
      </w:r>
      <w:r>
        <w:rPr>
          <w:rFonts w:ascii="Times New Roman" w:hAnsi="Times New Roman" w:cs="Times New Roman"/>
          <w:sz w:val="24"/>
          <w:szCs w:val="24"/>
        </w:rPr>
        <w:t>5</w:t>
      </w:r>
      <w:r w:rsidRPr="00606B34">
        <w:rPr>
          <w:rFonts w:ascii="Times New Roman" w:hAnsi="Times New Roman" w:cs="Times New Roman"/>
          <w:sz w:val="24"/>
          <w:szCs w:val="24"/>
        </w:rPr>
        <w:t xml:space="preserve"> (</w:t>
      </w:r>
      <w:r>
        <w:rPr>
          <w:rFonts w:ascii="Times New Roman" w:hAnsi="Times New Roman" w:cs="Times New Roman"/>
          <w:sz w:val="24"/>
          <w:szCs w:val="24"/>
        </w:rPr>
        <w:t>b</w:t>
      </w:r>
      <w:r w:rsidRPr="00606B34">
        <w:rPr>
          <w:rFonts w:ascii="Times New Roman" w:hAnsi="Times New Roman" w:cs="Times New Roman"/>
          <w:sz w:val="24"/>
          <w:szCs w:val="24"/>
        </w:rPr>
        <w:t>)(</w:t>
      </w:r>
      <w:r>
        <w:rPr>
          <w:rFonts w:ascii="Times New Roman" w:hAnsi="Times New Roman" w:cs="Times New Roman"/>
          <w:sz w:val="24"/>
          <w:szCs w:val="24"/>
        </w:rPr>
        <w:t>v</w:t>
      </w:r>
      <w:r w:rsidRPr="00606B34">
        <w:rPr>
          <w:rFonts w:ascii="Times New Roman" w:hAnsi="Times New Roman" w:cs="Times New Roman"/>
          <w:sz w:val="24"/>
          <w:szCs w:val="24"/>
        </w:rPr>
        <w:t>).</w:t>
      </w:r>
    </w:p>
    <w:p w14:paraId="0C7BC35B" w14:textId="77777777" w:rsidR="008A2BA3" w:rsidRDefault="008A2BA3" w:rsidP="008A2BA3">
      <w:pPr>
        <w:pStyle w:val="NoSpacing"/>
        <w:spacing w:line="360" w:lineRule="auto"/>
        <w:ind w:firstLine="720"/>
        <w:jc w:val="both"/>
      </w:pPr>
    </w:p>
    <w:p w14:paraId="03022A9E" w14:textId="77777777" w:rsidR="008A2BA3" w:rsidRDefault="008A2BA3" w:rsidP="008A2BA3">
      <w:pPr>
        <w:pStyle w:val="NoSpacing"/>
        <w:spacing w:line="360" w:lineRule="auto"/>
        <w:ind w:firstLine="720"/>
        <w:jc w:val="both"/>
      </w:pPr>
      <w:r>
        <w:t xml:space="preserve">To meet their joint responsibility, plaintiff and defense leadership should consider consulting with the vendor who manages the central-exchange platform in the MDL on what </w:t>
      </w:r>
      <w:r>
        <w:lastRenderedPageBreak/>
        <w:t xml:space="preserve">information should be gathered as part of the filing process regarding the evidentiary support of every action, including adding the two certifications described in Best Practice Permanent No. </w:t>
      </w:r>
      <w:r w:rsidRPr="00EA0861">
        <w:rPr>
          <w:rFonts w:cs="Times New Roman"/>
          <w:szCs w:val="24"/>
        </w:rPr>
        <w:t xml:space="preserve">MDL-§ </w:t>
      </w:r>
      <w:r>
        <w:rPr>
          <w:rFonts w:cs="Times New Roman"/>
          <w:szCs w:val="24"/>
        </w:rPr>
        <w:t>15</w:t>
      </w:r>
      <w:r w:rsidRPr="00EA0861">
        <w:rPr>
          <w:rFonts w:cs="Times New Roman"/>
          <w:szCs w:val="24"/>
        </w:rPr>
        <w:t>(b)(</w:t>
      </w:r>
      <w:r>
        <w:rPr>
          <w:rFonts w:cs="Times New Roman"/>
          <w:szCs w:val="24"/>
        </w:rPr>
        <w:t>ii</w:t>
      </w:r>
      <w:r w:rsidRPr="00EA0861">
        <w:rPr>
          <w:rFonts w:cs="Times New Roman"/>
          <w:szCs w:val="24"/>
        </w:rPr>
        <w:t>i</w:t>
      </w:r>
      <w:r>
        <w:rPr>
          <w:rFonts w:cs="Times New Roman"/>
          <w:szCs w:val="24"/>
        </w:rPr>
        <w:t>)</w:t>
      </w:r>
      <w:r w:rsidRPr="00EA0861">
        <w:t>.</w:t>
      </w:r>
      <w:r w:rsidRPr="00EA0861">
        <w:rPr>
          <w:rStyle w:val="FootnoteReference"/>
        </w:rPr>
        <w:footnoteReference w:id="21"/>
      </w:r>
      <w:r>
        <w:t xml:space="preserve">  </w:t>
      </w:r>
    </w:p>
    <w:p w14:paraId="0529977D" w14:textId="77777777" w:rsidR="008A2BA3" w:rsidRDefault="008A2BA3" w:rsidP="008A2BA3">
      <w:pPr>
        <w:pStyle w:val="NoSpacing"/>
        <w:spacing w:line="360" w:lineRule="auto"/>
        <w:ind w:firstLine="720"/>
        <w:jc w:val="both"/>
      </w:pPr>
      <w:r>
        <w:t xml:space="preserve">Plaintiff and defendant leadership should recommend a realistic timetable for litigants “to gather and confirm the evidentiary basis for their allegations,” which </w:t>
      </w:r>
      <w:proofErr w:type="gramStart"/>
      <w:r>
        <w:t>takes into account</w:t>
      </w:r>
      <w:proofErr w:type="gramEnd"/>
      <w:r>
        <w:t xml:space="preserve"> the large number of filings that may temporarily overwhelm the resources of a law firm,</w:t>
      </w:r>
      <w:r w:rsidRPr="00A7542B">
        <w:rPr>
          <w:i/>
          <w:iCs/>
        </w:rPr>
        <w:t xml:space="preserve"> </w:t>
      </w:r>
      <w:r w:rsidRPr="00296939">
        <w:rPr>
          <w:i/>
          <w:iCs/>
        </w:rPr>
        <w:t>e.g</w:t>
      </w:r>
      <w:r>
        <w:t>., 6, 12, or 18 months.  Automatic alerts of filings with case-dispositive factual contentions that were expected to have evidentiary support after investigation or discovery, but which have not materialized after expiration of the agreed-upon reasonable time, would assist leadership counsel fulfill their assigned responsibilities.</w:t>
      </w:r>
      <w:r>
        <w:rPr>
          <w:rStyle w:val="FootnoteReference"/>
        </w:rPr>
        <w:footnoteReference w:id="22"/>
      </w:r>
      <w:r>
        <w:t xml:space="preserve"> </w:t>
      </w:r>
    </w:p>
    <w:p w14:paraId="27A550B5" w14:textId="77777777" w:rsidR="008A2BA3" w:rsidRDefault="008A2BA3" w:rsidP="008A2BA3">
      <w:pPr>
        <w:pStyle w:val="NoSpacing"/>
        <w:spacing w:line="360" w:lineRule="auto"/>
        <w:ind w:firstLine="720"/>
        <w:jc w:val="both"/>
      </w:pPr>
      <w:r>
        <w:t>As part of the vetting process, serial deficiencies in many actions attributed to a single law firm should be highlighted, which can be raised to the court’s attention or addressed by Rule 11 sanction motions filed simultaneously.</w:t>
      </w:r>
      <w:r>
        <w:rPr>
          <w:rStyle w:val="FootnoteReference"/>
        </w:rPr>
        <w:footnoteReference w:id="23"/>
      </w:r>
      <w:r>
        <w:t xml:space="preserve"> </w:t>
      </w:r>
    </w:p>
    <w:p w14:paraId="0C16065D" w14:textId="77777777" w:rsidR="008A2BA3" w:rsidRDefault="008A2BA3" w:rsidP="008A2BA3">
      <w:pPr>
        <w:pStyle w:val="NoSpacing"/>
        <w:spacing w:line="360" w:lineRule="auto"/>
        <w:ind w:firstLine="720"/>
        <w:jc w:val="both"/>
      </w:pPr>
      <w:r>
        <w:t xml:space="preserve">Some courts have accelerated the process, providing the plaintiff 30 days after filing the complaint to complete an abbreviated profile form with medical records, requiring plaintiff to respond within 21 days to defendant’s deficiency notice submitted through MDL Centrality, ruling on deficiency at the court’s next case-management conference, and providing the defendant with an opportunity to apply for their reasonable attorney’s fees and expenses incurred in seeking </w:t>
      </w:r>
      <w:r>
        <w:lastRenderedPageBreak/>
        <w:t>dismissal.</w:t>
      </w:r>
      <w:r>
        <w:rPr>
          <w:rStyle w:val="FootnoteReference"/>
        </w:rPr>
        <w:footnoteReference w:id="24"/>
      </w:r>
      <w:r>
        <w:t xml:space="preserve">  Similar provisions apply to incomplete profile forms submitted by the defendant. The expenses of collecting the additional information should be compensated through the common-benefit fund. </w:t>
      </w:r>
    </w:p>
    <w:p w14:paraId="43FEE77A" w14:textId="77777777" w:rsidR="008A2BA3" w:rsidRDefault="008A2BA3" w:rsidP="008A2BA3">
      <w:pPr>
        <w:pStyle w:val="NoSpacing"/>
        <w:spacing w:line="360" w:lineRule="auto"/>
        <w:ind w:firstLine="720"/>
        <w:jc w:val="both"/>
      </w:pPr>
      <w:r>
        <w:t xml:space="preserve">The responsibility to review filings is ongoing and applies to future filings. To mitigate the potential for contention, the defendant lawyers should consider “informally” advising the plaintiff steering committee or other vetting committee of filings that raise suspicions that an action may not have evidentiary support for its factual contentions. </w:t>
      </w:r>
    </w:p>
    <w:p w14:paraId="250312AB" w14:textId="77777777" w:rsidR="008A2BA3" w:rsidRDefault="008A2BA3" w:rsidP="008A2BA3">
      <w:pPr>
        <w:pStyle w:val="NoSpacing"/>
        <w:spacing w:line="360" w:lineRule="auto"/>
        <w:ind w:firstLine="720"/>
        <w:jc w:val="both"/>
        <w:rPr>
          <w:b/>
          <w:bCs/>
        </w:rPr>
      </w:pPr>
      <w:r>
        <w:t xml:space="preserve">Instead of going directly to the court for a ruling following a notice of deficiency, the parties may also consider designating a neutral to resolve any disputes and recommend disposition to both plaintiff and defense leadership.  If the affected party fails to withdraw its filing or if the defendant disagrees with the neutral’s recommendation, a notice of deficiency can be filed recommending that the court hold a show-cause hearing for a Rule 41 dismissal.  Alternatively, the court may impose a summary </w:t>
      </w:r>
      <w:proofErr w:type="spellStart"/>
      <w:r w:rsidRPr="000D264A">
        <w:rPr>
          <w:i/>
          <w:iCs/>
        </w:rPr>
        <w:t>sua</w:t>
      </w:r>
      <w:proofErr w:type="spellEnd"/>
      <w:r w:rsidRPr="000D264A">
        <w:rPr>
          <w:i/>
          <w:iCs/>
        </w:rPr>
        <w:t xml:space="preserve"> sponte</w:t>
      </w:r>
      <w:r>
        <w:t xml:space="preserve"> sanction discussed in the next best practice. </w:t>
      </w:r>
    </w:p>
    <w:p w14:paraId="01EFF61A" w14:textId="77777777" w:rsidR="008A2BA3" w:rsidRDefault="008A2BA3" w:rsidP="008A2BA3">
      <w:pPr>
        <w:shd w:val="clear" w:color="auto" w:fill="FFFFFF"/>
        <w:spacing w:before="100" w:beforeAutospacing="1" w:after="0" w:line="240" w:lineRule="auto"/>
        <w:ind w:left="720" w:right="720"/>
        <w:jc w:val="both"/>
        <w:rPr>
          <w:rFonts w:ascii="Times New Roman" w:hAnsi="Times New Roman" w:cs="Times New Roman"/>
          <w:sz w:val="24"/>
          <w:szCs w:val="24"/>
        </w:rPr>
      </w:pPr>
      <w:r w:rsidRPr="00606B34">
        <w:rPr>
          <w:rFonts w:ascii="Times New Roman" w:hAnsi="Times New Roman" w:cs="Times New Roman"/>
          <w:b/>
          <w:bCs/>
          <w:sz w:val="24"/>
          <w:szCs w:val="24"/>
        </w:rPr>
        <w:t>Best Practice MDL-§ 6(b)(</w:t>
      </w:r>
      <w:r>
        <w:rPr>
          <w:rFonts w:ascii="Times New Roman" w:hAnsi="Times New Roman" w:cs="Times New Roman"/>
          <w:b/>
          <w:bCs/>
          <w:sz w:val="24"/>
          <w:szCs w:val="24"/>
        </w:rPr>
        <w:t>vi</w:t>
      </w:r>
      <w:r w:rsidRPr="00606B34">
        <w:rPr>
          <w:rFonts w:ascii="Times New Roman" w:hAnsi="Times New Roman" w:cs="Times New Roman"/>
          <w:b/>
          <w:bCs/>
          <w:sz w:val="24"/>
          <w:szCs w:val="24"/>
        </w:rPr>
        <w:t>):</w:t>
      </w:r>
      <w:r w:rsidRPr="00606B34">
        <w:rPr>
          <w:rFonts w:ascii="Times New Roman" w:hAnsi="Times New Roman" w:cs="Times New Roman"/>
          <w:sz w:val="24"/>
          <w:szCs w:val="24"/>
        </w:rPr>
        <w:t xml:space="preserve"> </w:t>
      </w:r>
      <w:r>
        <w:rPr>
          <w:rFonts w:ascii="Times New Roman" w:hAnsi="Times New Roman" w:cs="Times New Roman"/>
          <w:sz w:val="24"/>
          <w:szCs w:val="24"/>
        </w:rPr>
        <w:t xml:space="preserve">Rule 11(c)(3) expressly authorizes a judge to sanction a law firm </w:t>
      </w:r>
      <w:proofErr w:type="spellStart"/>
      <w:r w:rsidRPr="00815476">
        <w:rPr>
          <w:rFonts w:ascii="Times New Roman" w:hAnsi="Times New Roman" w:cs="Times New Roman"/>
          <w:i/>
          <w:iCs/>
          <w:sz w:val="24"/>
          <w:szCs w:val="24"/>
        </w:rPr>
        <w:t>sua</w:t>
      </w:r>
      <w:proofErr w:type="spellEnd"/>
      <w:r w:rsidRPr="00815476">
        <w:rPr>
          <w:rFonts w:ascii="Times New Roman" w:hAnsi="Times New Roman" w:cs="Times New Roman"/>
          <w:i/>
          <w:iCs/>
          <w:sz w:val="24"/>
          <w:szCs w:val="24"/>
        </w:rPr>
        <w:t xml:space="preserve"> sponte</w:t>
      </w:r>
      <w:r>
        <w:rPr>
          <w:rFonts w:ascii="Times New Roman" w:hAnsi="Times New Roman" w:cs="Times New Roman"/>
          <w:sz w:val="24"/>
          <w:szCs w:val="24"/>
        </w:rPr>
        <w:t xml:space="preserve"> </w:t>
      </w:r>
      <w:r w:rsidRPr="00606B34">
        <w:rPr>
          <w:rFonts w:ascii="Times New Roman" w:eastAsia="Times New Roman" w:hAnsi="Times New Roman" w:cs="Times New Roman"/>
          <w:color w:val="4A4A4A"/>
          <w:sz w:val="24"/>
          <w:szCs w:val="24"/>
        </w:rPr>
        <w:t xml:space="preserve">for filing obviously </w:t>
      </w:r>
      <w:r>
        <w:rPr>
          <w:rFonts w:ascii="Times New Roman" w:eastAsia="Times New Roman" w:hAnsi="Times New Roman" w:cs="Times New Roman"/>
          <w:color w:val="4A4A4A"/>
          <w:sz w:val="24"/>
          <w:szCs w:val="24"/>
        </w:rPr>
        <w:t xml:space="preserve">frivolous </w:t>
      </w:r>
      <w:r w:rsidRPr="00606B34">
        <w:rPr>
          <w:rFonts w:ascii="Times New Roman" w:eastAsia="Times New Roman" w:hAnsi="Times New Roman" w:cs="Times New Roman"/>
          <w:color w:val="4A4A4A"/>
          <w:sz w:val="24"/>
          <w:szCs w:val="24"/>
        </w:rPr>
        <w:t xml:space="preserve">meritless </w:t>
      </w:r>
      <w:r>
        <w:rPr>
          <w:rFonts w:ascii="Times New Roman" w:eastAsia="Times New Roman" w:hAnsi="Times New Roman" w:cs="Times New Roman"/>
          <w:color w:val="4A4A4A"/>
          <w:sz w:val="24"/>
          <w:szCs w:val="24"/>
        </w:rPr>
        <w:t xml:space="preserve">actions or persisting in denying case-dispositive factual contentions that have evidentiary support, which involve many actions, in a mass-tort MDL </w:t>
      </w:r>
      <w:proofErr w:type="gramStart"/>
      <w:r>
        <w:rPr>
          <w:rFonts w:ascii="Times New Roman" w:eastAsia="Times New Roman" w:hAnsi="Times New Roman" w:cs="Times New Roman"/>
          <w:color w:val="4A4A4A"/>
          <w:sz w:val="24"/>
          <w:szCs w:val="24"/>
        </w:rPr>
        <w:t>as a means to</w:t>
      </w:r>
      <w:proofErr w:type="gramEnd"/>
      <w:r>
        <w:rPr>
          <w:rFonts w:ascii="Times New Roman" w:eastAsia="Times New Roman" w:hAnsi="Times New Roman" w:cs="Times New Roman"/>
          <w:color w:val="4A4A4A"/>
          <w:sz w:val="24"/>
          <w:szCs w:val="24"/>
        </w:rPr>
        <w:t xml:space="preserve"> deter similar activity by others.</w:t>
      </w:r>
      <w:r w:rsidRPr="00606B34">
        <w:rPr>
          <w:rFonts w:ascii="Times New Roman" w:hAnsi="Times New Roman" w:cs="Times New Roman"/>
          <w:sz w:val="24"/>
          <w:szCs w:val="24"/>
        </w:rPr>
        <w:t xml:space="preserve">  Permanent No. MDL-§ 1</w:t>
      </w:r>
      <w:r>
        <w:rPr>
          <w:rFonts w:ascii="Times New Roman" w:hAnsi="Times New Roman" w:cs="Times New Roman"/>
          <w:sz w:val="24"/>
          <w:szCs w:val="24"/>
        </w:rPr>
        <w:t>5</w:t>
      </w:r>
      <w:r w:rsidRPr="00606B34">
        <w:rPr>
          <w:rFonts w:ascii="Times New Roman" w:hAnsi="Times New Roman" w:cs="Times New Roman"/>
          <w:sz w:val="24"/>
          <w:szCs w:val="24"/>
        </w:rPr>
        <w:t xml:space="preserve"> (</w:t>
      </w:r>
      <w:r>
        <w:rPr>
          <w:rFonts w:ascii="Times New Roman" w:hAnsi="Times New Roman" w:cs="Times New Roman"/>
          <w:sz w:val="24"/>
          <w:szCs w:val="24"/>
        </w:rPr>
        <w:t>b</w:t>
      </w:r>
      <w:r w:rsidRPr="00606B34">
        <w:rPr>
          <w:rFonts w:ascii="Times New Roman" w:hAnsi="Times New Roman" w:cs="Times New Roman"/>
          <w:sz w:val="24"/>
          <w:szCs w:val="24"/>
        </w:rPr>
        <w:t>)(</w:t>
      </w:r>
      <w:r>
        <w:rPr>
          <w:rFonts w:ascii="Times New Roman" w:hAnsi="Times New Roman" w:cs="Times New Roman"/>
          <w:sz w:val="24"/>
          <w:szCs w:val="24"/>
        </w:rPr>
        <w:t>vi</w:t>
      </w:r>
      <w:r w:rsidRPr="00606B34">
        <w:rPr>
          <w:rFonts w:ascii="Times New Roman" w:hAnsi="Times New Roman" w:cs="Times New Roman"/>
          <w:sz w:val="24"/>
          <w:szCs w:val="24"/>
        </w:rPr>
        <w:t>).</w:t>
      </w:r>
    </w:p>
    <w:p w14:paraId="6DC0FDF6" w14:textId="77777777" w:rsidR="008A2BA3" w:rsidRDefault="008A2BA3" w:rsidP="008A2BA3">
      <w:pPr>
        <w:shd w:val="clear" w:color="auto" w:fill="FFFFFF"/>
        <w:spacing w:before="100" w:beforeAutospacing="1" w:after="0" w:line="360" w:lineRule="auto"/>
        <w:ind w:firstLine="720"/>
        <w:jc w:val="both"/>
        <w:rPr>
          <w:rFonts w:ascii="Times New Roman" w:hAnsi="Times New Roman" w:cs="Times New Roman"/>
        </w:rPr>
      </w:pPr>
      <w:r>
        <w:rPr>
          <w:rFonts w:ascii="Times New Roman" w:hAnsi="Times New Roman" w:cs="Times New Roman"/>
          <w:sz w:val="24"/>
          <w:szCs w:val="24"/>
        </w:rPr>
        <w:t xml:space="preserve">In a one-off, non-MDL case, a judge bends over backwards holding multiple hearings and entertaining multiple motions, scrupulously ensuring that the litigant’s every right is honored before dismissing a case with prejudice under </w:t>
      </w:r>
      <w:r w:rsidRPr="00BF545F">
        <w:rPr>
          <w:rFonts w:ascii="Times New Roman" w:hAnsi="Times New Roman" w:cs="Times New Roman"/>
          <w:sz w:val="24"/>
          <w:szCs w:val="24"/>
        </w:rPr>
        <w:t xml:space="preserve">Fed. R. Civ. P. </w:t>
      </w:r>
      <w:r>
        <w:rPr>
          <w:rFonts w:ascii="Times New Roman" w:hAnsi="Times New Roman" w:cs="Times New Roman"/>
          <w:sz w:val="24"/>
          <w:szCs w:val="24"/>
        </w:rPr>
        <w:t>41.</w:t>
      </w:r>
      <w:r>
        <w:rPr>
          <w:rStyle w:val="FootnoteReference"/>
          <w:rFonts w:ascii="Times New Roman" w:hAnsi="Times New Roman" w:cs="Times New Roman"/>
          <w:sz w:val="24"/>
          <w:szCs w:val="24"/>
        </w:rPr>
        <w:footnoteReference w:id="25"/>
      </w:r>
      <w:r>
        <w:rPr>
          <w:rFonts w:ascii="Times New Roman" w:hAnsi="Times New Roman" w:cs="Times New Roman"/>
          <w:sz w:val="24"/>
          <w:szCs w:val="24"/>
        </w:rPr>
        <w:t xml:space="preserve">  But t</w:t>
      </w:r>
      <w:r w:rsidRPr="00BF545F">
        <w:rPr>
          <w:rFonts w:ascii="Times New Roman" w:hAnsi="Times New Roman" w:cs="Times New Roman"/>
          <w:sz w:val="24"/>
          <w:szCs w:val="24"/>
        </w:rPr>
        <w:t>he deterrent effect</w:t>
      </w:r>
      <w:r>
        <w:rPr>
          <w:rFonts w:ascii="Times New Roman" w:hAnsi="Times New Roman" w:cs="Times New Roman"/>
          <w:sz w:val="24"/>
          <w:szCs w:val="24"/>
        </w:rPr>
        <w:t xml:space="preserve"> of a Rule 41 dismissal, though real in a one-off case, has no meaningful effect in a mass-tort MDL on a law </w:t>
      </w:r>
      <w:r w:rsidRPr="006D1E2F">
        <w:rPr>
          <w:rFonts w:ascii="Times New Roman" w:hAnsi="Times New Roman" w:cs="Times New Roman"/>
          <w:sz w:val="24"/>
          <w:szCs w:val="24"/>
        </w:rPr>
        <w:t>firm managing hundreds of frivolous actions who can make settlement of the claims more economical than litigating individual Rule 41 show-cause hearings.</w:t>
      </w:r>
      <w:r w:rsidRPr="006D1E2F">
        <w:rPr>
          <w:rStyle w:val="FootnoteReference"/>
          <w:rFonts w:ascii="Times New Roman" w:hAnsi="Times New Roman" w:cs="Times New Roman"/>
          <w:sz w:val="24"/>
          <w:szCs w:val="24"/>
        </w:rPr>
        <w:footnoteReference w:id="26"/>
      </w:r>
      <w:r w:rsidRPr="006D1E2F">
        <w:rPr>
          <w:rFonts w:ascii="Times New Roman" w:hAnsi="Times New Roman" w:cs="Times New Roman"/>
          <w:sz w:val="24"/>
          <w:szCs w:val="24"/>
        </w:rPr>
        <w:t xml:space="preserve"> Rule 11 was intended to </w:t>
      </w:r>
      <w:r w:rsidRPr="006D1E2F">
        <w:rPr>
          <w:rFonts w:ascii="Times New Roman" w:hAnsi="Times New Roman" w:cs="Times New Roman"/>
          <w:sz w:val="24"/>
          <w:szCs w:val="24"/>
        </w:rPr>
        <w:lastRenderedPageBreak/>
        <w:t xml:space="preserve">address precisely the problem of frivolous filings, but </w:t>
      </w:r>
      <w:r>
        <w:rPr>
          <w:rFonts w:ascii="Times New Roman" w:hAnsi="Times New Roman" w:cs="Times New Roman"/>
          <w:sz w:val="24"/>
          <w:szCs w:val="24"/>
        </w:rPr>
        <w:t>the bench and bar have been reluctant to apply it</w:t>
      </w:r>
      <w:r w:rsidRPr="006D1E2F">
        <w:rPr>
          <w:rFonts w:ascii="Times New Roman" w:hAnsi="Times New Roman" w:cs="Times New Roman"/>
          <w:sz w:val="24"/>
          <w:szCs w:val="24"/>
        </w:rPr>
        <w:t>.</w:t>
      </w:r>
      <w:r>
        <w:rPr>
          <w:rStyle w:val="FootnoteReference"/>
          <w:rFonts w:ascii="Times New Roman" w:hAnsi="Times New Roman" w:cs="Times New Roman"/>
          <w:sz w:val="24"/>
          <w:szCs w:val="24"/>
        </w:rPr>
        <w:footnoteReference w:id="27"/>
      </w:r>
    </w:p>
    <w:p w14:paraId="1FDBC141" w14:textId="77777777" w:rsidR="008A2BA3" w:rsidRDefault="008A2BA3" w:rsidP="008A2BA3">
      <w:pPr>
        <w:shd w:val="clear" w:color="auto" w:fill="FFFFFF"/>
        <w:spacing w:before="100" w:beforeAutospacing="1"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The major reason why parties do not seek deserved Rule 11 sanctions, and the corresponding need for MDL courts to act on their own, is the parties’ (defendants’ mostly) reluctance, born of the fears of stirring animosities that will complicate and delay ongoing management of the proceedings and impede or distort settlement negotiations.</w:t>
      </w:r>
      <w:r>
        <w:rPr>
          <w:rStyle w:val="FootnoteReference"/>
          <w:rFonts w:ascii="Times New Roman" w:hAnsi="Times New Roman" w:cs="Times New Roman"/>
          <w:sz w:val="24"/>
          <w:szCs w:val="24"/>
        </w:rPr>
        <w:footnoteReference w:id="28"/>
      </w:r>
      <w:r>
        <w:rPr>
          <w:rFonts w:ascii="Times New Roman" w:hAnsi="Times New Roman" w:cs="Times New Roman"/>
          <w:sz w:val="24"/>
          <w:szCs w:val="24"/>
        </w:rPr>
        <w:t xml:space="preserve">  </w:t>
      </w:r>
    </w:p>
    <w:p w14:paraId="4C91A0F8" w14:textId="77777777" w:rsidR="008A2BA3" w:rsidRDefault="008A2BA3" w:rsidP="008A2BA3">
      <w:pPr>
        <w:shd w:val="clear" w:color="auto" w:fill="FFFFFF"/>
        <w:spacing w:before="100" w:beforeAutospacing="1"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Although courts have traditionally been reluctant to intervene unless requested by one of the parties, Rule 11 was amended to explicitly authorize a judge to impose a monetary sanction on their own for violations of the rule.</w:t>
      </w:r>
      <w:r>
        <w:rPr>
          <w:rStyle w:val="FootnoteReference"/>
          <w:rFonts w:ascii="Times New Roman" w:hAnsi="Times New Roman" w:cs="Times New Roman"/>
          <w:sz w:val="24"/>
          <w:szCs w:val="24"/>
        </w:rPr>
        <w:footnoteReference w:id="29"/>
      </w:r>
      <w:r>
        <w:rPr>
          <w:rFonts w:ascii="Times New Roman" w:hAnsi="Times New Roman" w:cs="Times New Roman"/>
          <w:sz w:val="24"/>
          <w:szCs w:val="24"/>
        </w:rPr>
        <w:t xml:space="preserve">  Filing obviously frivolous or meritless actions or persisting in denying case-dispositive factual contentions that are not warranted on the evidence and involve many actions shows contempt of court, which can be punished summarily after issuing a show-cause order without providing a “safe harbor” to withdraw or correct the pleading.</w:t>
      </w:r>
      <w:r>
        <w:rPr>
          <w:rStyle w:val="FootnoteReference"/>
          <w:rFonts w:ascii="Times New Roman" w:hAnsi="Times New Roman" w:cs="Times New Roman"/>
          <w:sz w:val="24"/>
          <w:szCs w:val="24"/>
        </w:rPr>
        <w:footnoteReference w:id="30"/>
      </w:r>
      <w:r>
        <w:rPr>
          <w:rFonts w:ascii="Times New Roman" w:hAnsi="Times New Roman" w:cs="Times New Roman"/>
          <w:sz w:val="24"/>
          <w:szCs w:val="24"/>
        </w:rPr>
        <w:t xml:space="preserve">  </w:t>
      </w:r>
    </w:p>
    <w:p w14:paraId="09D93971" w14:textId="77777777" w:rsidR="008A2BA3" w:rsidRDefault="008A2BA3" w:rsidP="008A2BA3">
      <w:pPr>
        <w:shd w:val="clear" w:color="auto" w:fill="FFFFFF"/>
        <w:spacing w:before="100" w:beforeAutospacing="1" w:after="0" w:line="360" w:lineRule="auto"/>
        <w:ind w:firstLine="720"/>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lastRenderedPageBreak/>
        <w:t xml:space="preserve">The court may impose a monetary sanction without giving the litigant an opportunity to withdraw an action on “condition that this can be done through a show cause order.”  Litigants must be provided an opportunity to respond and adequate time post-filing to gather information </w:t>
      </w:r>
      <w:r w:rsidRPr="00DA3DB3">
        <w:rPr>
          <w:rFonts w:ascii="Times New Roman" w:hAnsi="Times New Roman" w:cs="Times New Roman"/>
          <w:color w:val="222222"/>
          <w:sz w:val="24"/>
          <w:szCs w:val="24"/>
          <w:shd w:val="clear" w:color="auto" w:fill="FFFFFF"/>
        </w:rPr>
        <w:t xml:space="preserve">and </w:t>
      </w:r>
      <w:r>
        <w:rPr>
          <w:rFonts w:ascii="Times New Roman" w:hAnsi="Times New Roman" w:cs="Times New Roman"/>
          <w:color w:val="222222"/>
          <w:sz w:val="24"/>
          <w:szCs w:val="24"/>
          <w:shd w:val="clear" w:color="auto" w:fill="FFFFFF"/>
        </w:rPr>
        <w:t>support</w:t>
      </w:r>
      <w:r w:rsidRPr="00DA3DB3">
        <w:rPr>
          <w:rFonts w:ascii="Times New Roman" w:hAnsi="Times New Roman" w:cs="Times New Roman"/>
          <w:color w:val="222222"/>
          <w:sz w:val="24"/>
          <w:szCs w:val="24"/>
          <w:shd w:val="clear" w:color="auto" w:fill="FFFFFF"/>
        </w:rPr>
        <w:t xml:space="preserve"> the evidentiary allegation</w:t>
      </w:r>
      <w:r w:rsidRPr="00DA3DB3">
        <w:rPr>
          <w:rFonts w:ascii="Times New Roman" w:hAnsi="Times New Roman" w:cs="Times New Roman"/>
          <w:sz w:val="24"/>
          <w:szCs w:val="24"/>
        </w:rPr>
        <w:t xml:space="preserve"> </w:t>
      </w:r>
      <w:r>
        <w:rPr>
          <w:rFonts w:ascii="Times New Roman" w:hAnsi="Times New Roman" w:cs="Times New Roman"/>
          <w:sz w:val="24"/>
          <w:szCs w:val="24"/>
        </w:rPr>
        <w:t xml:space="preserve">by </w:t>
      </w:r>
      <w:r w:rsidRPr="00DA3DB3">
        <w:rPr>
          <w:rFonts w:ascii="Times New Roman" w:hAnsi="Times New Roman" w:cs="Times New Roman"/>
          <w:color w:val="222222"/>
          <w:sz w:val="24"/>
          <w:szCs w:val="24"/>
          <w:shd w:val="clear" w:color="auto" w:fill="FFFFFF"/>
        </w:rPr>
        <w:t>discovery, formal or informal, from opposing parties or third persons</w:t>
      </w:r>
      <w:r>
        <w:rPr>
          <w:rFonts w:ascii="Times New Roman" w:hAnsi="Times New Roman" w:cs="Times New Roman"/>
          <w:color w:val="222222"/>
          <w:sz w:val="24"/>
          <w:szCs w:val="24"/>
          <w:shd w:val="clear" w:color="auto" w:fill="FFFFFF"/>
        </w:rPr>
        <w:t xml:space="preserve"> if they have good reason to believe that the factual contentions are true.</w:t>
      </w:r>
      <w:r>
        <w:rPr>
          <w:rStyle w:val="FootnoteReference"/>
          <w:rFonts w:ascii="Times New Roman" w:hAnsi="Times New Roman" w:cs="Times New Roman"/>
          <w:color w:val="222222"/>
          <w:sz w:val="24"/>
          <w:szCs w:val="24"/>
          <w:shd w:val="clear" w:color="auto" w:fill="FFFFFF"/>
        </w:rPr>
        <w:footnoteReference w:id="31"/>
      </w:r>
      <w:r>
        <w:rPr>
          <w:rFonts w:ascii="Times New Roman" w:hAnsi="Times New Roman" w:cs="Times New Roman"/>
          <w:color w:val="222222"/>
          <w:sz w:val="24"/>
          <w:szCs w:val="24"/>
          <w:shd w:val="clear" w:color="auto" w:fill="FFFFFF"/>
        </w:rPr>
        <w:t xml:space="preserve">  </w:t>
      </w:r>
    </w:p>
    <w:p w14:paraId="6D7D5461" w14:textId="77777777" w:rsidR="008A2BA3" w:rsidRDefault="008A2BA3" w:rsidP="008A2BA3">
      <w:pPr>
        <w:shd w:val="clear" w:color="auto" w:fill="FFFFFF"/>
        <w:spacing w:before="100" w:beforeAutospacing="1"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 court-ordered sanction provides the transferee judge with an effective deterrent in a mass-tort MDL, especially when it targets a single law firm</w:t>
      </w:r>
      <w:r w:rsidRPr="00541AC6">
        <w:rPr>
          <w:rFonts w:ascii="Times New Roman" w:hAnsi="Times New Roman" w:cs="Times New Roman"/>
          <w:sz w:val="24"/>
          <w:szCs w:val="24"/>
        </w:rPr>
        <w:t xml:space="preserve"> </w:t>
      </w:r>
      <w:r>
        <w:rPr>
          <w:rFonts w:ascii="Times New Roman" w:hAnsi="Times New Roman" w:cs="Times New Roman"/>
          <w:sz w:val="24"/>
          <w:szCs w:val="24"/>
        </w:rPr>
        <w:t>that files large numbers of unsupportable actions, and not an individual lawyer, or the defendant when its unwarranted denial of case-dispositive factual contentions involves many actions.</w:t>
      </w:r>
      <w:r>
        <w:rPr>
          <w:rStyle w:val="FootnoteReference"/>
          <w:rFonts w:ascii="Times New Roman" w:hAnsi="Times New Roman" w:cs="Times New Roman"/>
          <w:sz w:val="24"/>
          <w:szCs w:val="24"/>
        </w:rPr>
        <w:footnoteReference w:id="32"/>
      </w:r>
    </w:p>
    <w:p w14:paraId="7C1AED25" w14:textId="77777777" w:rsidR="008A2BA3" w:rsidRDefault="008A2BA3" w:rsidP="008A2BA3">
      <w:pPr>
        <w:shd w:val="clear" w:color="auto" w:fill="FFFFFF"/>
        <w:spacing w:before="100" w:beforeAutospacing="1" w:after="0" w:line="360" w:lineRule="auto"/>
        <w:ind w:firstLine="720"/>
        <w:jc w:val="both"/>
        <w:rPr>
          <w:rFonts w:ascii="Times New Roman" w:hAnsi="Times New Roman" w:cs="Times New Roman"/>
          <w:color w:val="222222"/>
          <w:sz w:val="24"/>
          <w:szCs w:val="24"/>
          <w:shd w:val="clear" w:color="auto" w:fill="FFFFFF"/>
        </w:rPr>
      </w:pPr>
      <w:r>
        <w:rPr>
          <w:rFonts w:ascii="Times New Roman" w:hAnsi="Times New Roman" w:cs="Times New Roman"/>
          <w:sz w:val="24"/>
          <w:szCs w:val="24"/>
        </w:rPr>
        <w:t xml:space="preserve">The court should consider issuing a notice in an early case-management order alerting all parties that the court may impose a penalty </w:t>
      </w:r>
      <w:proofErr w:type="spellStart"/>
      <w:r w:rsidRPr="006831B5">
        <w:rPr>
          <w:rFonts w:ascii="Times New Roman" w:hAnsi="Times New Roman" w:cs="Times New Roman"/>
          <w:i/>
          <w:iCs/>
          <w:sz w:val="24"/>
          <w:szCs w:val="24"/>
        </w:rPr>
        <w:t>sua</w:t>
      </w:r>
      <w:proofErr w:type="spellEnd"/>
      <w:r w:rsidRPr="006831B5">
        <w:rPr>
          <w:rFonts w:ascii="Times New Roman" w:hAnsi="Times New Roman" w:cs="Times New Roman"/>
          <w:i/>
          <w:iCs/>
          <w:sz w:val="24"/>
          <w:szCs w:val="24"/>
        </w:rPr>
        <w:t xml:space="preserve"> sponte</w:t>
      </w:r>
      <w:r>
        <w:rPr>
          <w:rFonts w:ascii="Times New Roman" w:hAnsi="Times New Roman" w:cs="Times New Roman"/>
          <w:sz w:val="24"/>
          <w:szCs w:val="24"/>
        </w:rPr>
        <w:t xml:space="preserve"> on a law firm summarily for the filing of frivolous or meritless actions that have no evidentiary support or on a defendant law firm for continuing to insist on denials of case-dispositive factual allegations that it knows have evidentiary support after the expiration of a reasonable time for investigation or discovery and the issuance of a show-cause order.</w:t>
      </w:r>
      <w:r>
        <w:rPr>
          <w:rStyle w:val="FootnoteReference"/>
          <w:rFonts w:ascii="Times New Roman" w:hAnsi="Times New Roman" w:cs="Times New Roman"/>
          <w:sz w:val="24"/>
          <w:szCs w:val="24"/>
        </w:rPr>
        <w:footnoteReference w:id="33"/>
      </w:r>
      <w:r>
        <w:rPr>
          <w:rFonts w:ascii="Times New Roman" w:hAnsi="Times New Roman" w:cs="Times New Roman"/>
          <w:sz w:val="24"/>
          <w:szCs w:val="24"/>
        </w:rPr>
        <w:t xml:space="preserve"> </w:t>
      </w:r>
      <w:r w:rsidRPr="00B56427">
        <w:rPr>
          <w:rFonts w:ascii="Times New Roman" w:hAnsi="Times New Roman" w:cs="Times New Roman"/>
          <w:sz w:val="24"/>
          <w:szCs w:val="24"/>
        </w:rPr>
        <w:t xml:space="preserve">The prophylactic threat of such a sanction </w:t>
      </w:r>
      <w:r>
        <w:rPr>
          <w:rFonts w:ascii="Times New Roman" w:hAnsi="Times New Roman" w:cs="Times New Roman"/>
          <w:sz w:val="24"/>
          <w:szCs w:val="24"/>
        </w:rPr>
        <w:t>may</w:t>
      </w:r>
      <w:r w:rsidRPr="00B56427">
        <w:rPr>
          <w:rFonts w:ascii="Times New Roman" w:hAnsi="Times New Roman" w:cs="Times New Roman"/>
          <w:sz w:val="24"/>
          <w:szCs w:val="24"/>
        </w:rPr>
        <w:t xml:space="preserve"> facilitate the expeditious, economical, and just resolution of the litigation </w:t>
      </w:r>
      <w:r>
        <w:rPr>
          <w:rFonts w:ascii="Times New Roman" w:hAnsi="Times New Roman" w:cs="Times New Roman"/>
          <w:sz w:val="24"/>
          <w:szCs w:val="24"/>
        </w:rPr>
        <w:t>and, by encouraging compliance with Rule 11, reduce the need for actual sanctions</w:t>
      </w:r>
      <w:r w:rsidRPr="00B56427">
        <w:rPr>
          <w:rFonts w:ascii="Times New Roman" w:hAnsi="Times New Roman" w:cs="Times New Roman"/>
          <w:sz w:val="24"/>
          <w:szCs w:val="24"/>
        </w:rPr>
        <w:t>.</w:t>
      </w:r>
      <w:r>
        <w:rPr>
          <w:rStyle w:val="FootnoteReference"/>
          <w:rFonts w:ascii="Times New Roman" w:hAnsi="Times New Roman" w:cs="Times New Roman"/>
          <w:sz w:val="24"/>
          <w:szCs w:val="24"/>
        </w:rPr>
        <w:footnoteReference w:id="34"/>
      </w:r>
      <w:r>
        <w:rPr>
          <w:rFonts w:ascii="Times New Roman" w:hAnsi="Times New Roman" w:cs="Times New Roman"/>
          <w:sz w:val="24"/>
          <w:szCs w:val="24"/>
        </w:rPr>
        <w:t xml:space="preserve"> </w:t>
      </w:r>
    </w:p>
    <w:p w14:paraId="30089177" w14:textId="77777777" w:rsidR="008A2BA3" w:rsidRDefault="008A2BA3" w:rsidP="008A2BA3">
      <w:pPr>
        <w:shd w:val="clear" w:color="auto" w:fill="FFFFFF"/>
        <w:spacing w:before="100" w:beforeAutospacing="1" w:after="0" w:line="360" w:lineRule="auto"/>
        <w:ind w:firstLine="720"/>
        <w:jc w:val="both"/>
        <w:rPr>
          <w:rFonts w:ascii="Times New Roman" w:hAnsi="Times New Roman" w:cs="Times New Roman"/>
          <w:sz w:val="24"/>
          <w:szCs w:val="24"/>
        </w:rPr>
      </w:pPr>
      <w:r>
        <w:rPr>
          <w:rFonts w:ascii="Times New Roman" w:hAnsi="Times New Roman" w:cs="Times New Roman"/>
          <w:color w:val="222222"/>
          <w:sz w:val="24"/>
          <w:szCs w:val="24"/>
          <w:shd w:val="clear" w:color="auto" w:fill="FFFFFF"/>
        </w:rPr>
        <w:lastRenderedPageBreak/>
        <w:t>A court may learn about actions that have no evidentiary support or denials of case-dispositive factual contentions that are not warranted in several ways, including: (</w:t>
      </w:r>
      <w:proofErr w:type="spellStart"/>
      <w:r>
        <w:rPr>
          <w:rFonts w:ascii="Times New Roman" w:hAnsi="Times New Roman" w:cs="Times New Roman"/>
          <w:color w:val="222222"/>
          <w:sz w:val="24"/>
          <w:szCs w:val="24"/>
          <w:shd w:val="clear" w:color="auto" w:fill="FFFFFF"/>
        </w:rPr>
        <w:t>i</w:t>
      </w:r>
      <w:proofErr w:type="spellEnd"/>
      <w:r>
        <w:rPr>
          <w:rFonts w:ascii="Times New Roman" w:hAnsi="Times New Roman" w:cs="Times New Roman"/>
          <w:color w:val="222222"/>
          <w:sz w:val="24"/>
          <w:szCs w:val="24"/>
          <w:shd w:val="clear" w:color="auto" w:fill="FFFFFF"/>
        </w:rPr>
        <w:t xml:space="preserve">)  in the course of a show-cause hearing for failing to prosecute an action under Rule 41; (ii) the plaintiff or the defendant advises the court; or (iii) the central-exchange platform used in the mass-tort MDL has been reconfigured to provide at designated times alerts of serial failures to comply with Rule 11.   </w:t>
      </w:r>
    </w:p>
    <w:p w14:paraId="53C140CB" w14:textId="77777777" w:rsidR="008A2BA3" w:rsidRDefault="008A2BA3" w:rsidP="008A2BA3">
      <w:pPr>
        <w:shd w:val="clear" w:color="auto" w:fill="FFFFFF"/>
        <w:spacing w:before="100" w:beforeAutospacing="1"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purpose of a fine is to reinforce the parties’ Rule 11 obligations to conduct a reasonable pre-filing inquiry and a reasonable post-filing investigation or discovery if factual contentions were made on information and belief </w:t>
      </w:r>
      <w:proofErr w:type="gramStart"/>
      <w:r>
        <w:rPr>
          <w:rFonts w:ascii="Times New Roman" w:hAnsi="Times New Roman" w:cs="Times New Roman"/>
          <w:sz w:val="24"/>
          <w:szCs w:val="24"/>
        </w:rPr>
        <w:t>in order to</w:t>
      </w:r>
      <w:proofErr w:type="gramEnd"/>
      <w:r>
        <w:rPr>
          <w:rFonts w:ascii="Times New Roman" w:hAnsi="Times New Roman" w:cs="Times New Roman"/>
          <w:sz w:val="24"/>
          <w:szCs w:val="24"/>
        </w:rPr>
        <w:t xml:space="preserve"> deter filing actions that have no evidentiary support and “similar activity by other litigants.”</w:t>
      </w:r>
      <w:r>
        <w:rPr>
          <w:rStyle w:val="FootnoteReference"/>
          <w:rFonts w:ascii="Times New Roman" w:hAnsi="Times New Roman" w:cs="Times New Roman"/>
          <w:sz w:val="24"/>
          <w:szCs w:val="24"/>
        </w:rPr>
        <w:footnoteReference w:id="35"/>
      </w:r>
      <w:r>
        <w:rPr>
          <w:rFonts w:ascii="Times New Roman" w:hAnsi="Times New Roman" w:cs="Times New Roman"/>
          <w:sz w:val="24"/>
          <w:szCs w:val="24"/>
        </w:rPr>
        <w:t xml:space="preserve">  The sanction should be imposed on the law firm. Sanctions on the individual lawyer carry greater professional consequences for the individual, a </w:t>
      </w:r>
      <w:r w:rsidRPr="00BF545F">
        <w:rPr>
          <w:rFonts w:ascii="Times New Roman" w:hAnsi="Times New Roman" w:cs="Times New Roman"/>
          <w:sz w:val="24"/>
          <w:szCs w:val="24"/>
        </w:rPr>
        <w:t xml:space="preserve">consequence that judges often are reluctant to accept. </w:t>
      </w:r>
    </w:p>
    <w:p w14:paraId="37DF9F49" w14:textId="77777777" w:rsidR="008A2BA3" w:rsidRDefault="008A2BA3" w:rsidP="008A2BA3">
      <w:pPr>
        <w:shd w:val="clear" w:color="auto" w:fill="FFFFFF"/>
        <w:spacing w:before="100" w:beforeAutospacing="1"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is in the best position to assess a sanction that is the most effective penalty as a deterrent. As part of the comprehensive, but surgically precise approach, the court should consider</w:t>
      </w:r>
      <w:r w:rsidRPr="00B56427">
        <w:rPr>
          <w:rFonts w:ascii="Times New Roman" w:hAnsi="Times New Roman" w:cs="Times New Roman"/>
          <w:sz w:val="24"/>
          <w:szCs w:val="24"/>
        </w:rPr>
        <w:t xml:space="preserve"> imposing a monetary sanction </w:t>
      </w:r>
      <w:r>
        <w:rPr>
          <w:rFonts w:ascii="Times New Roman" w:hAnsi="Times New Roman" w:cs="Times New Roman"/>
          <w:sz w:val="24"/>
          <w:szCs w:val="24"/>
        </w:rPr>
        <w:t>primarily to deter repetitive violations of the rule evidenced in many actions</w:t>
      </w:r>
      <w:r w:rsidRPr="00B56427">
        <w:rPr>
          <w:rFonts w:ascii="Times New Roman" w:hAnsi="Times New Roman" w:cs="Times New Roman"/>
          <w:sz w:val="24"/>
          <w:szCs w:val="24"/>
        </w:rPr>
        <w:t xml:space="preserve">, </w:t>
      </w:r>
      <w:r>
        <w:rPr>
          <w:rFonts w:ascii="Times New Roman" w:hAnsi="Times New Roman" w:cs="Times New Roman"/>
          <w:sz w:val="24"/>
          <w:szCs w:val="24"/>
        </w:rPr>
        <w:t>taking into account</w:t>
      </w:r>
      <w:r w:rsidRPr="00B56427">
        <w:rPr>
          <w:rFonts w:ascii="Times New Roman" w:hAnsi="Times New Roman" w:cs="Times New Roman"/>
          <w:sz w:val="24"/>
          <w:szCs w:val="24"/>
        </w:rPr>
        <w:t xml:space="preserve"> “what amount, given the financial resources of the responsible person, is needed to deter that person from repetition in the same case; what amount is needed to deter similar activity by other litigants.”</w:t>
      </w:r>
      <w:r w:rsidRPr="00B56427">
        <w:rPr>
          <w:rFonts w:ascii="Times New Roman" w:hAnsi="Times New Roman" w:cs="Times New Roman"/>
          <w:sz w:val="24"/>
          <w:szCs w:val="24"/>
          <w:vertAlign w:val="superscript"/>
        </w:rPr>
        <w:footnoteReference w:id="36"/>
      </w:r>
      <w:r w:rsidRPr="00B56427">
        <w:rPr>
          <w:rFonts w:ascii="Times New Roman" w:hAnsi="Times New Roman" w:cs="Times New Roman"/>
          <w:sz w:val="24"/>
          <w:szCs w:val="24"/>
        </w:rPr>
        <w:t xml:space="preserve"> </w:t>
      </w:r>
      <w:r>
        <w:rPr>
          <w:rFonts w:ascii="Times New Roman" w:hAnsi="Times New Roman" w:cs="Times New Roman"/>
          <w:sz w:val="24"/>
          <w:szCs w:val="24"/>
        </w:rPr>
        <w:t xml:space="preserve">The fine is payable to the court. </w:t>
      </w:r>
    </w:p>
    <w:p w14:paraId="18EE90CF" w14:textId="77777777" w:rsidR="008A2BA3" w:rsidRDefault="008A2BA3" w:rsidP="008A2BA3">
      <w:pPr>
        <w:shd w:val="clear" w:color="auto" w:fill="FFFFFF"/>
        <w:spacing w:before="100" w:beforeAutospacing="1" w:after="0" w:line="360" w:lineRule="auto"/>
        <w:ind w:firstLine="720"/>
        <w:jc w:val="both"/>
        <w:rPr>
          <w:rFonts w:ascii="Times New Roman" w:hAnsi="Times New Roman" w:cs="Times New Roman"/>
          <w:sz w:val="24"/>
          <w:szCs w:val="24"/>
          <w:vertAlign w:val="superscript"/>
        </w:rPr>
      </w:pPr>
      <w:r>
        <w:rPr>
          <w:rFonts w:ascii="Times New Roman" w:hAnsi="Times New Roman" w:cs="Times New Roman"/>
          <w:sz w:val="24"/>
          <w:szCs w:val="24"/>
        </w:rPr>
        <w:t xml:space="preserve">Because it is expected that sanctioning a single law firm will be sufficient deterrence, the court should only target law firms who have filed many frivolous or </w:t>
      </w:r>
      <w:r w:rsidRPr="00B56427">
        <w:rPr>
          <w:rFonts w:ascii="Times New Roman" w:hAnsi="Times New Roman" w:cs="Times New Roman"/>
          <w:sz w:val="24"/>
          <w:szCs w:val="24"/>
        </w:rPr>
        <w:t>meritless actions</w:t>
      </w:r>
      <w:r>
        <w:rPr>
          <w:rFonts w:ascii="Times New Roman" w:hAnsi="Times New Roman" w:cs="Times New Roman"/>
          <w:sz w:val="24"/>
          <w:szCs w:val="24"/>
        </w:rPr>
        <w:t xml:space="preserve"> or persisted in denying case-dispositive factual contentions that they know to be unwarranted affecting many actions, recognizing that conscientious law firms will incidentally violate Rule 11 in a few actions despite their best efforts.</w:t>
      </w:r>
      <w:r w:rsidRPr="00B56427">
        <w:rPr>
          <w:rFonts w:ascii="Times New Roman" w:hAnsi="Times New Roman" w:cs="Times New Roman"/>
          <w:sz w:val="24"/>
          <w:szCs w:val="24"/>
          <w:vertAlign w:val="superscript"/>
        </w:rPr>
        <w:footnoteReference w:id="37"/>
      </w:r>
      <w:r>
        <w:rPr>
          <w:rFonts w:ascii="Times New Roman" w:hAnsi="Times New Roman" w:cs="Times New Roman"/>
          <w:sz w:val="24"/>
          <w:szCs w:val="24"/>
          <w:vertAlign w:val="superscript"/>
        </w:rPr>
        <w:t xml:space="preserve"> </w:t>
      </w:r>
    </w:p>
    <w:p w14:paraId="428C534A" w14:textId="77777777" w:rsidR="00C624D6" w:rsidRDefault="00C624D6"/>
    <w:sectPr w:rsidR="00C624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B3289E4" w14:textId="77777777" w:rsidR="00CA19A7" w:rsidRDefault="00CA19A7" w:rsidP="008A2BA3">
      <w:pPr>
        <w:spacing w:after="0" w:line="240" w:lineRule="auto"/>
      </w:pPr>
      <w:r>
        <w:separator/>
      </w:r>
    </w:p>
  </w:endnote>
  <w:endnote w:type="continuationSeparator" w:id="0">
    <w:p w14:paraId="28A51FD9" w14:textId="77777777" w:rsidR="00CA19A7" w:rsidRDefault="00CA19A7" w:rsidP="008A2B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0EAF71" w14:textId="77777777" w:rsidR="00CA19A7" w:rsidRDefault="00CA19A7" w:rsidP="008A2BA3">
      <w:pPr>
        <w:spacing w:after="0" w:line="240" w:lineRule="auto"/>
      </w:pPr>
      <w:r>
        <w:separator/>
      </w:r>
    </w:p>
  </w:footnote>
  <w:footnote w:type="continuationSeparator" w:id="0">
    <w:p w14:paraId="469349B0" w14:textId="77777777" w:rsidR="00CA19A7" w:rsidRDefault="00CA19A7" w:rsidP="008A2BA3">
      <w:pPr>
        <w:spacing w:after="0" w:line="240" w:lineRule="auto"/>
      </w:pPr>
      <w:r>
        <w:continuationSeparator/>
      </w:r>
    </w:p>
  </w:footnote>
  <w:footnote w:id="1">
    <w:p w14:paraId="13360E26" w14:textId="77777777" w:rsidR="008A2BA3" w:rsidRPr="00134893" w:rsidRDefault="008A2BA3" w:rsidP="008A2BA3">
      <w:pPr>
        <w:spacing w:before="1" w:after="0" w:line="240" w:lineRule="auto"/>
        <w:jc w:val="both"/>
        <w:rPr>
          <w:rFonts w:ascii="Times New Roman" w:hAnsi="Times New Roman" w:cs="Times New Roman"/>
        </w:rPr>
      </w:pPr>
      <w:r>
        <w:rPr>
          <w:rStyle w:val="FootnoteReference"/>
        </w:rPr>
        <w:footnoteRef/>
      </w:r>
      <w:r>
        <w:t xml:space="preserve"> </w:t>
      </w:r>
      <w:r w:rsidRPr="00134893">
        <w:rPr>
          <w:rFonts w:ascii="Times New Roman" w:hAnsi="Times New Roman" w:cs="Times New Roman"/>
          <w:bCs/>
          <w:i/>
          <w:iCs/>
          <w:spacing w:val="-2"/>
          <w:sz w:val="20"/>
          <w:szCs w:val="20"/>
        </w:rPr>
        <w:t>See</w:t>
      </w:r>
      <w:r w:rsidRPr="00134893">
        <w:rPr>
          <w:rFonts w:ascii="Times New Roman" w:hAnsi="Times New Roman" w:cs="Times New Roman"/>
          <w:bCs/>
          <w:spacing w:val="-2"/>
          <w:sz w:val="20"/>
          <w:szCs w:val="20"/>
        </w:rPr>
        <w:t xml:space="preserve"> C</w:t>
      </w:r>
      <w:r w:rsidRPr="00134893">
        <w:rPr>
          <w:rFonts w:ascii="Times New Roman" w:hAnsi="Times New Roman" w:cs="Times New Roman"/>
          <w:bCs/>
          <w:sz w:val="20"/>
          <w:szCs w:val="20"/>
        </w:rPr>
        <w:t>larity</w:t>
      </w:r>
      <w:r w:rsidRPr="00134893">
        <w:rPr>
          <w:rFonts w:ascii="Times New Roman" w:hAnsi="Times New Roman" w:cs="Times New Roman"/>
          <w:bCs/>
          <w:spacing w:val="-4"/>
          <w:sz w:val="20"/>
          <w:szCs w:val="20"/>
        </w:rPr>
        <w:t xml:space="preserve"> </w:t>
      </w:r>
      <w:r w:rsidRPr="00134893">
        <w:rPr>
          <w:rFonts w:ascii="Times New Roman" w:hAnsi="Times New Roman" w:cs="Times New Roman"/>
          <w:bCs/>
          <w:sz w:val="20"/>
          <w:szCs w:val="20"/>
        </w:rPr>
        <w:t>on</w:t>
      </w:r>
      <w:r w:rsidRPr="00134893">
        <w:rPr>
          <w:rFonts w:ascii="Times New Roman" w:hAnsi="Times New Roman" w:cs="Times New Roman"/>
          <w:bCs/>
          <w:spacing w:val="-3"/>
          <w:sz w:val="20"/>
          <w:szCs w:val="20"/>
        </w:rPr>
        <w:t xml:space="preserve"> </w:t>
      </w:r>
      <w:r w:rsidRPr="00134893">
        <w:rPr>
          <w:rFonts w:ascii="Times New Roman" w:hAnsi="Times New Roman" w:cs="Times New Roman"/>
          <w:bCs/>
          <w:sz w:val="20"/>
          <w:szCs w:val="20"/>
        </w:rPr>
        <w:t>the</w:t>
      </w:r>
      <w:r w:rsidRPr="00134893">
        <w:rPr>
          <w:rFonts w:ascii="Times New Roman" w:hAnsi="Times New Roman" w:cs="Times New Roman"/>
          <w:bCs/>
          <w:spacing w:val="-3"/>
          <w:sz w:val="20"/>
          <w:szCs w:val="20"/>
        </w:rPr>
        <w:t xml:space="preserve"> </w:t>
      </w:r>
      <w:r>
        <w:rPr>
          <w:rFonts w:ascii="Times New Roman" w:hAnsi="Times New Roman" w:cs="Times New Roman"/>
          <w:bCs/>
          <w:spacing w:val="-3"/>
          <w:sz w:val="20"/>
          <w:szCs w:val="20"/>
        </w:rPr>
        <w:t>T</w:t>
      </w:r>
      <w:r w:rsidRPr="00134893">
        <w:rPr>
          <w:rFonts w:ascii="Times New Roman" w:hAnsi="Times New Roman" w:cs="Times New Roman"/>
          <w:bCs/>
          <w:sz w:val="20"/>
          <w:szCs w:val="20"/>
        </w:rPr>
        <w:t>wo</w:t>
      </w:r>
      <w:r w:rsidRPr="00134893">
        <w:rPr>
          <w:rFonts w:ascii="Times New Roman" w:hAnsi="Times New Roman" w:cs="Times New Roman"/>
          <w:bCs/>
          <w:spacing w:val="-2"/>
          <w:sz w:val="20"/>
          <w:szCs w:val="20"/>
        </w:rPr>
        <w:t xml:space="preserve"> </w:t>
      </w:r>
      <w:r w:rsidRPr="00134893">
        <w:rPr>
          <w:rFonts w:ascii="Times New Roman" w:hAnsi="Times New Roman" w:cs="Times New Roman"/>
          <w:bCs/>
          <w:sz w:val="20"/>
          <w:szCs w:val="20"/>
        </w:rPr>
        <w:t>“</w:t>
      </w:r>
      <w:r>
        <w:rPr>
          <w:rFonts w:ascii="Times New Roman" w:hAnsi="Times New Roman" w:cs="Times New Roman"/>
          <w:bCs/>
          <w:sz w:val="20"/>
          <w:szCs w:val="20"/>
        </w:rPr>
        <w:t>R</w:t>
      </w:r>
      <w:r w:rsidRPr="00134893">
        <w:rPr>
          <w:rFonts w:ascii="Times New Roman" w:hAnsi="Times New Roman" w:cs="Times New Roman"/>
          <w:bCs/>
          <w:sz w:val="20"/>
          <w:szCs w:val="20"/>
        </w:rPr>
        <w:t>ules</w:t>
      </w:r>
      <w:r w:rsidRPr="00134893">
        <w:rPr>
          <w:rFonts w:ascii="Times New Roman" w:hAnsi="Times New Roman" w:cs="Times New Roman"/>
          <w:bCs/>
          <w:spacing w:val="-3"/>
          <w:sz w:val="20"/>
          <w:szCs w:val="20"/>
        </w:rPr>
        <w:t xml:space="preserve"> </w:t>
      </w:r>
      <w:r>
        <w:rPr>
          <w:rFonts w:ascii="Times New Roman" w:hAnsi="Times New Roman" w:cs="Times New Roman"/>
          <w:bCs/>
          <w:spacing w:val="-3"/>
          <w:sz w:val="20"/>
          <w:szCs w:val="20"/>
        </w:rPr>
        <w:t>P</w:t>
      </w:r>
      <w:r w:rsidRPr="00134893">
        <w:rPr>
          <w:rFonts w:ascii="Times New Roman" w:hAnsi="Times New Roman" w:cs="Times New Roman"/>
          <w:bCs/>
          <w:spacing w:val="-2"/>
          <w:sz w:val="20"/>
          <w:szCs w:val="20"/>
        </w:rPr>
        <w:t xml:space="preserve">roblems”: </w:t>
      </w:r>
      <w:r>
        <w:rPr>
          <w:rFonts w:ascii="Times New Roman" w:hAnsi="Times New Roman" w:cs="Times New Roman"/>
          <w:bCs/>
          <w:sz w:val="20"/>
          <w:szCs w:val="20"/>
        </w:rPr>
        <w:t>E</w:t>
      </w:r>
      <w:r w:rsidRPr="00134893">
        <w:rPr>
          <w:rFonts w:ascii="Times New Roman" w:hAnsi="Times New Roman" w:cs="Times New Roman"/>
          <w:bCs/>
          <w:sz w:val="20"/>
          <w:szCs w:val="20"/>
        </w:rPr>
        <w:t>mpirical</w:t>
      </w:r>
      <w:r w:rsidRPr="00134893">
        <w:rPr>
          <w:rFonts w:ascii="Times New Roman" w:hAnsi="Times New Roman" w:cs="Times New Roman"/>
          <w:bCs/>
          <w:spacing w:val="-5"/>
          <w:sz w:val="20"/>
          <w:szCs w:val="20"/>
        </w:rPr>
        <w:t xml:space="preserve"> </w:t>
      </w:r>
      <w:r>
        <w:rPr>
          <w:rFonts w:ascii="Times New Roman" w:hAnsi="Times New Roman" w:cs="Times New Roman"/>
          <w:bCs/>
          <w:spacing w:val="-5"/>
          <w:sz w:val="20"/>
          <w:szCs w:val="20"/>
        </w:rPr>
        <w:t>E</w:t>
      </w:r>
      <w:r w:rsidRPr="00134893">
        <w:rPr>
          <w:rFonts w:ascii="Times New Roman" w:hAnsi="Times New Roman" w:cs="Times New Roman"/>
          <w:bCs/>
          <w:sz w:val="20"/>
          <w:szCs w:val="20"/>
        </w:rPr>
        <w:t>vidence</w:t>
      </w:r>
      <w:r w:rsidRPr="00134893">
        <w:rPr>
          <w:rFonts w:ascii="Times New Roman" w:hAnsi="Times New Roman" w:cs="Times New Roman"/>
          <w:bCs/>
          <w:spacing w:val="-5"/>
          <w:sz w:val="20"/>
          <w:szCs w:val="20"/>
        </w:rPr>
        <w:t xml:space="preserve"> </w:t>
      </w:r>
      <w:r w:rsidRPr="00134893">
        <w:rPr>
          <w:rFonts w:ascii="Times New Roman" w:hAnsi="Times New Roman" w:cs="Times New Roman"/>
          <w:bCs/>
          <w:sz w:val="20"/>
          <w:szCs w:val="20"/>
        </w:rPr>
        <w:t>of</w:t>
      </w:r>
      <w:r w:rsidRPr="00134893">
        <w:rPr>
          <w:rFonts w:ascii="Times New Roman" w:hAnsi="Times New Roman" w:cs="Times New Roman"/>
          <w:bCs/>
          <w:spacing w:val="-5"/>
          <w:sz w:val="20"/>
          <w:szCs w:val="20"/>
        </w:rPr>
        <w:t xml:space="preserve"> </w:t>
      </w:r>
      <w:r w:rsidRPr="00134893">
        <w:rPr>
          <w:rFonts w:ascii="Times New Roman" w:hAnsi="Times New Roman" w:cs="Times New Roman"/>
          <w:bCs/>
          <w:sz w:val="20"/>
          <w:szCs w:val="20"/>
        </w:rPr>
        <w:t>the</w:t>
      </w:r>
      <w:r w:rsidRPr="00134893">
        <w:rPr>
          <w:rFonts w:ascii="Times New Roman" w:hAnsi="Times New Roman" w:cs="Times New Roman"/>
          <w:bCs/>
          <w:spacing w:val="-5"/>
          <w:sz w:val="20"/>
          <w:szCs w:val="20"/>
        </w:rPr>
        <w:t xml:space="preserve"> </w:t>
      </w:r>
      <w:r>
        <w:rPr>
          <w:rFonts w:ascii="Times New Roman" w:hAnsi="Times New Roman" w:cs="Times New Roman"/>
          <w:bCs/>
          <w:sz w:val="20"/>
          <w:szCs w:val="20"/>
        </w:rPr>
        <w:t>I</w:t>
      </w:r>
      <w:r w:rsidRPr="00134893">
        <w:rPr>
          <w:rFonts w:ascii="Times New Roman" w:hAnsi="Times New Roman" w:cs="Times New Roman"/>
          <w:bCs/>
          <w:sz w:val="20"/>
          <w:szCs w:val="20"/>
        </w:rPr>
        <w:t>nsufficient</w:t>
      </w:r>
      <w:r w:rsidRPr="00134893">
        <w:rPr>
          <w:rFonts w:ascii="Times New Roman" w:hAnsi="Times New Roman" w:cs="Times New Roman"/>
          <w:bCs/>
          <w:spacing w:val="-5"/>
          <w:sz w:val="20"/>
          <w:szCs w:val="20"/>
        </w:rPr>
        <w:t xml:space="preserve"> </w:t>
      </w:r>
      <w:r>
        <w:rPr>
          <w:rFonts w:ascii="Times New Roman" w:hAnsi="Times New Roman" w:cs="Times New Roman"/>
          <w:bCs/>
          <w:spacing w:val="-5"/>
          <w:sz w:val="20"/>
          <w:szCs w:val="20"/>
        </w:rPr>
        <w:t>C</w:t>
      </w:r>
      <w:r w:rsidRPr="00134893">
        <w:rPr>
          <w:rFonts w:ascii="Times New Roman" w:hAnsi="Times New Roman" w:cs="Times New Roman"/>
          <w:bCs/>
          <w:sz w:val="20"/>
          <w:szCs w:val="20"/>
        </w:rPr>
        <w:t>laims</w:t>
      </w:r>
      <w:r w:rsidRPr="00134893">
        <w:rPr>
          <w:rFonts w:ascii="Times New Roman" w:hAnsi="Times New Roman" w:cs="Times New Roman"/>
          <w:bCs/>
          <w:spacing w:val="-6"/>
          <w:sz w:val="20"/>
          <w:szCs w:val="20"/>
        </w:rPr>
        <w:t xml:space="preserve"> </w:t>
      </w:r>
      <w:r>
        <w:rPr>
          <w:rFonts w:ascii="Times New Roman" w:hAnsi="Times New Roman" w:cs="Times New Roman"/>
          <w:bCs/>
          <w:spacing w:val="-6"/>
          <w:sz w:val="20"/>
          <w:szCs w:val="20"/>
        </w:rPr>
        <w:t>P</w:t>
      </w:r>
      <w:r w:rsidRPr="00134893">
        <w:rPr>
          <w:rFonts w:ascii="Times New Roman" w:hAnsi="Times New Roman" w:cs="Times New Roman"/>
          <w:bCs/>
          <w:sz w:val="20"/>
          <w:szCs w:val="20"/>
        </w:rPr>
        <w:t>roblem</w:t>
      </w:r>
      <w:r w:rsidRPr="00134893">
        <w:rPr>
          <w:rFonts w:ascii="Times New Roman" w:hAnsi="Times New Roman" w:cs="Times New Roman"/>
          <w:bCs/>
          <w:spacing w:val="-5"/>
          <w:sz w:val="20"/>
          <w:szCs w:val="20"/>
        </w:rPr>
        <w:t xml:space="preserve"> </w:t>
      </w:r>
      <w:r w:rsidRPr="00134893">
        <w:rPr>
          <w:rFonts w:ascii="Times New Roman" w:hAnsi="Times New Roman" w:cs="Times New Roman"/>
          <w:bCs/>
          <w:sz w:val="20"/>
          <w:szCs w:val="20"/>
        </w:rPr>
        <w:t>in</w:t>
      </w:r>
      <w:r w:rsidRPr="00134893">
        <w:rPr>
          <w:rFonts w:ascii="Times New Roman" w:hAnsi="Times New Roman" w:cs="Times New Roman"/>
          <w:bCs/>
          <w:spacing w:val="-6"/>
          <w:sz w:val="20"/>
          <w:szCs w:val="20"/>
        </w:rPr>
        <w:t xml:space="preserve"> MDL</w:t>
      </w:r>
      <w:r w:rsidRPr="00134893">
        <w:rPr>
          <w:rFonts w:ascii="Times New Roman" w:hAnsi="Times New Roman" w:cs="Times New Roman"/>
          <w:bCs/>
          <w:sz w:val="20"/>
          <w:szCs w:val="20"/>
        </w:rPr>
        <w:t>s,</w:t>
      </w:r>
      <w:r w:rsidRPr="00134893">
        <w:rPr>
          <w:rFonts w:ascii="Times New Roman" w:hAnsi="Times New Roman" w:cs="Times New Roman"/>
          <w:bCs/>
          <w:spacing w:val="-2"/>
          <w:sz w:val="20"/>
          <w:szCs w:val="20"/>
        </w:rPr>
        <w:t xml:space="preserve"> Comment </w:t>
      </w:r>
      <w:r w:rsidRPr="00134893">
        <w:rPr>
          <w:rFonts w:ascii="Times New Roman" w:hAnsi="Times New Roman" w:cs="Times New Roman"/>
          <w:bCs/>
          <w:sz w:val="20"/>
          <w:szCs w:val="20"/>
        </w:rPr>
        <w:t xml:space="preserve">to </w:t>
      </w:r>
      <w:r w:rsidRPr="00134893">
        <w:rPr>
          <w:rFonts w:ascii="Times New Roman" w:hAnsi="Times New Roman" w:cs="Times New Roman"/>
          <w:bCs/>
          <w:spacing w:val="-5"/>
          <w:sz w:val="20"/>
          <w:szCs w:val="20"/>
        </w:rPr>
        <w:t>the A</w:t>
      </w:r>
      <w:r w:rsidRPr="00134893">
        <w:rPr>
          <w:rFonts w:ascii="Times New Roman" w:hAnsi="Times New Roman" w:cs="Times New Roman"/>
          <w:bCs/>
          <w:sz w:val="20"/>
          <w:szCs w:val="20"/>
        </w:rPr>
        <w:t>dvisory</w:t>
      </w:r>
      <w:r w:rsidRPr="00134893">
        <w:rPr>
          <w:rFonts w:ascii="Times New Roman" w:hAnsi="Times New Roman" w:cs="Times New Roman"/>
          <w:bCs/>
          <w:spacing w:val="-3"/>
          <w:sz w:val="20"/>
          <w:szCs w:val="20"/>
        </w:rPr>
        <w:t xml:space="preserve"> </w:t>
      </w:r>
      <w:r w:rsidRPr="00134893">
        <w:rPr>
          <w:rFonts w:ascii="Times New Roman" w:hAnsi="Times New Roman" w:cs="Times New Roman"/>
          <w:bCs/>
          <w:sz w:val="20"/>
          <w:szCs w:val="20"/>
        </w:rPr>
        <w:t>Committee</w:t>
      </w:r>
      <w:r w:rsidRPr="00134893">
        <w:rPr>
          <w:rFonts w:ascii="Times New Roman" w:hAnsi="Times New Roman" w:cs="Times New Roman"/>
          <w:bCs/>
          <w:spacing w:val="-2"/>
          <w:sz w:val="20"/>
          <w:szCs w:val="20"/>
        </w:rPr>
        <w:t xml:space="preserve"> </w:t>
      </w:r>
      <w:r w:rsidRPr="00134893">
        <w:rPr>
          <w:rFonts w:ascii="Times New Roman" w:hAnsi="Times New Roman" w:cs="Times New Roman"/>
          <w:bCs/>
          <w:sz w:val="20"/>
          <w:szCs w:val="20"/>
        </w:rPr>
        <w:t>on</w:t>
      </w:r>
      <w:r w:rsidRPr="00134893">
        <w:rPr>
          <w:rFonts w:ascii="Times New Roman" w:hAnsi="Times New Roman" w:cs="Times New Roman"/>
          <w:bCs/>
          <w:spacing w:val="-3"/>
          <w:sz w:val="20"/>
          <w:szCs w:val="20"/>
        </w:rPr>
        <w:t xml:space="preserve"> </w:t>
      </w:r>
      <w:r w:rsidRPr="00134893">
        <w:rPr>
          <w:rFonts w:ascii="Times New Roman" w:hAnsi="Times New Roman" w:cs="Times New Roman"/>
          <w:bCs/>
          <w:sz w:val="20"/>
          <w:szCs w:val="20"/>
        </w:rPr>
        <w:t>Civil</w:t>
      </w:r>
      <w:r w:rsidRPr="00134893">
        <w:rPr>
          <w:rFonts w:ascii="Times New Roman" w:hAnsi="Times New Roman" w:cs="Times New Roman"/>
          <w:bCs/>
          <w:spacing w:val="-2"/>
          <w:sz w:val="20"/>
          <w:szCs w:val="20"/>
        </w:rPr>
        <w:t xml:space="preserve"> Rules on Proposed New Rule 16.1, Lawyers for Civil Justice</w:t>
      </w:r>
      <w:r w:rsidRPr="00134893">
        <w:rPr>
          <w:rFonts w:ascii="Times New Roman" w:hAnsi="Times New Roman" w:cs="Times New Roman"/>
          <w:bCs/>
          <w:sz w:val="20"/>
          <w:szCs w:val="20"/>
        </w:rPr>
        <w:t xml:space="preserve"> (February 16, </w:t>
      </w:r>
      <w:r w:rsidRPr="00134893">
        <w:rPr>
          <w:rFonts w:ascii="Times New Roman" w:hAnsi="Times New Roman" w:cs="Times New Roman"/>
          <w:bCs/>
          <w:spacing w:val="-4"/>
          <w:sz w:val="20"/>
          <w:szCs w:val="20"/>
        </w:rPr>
        <w:t xml:space="preserve">2024) (citing to dismissals of actions ranging from 15% to 50% of actions in docket entries in several mass-tort MDLs posted </w:t>
      </w:r>
      <w:r>
        <w:rPr>
          <w:rFonts w:ascii="Times New Roman" w:hAnsi="Times New Roman" w:cs="Times New Roman"/>
          <w:bCs/>
          <w:spacing w:val="-4"/>
          <w:sz w:val="20"/>
          <w:szCs w:val="20"/>
        </w:rPr>
        <w:t>on C</w:t>
      </w:r>
      <w:r w:rsidRPr="00134893">
        <w:rPr>
          <w:rFonts w:ascii="Times New Roman" w:hAnsi="Times New Roman" w:cs="Times New Roman"/>
          <w:bCs/>
          <w:spacing w:val="-4"/>
          <w:sz w:val="20"/>
          <w:szCs w:val="20"/>
        </w:rPr>
        <w:t xml:space="preserve">enter’s website at </w:t>
      </w:r>
      <w:hyperlink r:id="rId1" w:history="1">
        <w:r w:rsidRPr="00134893">
          <w:rPr>
            <w:rStyle w:val="Hyperlink"/>
            <w:rFonts w:ascii="Times New Roman" w:hAnsi="Times New Roman" w:cs="Times New Roman"/>
            <w:bCs/>
            <w:spacing w:val="-4"/>
            <w:sz w:val="20"/>
            <w:szCs w:val="20"/>
          </w:rPr>
          <w:t>https://rabiejcenter.org/events/special-invitation-only-mdl-unsupportable-claims-bench-bar-workshop/</w:t>
        </w:r>
      </w:hyperlink>
      <w:r w:rsidRPr="00134893">
        <w:rPr>
          <w:rFonts w:ascii="Times New Roman" w:hAnsi="Times New Roman" w:cs="Times New Roman"/>
          <w:bCs/>
          <w:spacing w:val="-4"/>
          <w:sz w:val="20"/>
          <w:szCs w:val="20"/>
        </w:rPr>
        <w:t>).</w:t>
      </w:r>
    </w:p>
  </w:footnote>
  <w:footnote w:id="2">
    <w:p w14:paraId="1BC97D15" w14:textId="77777777" w:rsidR="008A2BA3" w:rsidRPr="001674C9" w:rsidRDefault="008A2BA3" w:rsidP="008A2BA3">
      <w:pPr>
        <w:pStyle w:val="FootnoteText"/>
        <w:jc w:val="both"/>
        <w:rPr>
          <w:rFonts w:ascii="Times New Roman" w:hAnsi="Times New Roman" w:cs="Times New Roman"/>
        </w:rPr>
      </w:pPr>
      <w:r>
        <w:rPr>
          <w:rStyle w:val="FootnoteReference"/>
        </w:rPr>
        <w:footnoteRef/>
      </w:r>
      <w:r>
        <w:t xml:space="preserve"> </w:t>
      </w:r>
      <w:r w:rsidRPr="001674C9">
        <w:rPr>
          <w:rFonts w:ascii="Times New Roman" w:hAnsi="Times New Roman" w:cs="Times New Roman"/>
          <w:i/>
          <w:iCs/>
        </w:rPr>
        <w:t>See</w:t>
      </w:r>
      <w:r w:rsidRPr="001674C9">
        <w:rPr>
          <w:rFonts w:ascii="Times New Roman" w:hAnsi="Times New Roman" w:cs="Times New Roman"/>
        </w:rPr>
        <w:t xml:space="preserve"> Fed. R. Civ. P. 16.1(b)(3)(B) (Committee Note December 1, 2025) (The first sentence of the Note refers to concerns about parties failing to comply with Rule 11(b)).</w:t>
      </w:r>
    </w:p>
  </w:footnote>
  <w:footnote w:id="3">
    <w:p w14:paraId="1BD047BA" w14:textId="77777777" w:rsidR="008A2BA3" w:rsidRPr="001E0933" w:rsidRDefault="008A2BA3" w:rsidP="008A2BA3">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See Vetting the </w:t>
      </w:r>
      <w:proofErr w:type="spellStart"/>
      <w:r>
        <w:rPr>
          <w:rFonts w:ascii="Times New Roman" w:hAnsi="Times New Roman" w:cs="Times New Roman"/>
        </w:rPr>
        <w:t>Wether</w:t>
      </w:r>
      <w:proofErr w:type="spellEnd"/>
      <w:r>
        <w:rPr>
          <w:rFonts w:ascii="Times New Roman" w:hAnsi="Times New Roman" w:cs="Times New Roman"/>
        </w:rPr>
        <w:t>: One Shepherd’s View, Hon. M. Casey Rodgers, 89 UMKC Law Review No. 4, p. 873 (2021) (“The procedural safeguards used effectively in one-off cases (</w:t>
      </w:r>
      <w:r w:rsidRPr="001E0933">
        <w:rPr>
          <w:rFonts w:ascii="Times New Roman" w:hAnsi="Times New Roman" w:cs="Times New Roman"/>
          <w:i/>
          <w:iCs/>
        </w:rPr>
        <w:t>e.g.,</w:t>
      </w:r>
      <w:r>
        <w:rPr>
          <w:rFonts w:ascii="Times New Roman" w:hAnsi="Times New Roman" w:cs="Times New Roman"/>
        </w:rPr>
        <w:t xml:space="preserve"> federal pleading standards, discovery obligations, case-specific motions for summary judgment, and Rule 11 sanctions) are difficult to employ at scale in the MDL context, where the volume of individual cases in a single MDL can number in the hundreds, thousands, and even hundreds of thousands.  Left unchecked, high volumes of unsupportable claims can wreak havoc on an MDL.  They clog the docket, interfere with a court’s ability to establish a fair and informative bellwether process, frustrate efforts to assess the strengths and weaknesses of the </w:t>
      </w:r>
      <w:proofErr w:type="gramStart"/>
      <w:r>
        <w:rPr>
          <w:rFonts w:ascii="Times New Roman" w:hAnsi="Times New Roman" w:cs="Times New Roman"/>
        </w:rPr>
        <w:t>MDL as a whole, and</w:t>
      </w:r>
      <w:proofErr w:type="gramEnd"/>
      <w:r>
        <w:rPr>
          <w:rFonts w:ascii="Times New Roman" w:hAnsi="Times New Roman" w:cs="Times New Roman"/>
        </w:rPr>
        <w:t xml:space="preserve"> hamper settlement discussions.”)</w:t>
      </w:r>
    </w:p>
  </w:footnote>
  <w:footnote w:id="4">
    <w:p w14:paraId="205C6DC9" w14:textId="77777777" w:rsidR="008A2BA3" w:rsidRPr="00CA229A" w:rsidRDefault="008A2BA3" w:rsidP="008A2BA3">
      <w:pPr>
        <w:pStyle w:val="FootnoteText"/>
        <w:jc w:val="both"/>
        <w:rPr>
          <w:rFonts w:ascii="Times New Roman" w:hAnsi="Times New Roman" w:cs="Times New Roman"/>
        </w:rPr>
      </w:pPr>
      <w:r w:rsidRPr="001674C9">
        <w:rPr>
          <w:rStyle w:val="FootnoteReference"/>
          <w:rFonts w:ascii="Times New Roman" w:hAnsi="Times New Roman" w:cs="Times New Roman"/>
        </w:rPr>
        <w:footnoteRef/>
      </w:r>
      <w:r w:rsidRPr="001674C9">
        <w:rPr>
          <w:rFonts w:ascii="Times New Roman" w:hAnsi="Times New Roman" w:cs="Times New Roman"/>
        </w:rPr>
        <w:t xml:space="preserve"> Fed. R. Civ. P. 11 (Committee Note 1983) (“The detection and punishment of a violation of the signing requirement, encouraged</w:t>
      </w:r>
      <w:r>
        <w:rPr>
          <w:rFonts w:ascii="Times New Roman" w:hAnsi="Times New Roman" w:cs="Times New Roman"/>
        </w:rPr>
        <w:t xml:space="preserve"> by the amendment rule, is part of the court’s responsibility for securing the system’s effective operation.”)</w:t>
      </w:r>
    </w:p>
  </w:footnote>
  <w:footnote w:id="5">
    <w:p w14:paraId="14EC68E0" w14:textId="77777777" w:rsidR="008A2BA3" w:rsidRPr="00EF7935" w:rsidRDefault="008A2BA3" w:rsidP="00C42045">
      <w:pPr>
        <w:pStyle w:val="FootnoteText"/>
        <w:jc w:val="both"/>
        <w:rPr>
          <w:rFonts w:ascii="Times New Roman" w:hAnsi="Times New Roman" w:cs="Times New Roman"/>
        </w:rPr>
      </w:pPr>
      <w:r w:rsidRPr="00EF7935">
        <w:rPr>
          <w:rStyle w:val="FootnoteReference"/>
          <w:rFonts w:ascii="Times New Roman" w:hAnsi="Times New Roman" w:cs="Times New Roman"/>
        </w:rPr>
        <w:footnoteRef/>
      </w:r>
      <w:r w:rsidRPr="00EF7935">
        <w:rPr>
          <w:rFonts w:ascii="Times New Roman" w:hAnsi="Times New Roman" w:cs="Times New Roman"/>
        </w:rPr>
        <w:t xml:space="preserve"> </w:t>
      </w:r>
      <w:r w:rsidRPr="00E34C01">
        <w:rPr>
          <w:rFonts w:ascii="Times New Roman" w:hAnsi="Times New Roman" w:cs="Times New Roman"/>
          <w:i/>
          <w:iCs/>
        </w:rPr>
        <w:t>See</w:t>
      </w:r>
      <w:r w:rsidRPr="00E34C01">
        <w:rPr>
          <w:rFonts w:ascii="Times New Roman" w:hAnsi="Times New Roman" w:cs="Times New Roman"/>
        </w:rPr>
        <w:t xml:space="preserve"> </w:t>
      </w:r>
      <w:r w:rsidRPr="00E34C01">
        <w:rPr>
          <w:rFonts w:ascii="Times New Roman" w:hAnsi="Times New Roman" w:cs="Times New Roman"/>
          <w:i/>
          <w:iCs/>
        </w:rPr>
        <w:t>infra</w:t>
      </w:r>
      <w:r>
        <w:rPr>
          <w:rFonts w:ascii="Times New Roman" w:hAnsi="Times New Roman" w:cs="Times New Roman"/>
          <w:smallCaps/>
        </w:rPr>
        <w:t xml:space="preserve">, </w:t>
      </w:r>
      <w:r w:rsidRPr="00E34C01">
        <w:rPr>
          <w:rFonts w:ascii="Times New Roman" w:hAnsi="Times New Roman" w:cs="Times New Roman"/>
          <w:smallCaps/>
        </w:rPr>
        <w:t>Complex Litigation Compendium of Guidelines and Best Practices,</w:t>
      </w:r>
      <w:r w:rsidRPr="00E34C01">
        <w:rPr>
          <w:rFonts w:ascii="Times New Roman" w:hAnsi="Times New Roman" w:cs="Times New Roman"/>
        </w:rPr>
        <w:t xml:space="preserve"> Guideline B-5 (Permanent No. B-1) </w:t>
      </w:r>
      <w:proofErr w:type="spellStart"/>
      <w:r>
        <w:rPr>
          <w:rFonts w:ascii="Times New Roman" w:hAnsi="Times New Roman" w:cs="Times New Roman"/>
        </w:rPr>
        <w:t>Rabiej</w:t>
      </w:r>
      <w:proofErr w:type="spellEnd"/>
      <w:r>
        <w:rPr>
          <w:rFonts w:ascii="Times New Roman" w:hAnsi="Times New Roman" w:cs="Times New Roman"/>
        </w:rPr>
        <w:t xml:space="preserve"> Litigation Law Center </w:t>
      </w:r>
      <w:r w:rsidRPr="00E34C01">
        <w:rPr>
          <w:rFonts w:ascii="Times New Roman" w:hAnsi="Times New Roman" w:cs="Times New Roman"/>
        </w:rPr>
        <w:t>(2023)</w:t>
      </w:r>
      <w:r>
        <w:rPr>
          <w:rFonts w:ascii="Times New Roman" w:hAnsi="Times New Roman" w:cs="Times New Roman"/>
        </w:rPr>
        <w:t xml:space="preserve">. Plaintiff fact sheets “were developed to provide basic information quickly about individual claimants to facilitate vetting.” </w:t>
      </w:r>
      <w:r w:rsidRPr="00EF7935">
        <w:rPr>
          <w:rFonts w:ascii="Times New Roman" w:hAnsi="Times New Roman" w:cs="Times New Roman"/>
        </w:rPr>
        <w:t xml:space="preserve">Obviously more information sooner rather than later is preferred but the practicalities of litigation do not always allow for complete, accurate, meaningful information until litigation is mature. </w:t>
      </w:r>
    </w:p>
  </w:footnote>
  <w:footnote w:id="6">
    <w:p w14:paraId="4C801D56" w14:textId="77777777" w:rsidR="008A2BA3" w:rsidRDefault="008A2BA3" w:rsidP="00C42045">
      <w:pPr>
        <w:pStyle w:val="FootnoteText"/>
        <w:jc w:val="both"/>
      </w:pPr>
      <w:r>
        <w:rPr>
          <w:rStyle w:val="FootnoteReference"/>
        </w:rPr>
        <w:footnoteRef/>
      </w:r>
      <w:r>
        <w:t xml:space="preserve"> </w:t>
      </w:r>
      <w:r w:rsidRPr="0060162F">
        <w:rPr>
          <w:rFonts w:ascii="Times New Roman" w:hAnsi="Times New Roman" w:cs="Times New Roman"/>
          <w:i/>
          <w:iCs/>
        </w:rPr>
        <w:t xml:space="preserve">See In Re: Bard Implanted </w:t>
      </w:r>
      <w:r>
        <w:rPr>
          <w:rFonts w:ascii="Times New Roman" w:hAnsi="Times New Roman" w:cs="Times New Roman"/>
          <w:i/>
          <w:iCs/>
        </w:rPr>
        <w:t>P</w:t>
      </w:r>
      <w:r w:rsidRPr="0060162F">
        <w:rPr>
          <w:rFonts w:ascii="Times New Roman" w:hAnsi="Times New Roman" w:cs="Times New Roman"/>
          <w:i/>
          <w:iCs/>
        </w:rPr>
        <w:t xml:space="preserve">ort Catheter Prod. </w:t>
      </w:r>
      <w:proofErr w:type="spellStart"/>
      <w:r w:rsidRPr="0060162F">
        <w:rPr>
          <w:rFonts w:ascii="Times New Roman" w:hAnsi="Times New Roman" w:cs="Times New Roman"/>
          <w:i/>
          <w:iCs/>
        </w:rPr>
        <w:t>Liab</w:t>
      </w:r>
      <w:proofErr w:type="spellEnd"/>
      <w:r w:rsidRPr="0060162F">
        <w:rPr>
          <w:rFonts w:ascii="Times New Roman" w:hAnsi="Times New Roman" w:cs="Times New Roman"/>
          <w:i/>
          <w:iCs/>
        </w:rPr>
        <w:t>. Litig</w:t>
      </w:r>
      <w:r>
        <w:rPr>
          <w:rFonts w:ascii="Times New Roman" w:hAnsi="Times New Roman" w:cs="Times New Roman"/>
        </w:rPr>
        <w:t>., MDL No. 3081, Case Management Order No. 8, p.1 (Nov. 11, 2023) (Parties agreed to an “abbreviated Plaintiff Profile Form and an abbreviated Defendant Profile Form.”  Extensive fact sheets were used for bellwether cases.)</w:t>
      </w:r>
    </w:p>
  </w:footnote>
  <w:footnote w:id="7">
    <w:p w14:paraId="69F23C6A" w14:textId="77777777" w:rsidR="008A2BA3" w:rsidRPr="00757079" w:rsidRDefault="008A2BA3" w:rsidP="00C42045">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See, Fed. R. Civ. P. 16.1(b)(3)(B), Committee Note (December 1, 2025) (“Alternatively, in some cases, transferee judges have ordered that such exchanges of information (fact sheets) be made under Rule 33 or 34.”)</w:t>
      </w:r>
    </w:p>
  </w:footnote>
  <w:footnote w:id="8">
    <w:p w14:paraId="0D0495FD" w14:textId="77777777" w:rsidR="008A2BA3" w:rsidRDefault="008A2BA3" w:rsidP="00C42045">
      <w:pPr>
        <w:pStyle w:val="NoSpacing"/>
        <w:jc w:val="both"/>
      </w:pPr>
      <w:r w:rsidRPr="000053D0">
        <w:rPr>
          <w:rStyle w:val="FootnoteReference"/>
          <w:sz w:val="20"/>
          <w:szCs w:val="20"/>
        </w:rPr>
        <w:footnoteRef/>
      </w:r>
      <w:r>
        <w:t xml:space="preserve"> </w:t>
      </w:r>
      <w:r w:rsidRPr="00386CED">
        <w:rPr>
          <w:rFonts w:cs="Times New Roman"/>
          <w:sz w:val="20"/>
          <w:szCs w:val="20"/>
        </w:rPr>
        <w:t>The Committee Note to Rule 16.1(b)(3)(B) describes “</w:t>
      </w:r>
      <w:r>
        <w:rPr>
          <w:rFonts w:cs="Times New Roman"/>
          <w:sz w:val="20"/>
          <w:szCs w:val="20"/>
        </w:rPr>
        <w:t>’</w:t>
      </w:r>
      <w:r w:rsidRPr="00386CED">
        <w:rPr>
          <w:rFonts w:cs="Times New Roman"/>
          <w:sz w:val="20"/>
          <w:szCs w:val="20"/>
        </w:rPr>
        <w:t xml:space="preserve">fact sheets’ or a ‘census’ as methods to take a survey of the claims and defenses presented, largely as a management method for planning and organizing proceedings.” But plaintiff and defendant fact sheets play a far greater role and provide not only information useful for case management, including the identities of parties and their </w:t>
      </w:r>
      <w:proofErr w:type="gramStart"/>
      <w:r w:rsidRPr="00386CED">
        <w:rPr>
          <w:rFonts w:cs="Times New Roman"/>
          <w:sz w:val="20"/>
          <w:szCs w:val="20"/>
        </w:rPr>
        <w:t>particular claims</w:t>
      </w:r>
      <w:proofErr w:type="gramEnd"/>
      <w:r w:rsidRPr="00386CED">
        <w:rPr>
          <w:rFonts w:cs="Times New Roman"/>
          <w:sz w:val="20"/>
          <w:szCs w:val="20"/>
        </w:rPr>
        <w:t xml:space="preserve">, but also information on the viability of the claim or defense asserted.  </w:t>
      </w:r>
    </w:p>
  </w:footnote>
  <w:footnote w:id="9">
    <w:p w14:paraId="03FAB878" w14:textId="77777777" w:rsidR="008A2BA3" w:rsidRDefault="008A2BA3" w:rsidP="00C42045">
      <w:pPr>
        <w:pStyle w:val="FootnoteText"/>
        <w:jc w:val="both"/>
      </w:pPr>
      <w:r>
        <w:rPr>
          <w:rStyle w:val="FootnoteReference"/>
        </w:rPr>
        <w:footnoteRef/>
      </w:r>
      <w:r>
        <w:t xml:space="preserve">  </w:t>
      </w:r>
      <w:r w:rsidRPr="0060162F">
        <w:rPr>
          <w:rFonts w:ascii="Times New Roman" w:hAnsi="Times New Roman" w:cs="Times New Roman"/>
          <w:i/>
          <w:iCs/>
        </w:rPr>
        <w:t xml:space="preserve">See In Re: Bard Implanted </w:t>
      </w:r>
      <w:r>
        <w:rPr>
          <w:rFonts w:ascii="Times New Roman" w:hAnsi="Times New Roman" w:cs="Times New Roman"/>
          <w:i/>
          <w:iCs/>
        </w:rPr>
        <w:t>P</w:t>
      </w:r>
      <w:r w:rsidRPr="0060162F">
        <w:rPr>
          <w:rFonts w:ascii="Times New Roman" w:hAnsi="Times New Roman" w:cs="Times New Roman"/>
          <w:i/>
          <w:iCs/>
        </w:rPr>
        <w:t xml:space="preserve">ort Catheter Prod. </w:t>
      </w:r>
      <w:proofErr w:type="spellStart"/>
      <w:r w:rsidRPr="0060162F">
        <w:rPr>
          <w:rFonts w:ascii="Times New Roman" w:hAnsi="Times New Roman" w:cs="Times New Roman"/>
          <w:i/>
          <w:iCs/>
        </w:rPr>
        <w:t>Liab</w:t>
      </w:r>
      <w:proofErr w:type="spellEnd"/>
      <w:r w:rsidRPr="0060162F">
        <w:rPr>
          <w:rFonts w:ascii="Times New Roman" w:hAnsi="Times New Roman" w:cs="Times New Roman"/>
          <w:i/>
          <w:iCs/>
        </w:rPr>
        <w:t>. Litig</w:t>
      </w:r>
      <w:r>
        <w:rPr>
          <w:rFonts w:ascii="Times New Roman" w:hAnsi="Times New Roman" w:cs="Times New Roman"/>
        </w:rPr>
        <w:t>., MDL No. 3081, Case Management Order No. 8, p. 1 (Nov. 22, 2023) (abbreviated profile form to be submitted within 30 days of filing the short-form complaint).</w:t>
      </w:r>
    </w:p>
  </w:footnote>
  <w:footnote w:id="10">
    <w:p w14:paraId="448397DA" w14:textId="77777777" w:rsidR="008A2BA3" w:rsidRPr="00CA229A" w:rsidRDefault="008A2BA3" w:rsidP="00C42045">
      <w:pPr>
        <w:pStyle w:val="FootnoteText"/>
        <w:jc w:val="both"/>
        <w:rPr>
          <w:rFonts w:ascii="Times New Roman" w:hAnsi="Times New Roman" w:cs="Times New Roman"/>
        </w:rPr>
      </w:pPr>
      <w:r w:rsidRPr="00CA229A">
        <w:rPr>
          <w:rStyle w:val="FootnoteReference"/>
          <w:rFonts w:ascii="Times New Roman" w:hAnsi="Times New Roman" w:cs="Times New Roman"/>
        </w:rPr>
        <w:footnoteRef/>
      </w:r>
      <w:r w:rsidRPr="00CA229A">
        <w:rPr>
          <w:rFonts w:ascii="Times New Roman" w:hAnsi="Times New Roman" w:cs="Times New Roman"/>
        </w:rPr>
        <w:t xml:space="preserve"> </w:t>
      </w:r>
      <w:r w:rsidRPr="00944539">
        <w:rPr>
          <w:rFonts w:ascii="Times New Roman" w:hAnsi="Times New Roman" w:cs="Times New Roman"/>
          <w:i/>
          <w:iCs/>
        </w:rPr>
        <w:t>See</w:t>
      </w:r>
      <w:r>
        <w:rPr>
          <w:rFonts w:ascii="Times New Roman" w:hAnsi="Times New Roman" w:cs="Times New Roman"/>
        </w:rPr>
        <w:t xml:space="preserve"> Fed. R. Civ. P. 8(a)(2); </w:t>
      </w:r>
      <w:r w:rsidRPr="00944539">
        <w:rPr>
          <w:rFonts w:ascii="Times New Roman" w:hAnsi="Times New Roman" w:cs="Times New Roman"/>
          <w:i/>
          <w:iCs/>
        </w:rPr>
        <w:t>see also</w:t>
      </w:r>
      <w:r>
        <w:rPr>
          <w:rFonts w:ascii="Times New Roman" w:hAnsi="Times New Roman" w:cs="Times New Roman"/>
        </w:rPr>
        <w:t xml:space="preserve"> </w:t>
      </w:r>
      <w:r w:rsidRPr="00CA229A">
        <w:rPr>
          <w:rFonts w:ascii="Times New Roman" w:hAnsi="Times New Roman" w:cs="Times New Roman"/>
        </w:rPr>
        <w:t xml:space="preserve">Fed. R. Civ. P. 11 (Committee </w:t>
      </w:r>
      <w:r>
        <w:rPr>
          <w:rFonts w:ascii="Times New Roman" w:hAnsi="Times New Roman" w:cs="Times New Roman"/>
        </w:rPr>
        <w:t>N</w:t>
      </w:r>
      <w:r w:rsidRPr="00CA229A">
        <w:rPr>
          <w:rFonts w:ascii="Times New Roman" w:hAnsi="Times New Roman" w:cs="Times New Roman"/>
        </w:rPr>
        <w:t>ote 1993) (</w:t>
      </w:r>
      <w:r>
        <w:rPr>
          <w:rFonts w:ascii="Times New Roman" w:hAnsi="Times New Roman" w:cs="Times New Roman"/>
        </w:rPr>
        <w:t xml:space="preserve">“That summary judgment is rendered against a party does not necessarily mean, for purposes of this certification, that it had no evidentiary support for its position.  On the other hand, if a party has evidence with respect to a contention that would suffice to defeat a motion for summary judgement based thereon, it </w:t>
      </w:r>
      <w:proofErr w:type="gramStart"/>
      <w:r>
        <w:rPr>
          <w:rFonts w:ascii="Times New Roman" w:hAnsi="Times New Roman" w:cs="Times New Roman"/>
        </w:rPr>
        <w:t>would</w:t>
      </w:r>
      <w:proofErr w:type="gramEnd"/>
      <w:r>
        <w:rPr>
          <w:rFonts w:ascii="Times New Roman" w:hAnsi="Times New Roman" w:cs="Times New Roman"/>
        </w:rPr>
        <w:t xml:space="preserve"> have sufficient ‘evidentiary support’ for purposes of Rule 11.”</w:t>
      </w:r>
    </w:p>
  </w:footnote>
  <w:footnote w:id="11">
    <w:p w14:paraId="0765723F" w14:textId="77777777" w:rsidR="008A2BA3" w:rsidRPr="006A197E" w:rsidRDefault="008A2BA3" w:rsidP="008A2BA3">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i/>
          <w:iCs/>
        </w:rPr>
        <w:t>S</w:t>
      </w:r>
      <w:r w:rsidRPr="008225BB">
        <w:rPr>
          <w:rFonts w:ascii="Times New Roman" w:hAnsi="Times New Roman" w:cs="Times New Roman"/>
          <w:i/>
          <w:iCs/>
        </w:rPr>
        <w:t xml:space="preserve">ee In Re: Paraquat Prod. </w:t>
      </w:r>
      <w:proofErr w:type="spellStart"/>
      <w:r w:rsidRPr="008225BB">
        <w:rPr>
          <w:rFonts w:ascii="Times New Roman" w:hAnsi="Times New Roman" w:cs="Times New Roman"/>
          <w:i/>
          <w:iCs/>
        </w:rPr>
        <w:t>Liab</w:t>
      </w:r>
      <w:proofErr w:type="spellEnd"/>
      <w:r w:rsidRPr="008225BB">
        <w:rPr>
          <w:rFonts w:ascii="Times New Roman" w:hAnsi="Times New Roman" w:cs="Times New Roman"/>
          <w:i/>
          <w:iCs/>
        </w:rPr>
        <w:t>. Litig</w:t>
      </w:r>
      <w:r w:rsidRPr="008225BB">
        <w:rPr>
          <w:rFonts w:ascii="Times New Roman" w:hAnsi="Times New Roman" w:cs="Times New Roman"/>
        </w:rPr>
        <w:t xml:space="preserve">., MDL No. 3004, Case </w:t>
      </w:r>
      <w:r>
        <w:rPr>
          <w:rFonts w:ascii="Times New Roman" w:hAnsi="Times New Roman" w:cs="Times New Roman"/>
        </w:rPr>
        <w:t>M</w:t>
      </w:r>
      <w:r w:rsidRPr="008225BB">
        <w:rPr>
          <w:rFonts w:ascii="Times New Roman" w:hAnsi="Times New Roman" w:cs="Times New Roman"/>
        </w:rPr>
        <w:t>anagement Order No. 18 (May 15, 2023) (“parties</w:t>
      </w:r>
      <w:r>
        <w:rPr>
          <w:rFonts w:ascii="Times New Roman" w:hAnsi="Times New Roman" w:cs="Times New Roman"/>
        </w:rPr>
        <w:t xml:space="preserve"> ordered to meet and confer within the next two weeks regarding any pending cases that present theories of proof that </w:t>
      </w:r>
      <w:r w:rsidRPr="006A197E">
        <w:rPr>
          <w:rFonts w:ascii="Times New Roman" w:hAnsi="Times New Roman" w:cs="Times New Roman"/>
        </w:rPr>
        <w:t>are so implausible on their face that good faith demands their voluntary dismissal”).</w:t>
      </w:r>
    </w:p>
  </w:footnote>
  <w:footnote w:id="12">
    <w:p w14:paraId="59DC8B84" w14:textId="77777777" w:rsidR="008A2BA3" w:rsidRPr="006A197E" w:rsidRDefault="008A2BA3" w:rsidP="008A2BA3">
      <w:pPr>
        <w:pStyle w:val="FootnoteText"/>
        <w:jc w:val="both"/>
        <w:rPr>
          <w:rFonts w:ascii="Times New Roman" w:hAnsi="Times New Roman" w:cs="Times New Roman"/>
        </w:rPr>
      </w:pPr>
      <w:r w:rsidRPr="006A197E">
        <w:rPr>
          <w:rStyle w:val="FootnoteReference"/>
          <w:rFonts w:ascii="Times New Roman" w:hAnsi="Times New Roman" w:cs="Times New Roman"/>
        </w:rPr>
        <w:footnoteRef/>
      </w:r>
      <w:r w:rsidRPr="006A197E">
        <w:rPr>
          <w:rFonts w:ascii="Times New Roman" w:hAnsi="Times New Roman" w:cs="Times New Roman"/>
        </w:rPr>
        <w:t xml:space="preserve"> Fed. R. Civ. P 11 (b) and (c) (Committee Note 1993)</w:t>
      </w:r>
      <w:r>
        <w:rPr>
          <w:rFonts w:ascii="Times New Roman" w:hAnsi="Times New Roman" w:cs="Times New Roman"/>
        </w:rPr>
        <w:t>.</w:t>
      </w:r>
    </w:p>
  </w:footnote>
  <w:footnote w:id="13">
    <w:p w14:paraId="7CE11C5E" w14:textId="77777777" w:rsidR="008A2BA3" w:rsidRPr="00E438EE" w:rsidRDefault="008A2BA3" w:rsidP="008A2BA3">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Fed. R. Civ. P. 11(b) and (c) (Committee Note 1993)</w:t>
      </w:r>
      <w:r w:rsidRPr="00DD4823">
        <w:rPr>
          <w:rFonts w:ascii="Times New Roman" w:hAnsi="Times New Roman" w:cs="Times New Roman"/>
        </w:rPr>
        <w:t xml:space="preserve"> </w:t>
      </w:r>
      <w:r>
        <w:rPr>
          <w:rFonts w:ascii="Times New Roman" w:hAnsi="Times New Roman" w:cs="Times New Roman"/>
        </w:rPr>
        <w:t xml:space="preserve">(“While sometimes helpful, formal amendment of the pleadings to withdraw an allegation or denial is not required by subdivision (b).”)  </w:t>
      </w:r>
    </w:p>
  </w:footnote>
  <w:footnote w:id="14">
    <w:p w14:paraId="630A450C" w14:textId="77777777" w:rsidR="008A2BA3" w:rsidRPr="00AA51BD" w:rsidRDefault="008A2BA3" w:rsidP="008A2BA3">
      <w:pPr>
        <w:pStyle w:val="FootnoteText"/>
        <w:jc w:val="both"/>
        <w:rPr>
          <w:rFonts w:ascii="Times New Roman" w:hAnsi="Times New Roman" w:cs="Times New Roman"/>
        </w:rPr>
      </w:pPr>
      <w:r w:rsidRPr="00AA51BD">
        <w:rPr>
          <w:rStyle w:val="FootnoteReference"/>
          <w:rFonts w:ascii="Times New Roman" w:hAnsi="Times New Roman" w:cs="Times New Roman"/>
        </w:rPr>
        <w:footnoteRef/>
      </w:r>
      <w:r w:rsidRPr="00AA51BD">
        <w:rPr>
          <w:rFonts w:ascii="Times New Roman" w:hAnsi="Times New Roman" w:cs="Times New Roman"/>
        </w:rPr>
        <w:t xml:space="preserve"> Fed. R. Civ. P. 11 (Committee Note 1993) (“</w:t>
      </w:r>
      <w:r>
        <w:rPr>
          <w:rFonts w:ascii="Times New Roman" w:hAnsi="Times New Roman" w:cs="Times New Roman"/>
        </w:rPr>
        <w:t>Denials of factual contentions involve somewhat different considerations.  Often, of course, a denial is premised upon the existence of evidence contradicting the alleged fact.  At other times a denial is permissible because, after an appropriate investigation, a party has no information concerning the matter or, indeed, has a reasonable basis for doubting the credibility of the only evidence relevant to the matter.  A party should not deny an allegation it knows to be true; but it is not required, simply because it lacks contradictory evidence, to admit an allegation that it believes is not true.”)</w:t>
      </w:r>
    </w:p>
  </w:footnote>
  <w:footnote w:id="15">
    <w:p w14:paraId="1C07C3CA" w14:textId="77777777" w:rsidR="008A2BA3" w:rsidRPr="00503391" w:rsidRDefault="008A2BA3" w:rsidP="008A2BA3">
      <w:pPr>
        <w:pStyle w:val="FootnoteText"/>
        <w:jc w:val="both"/>
        <w:rPr>
          <w:rFonts w:ascii="Times New Roman" w:hAnsi="Times New Roman" w:cs="Times New Roman"/>
        </w:rPr>
      </w:pPr>
      <w:r w:rsidRPr="00503391">
        <w:rPr>
          <w:rStyle w:val="FootnoteReference"/>
          <w:rFonts w:ascii="Times New Roman" w:hAnsi="Times New Roman" w:cs="Times New Roman"/>
        </w:rPr>
        <w:footnoteRef/>
      </w:r>
      <w:r w:rsidRPr="00503391">
        <w:rPr>
          <w:rFonts w:ascii="Times New Roman" w:hAnsi="Times New Roman" w:cs="Times New Roman"/>
        </w:rPr>
        <w:t xml:space="preserve"> Fed. R.</w:t>
      </w:r>
      <w:r>
        <w:rPr>
          <w:rFonts w:ascii="Times New Roman" w:hAnsi="Times New Roman" w:cs="Times New Roman"/>
        </w:rPr>
        <w:t xml:space="preserve"> </w:t>
      </w:r>
      <w:r w:rsidRPr="00503391">
        <w:rPr>
          <w:rFonts w:ascii="Times New Roman" w:hAnsi="Times New Roman" w:cs="Times New Roman"/>
        </w:rPr>
        <w:t>Civ. P. 16.1 (Committee Note to Rule 16.1(b)(3)(B)</w:t>
      </w:r>
      <w:r>
        <w:rPr>
          <w:rFonts w:ascii="Times New Roman" w:hAnsi="Times New Roman" w:cs="Times New Roman"/>
        </w:rPr>
        <w:t xml:space="preserve">.) </w:t>
      </w:r>
    </w:p>
  </w:footnote>
  <w:footnote w:id="16">
    <w:p w14:paraId="70EEDB78" w14:textId="77777777" w:rsidR="008A2BA3" w:rsidRPr="00102990" w:rsidRDefault="008A2BA3" w:rsidP="008A2BA3">
      <w:pPr>
        <w:pStyle w:val="FootnoteText"/>
        <w:jc w:val="both"/>
        <w:rPr>
          <w:rFonts w:ascii="Times New Roman" w:hAnsi="Times New Roman" w:cs="Times New Roman"/>
        </w:rPr>
      </w:pPr>
      <w:r>
        <w:rPr>
          <w:rStyle w:val="FootnoteReference"/>
        </w:rPr>
        <w:footnoteRef/>
      </w:r>
      <w:r>
        <w:t xml:space="preserve"> </w:t>
      </w:r>
      <w:bookmarkStart w:id="1" w:name="_Hlk169945247"/>
      <w:r>
        <w:rPr>
          <w:rFonts w:ascii="Times New Roman" w:hAnsi="Times New Roman" w:cs="Times New Roman"/>
        </w:rPr>
        <w:t xml:space="preserve">Fed. R. Civ. P. 11(b)(3); </w:t>
      </w:r>
      <w:bookmarkEnd w:id="1"/>
      <w:r>
        <w:rPr>
          <w:rFonts w:ascii="Times New Roman" w:hAnsi="Times New Roman" w:cs="Times New Roman"/>
        </w:rPr>
        <w:t>see Fed. R. Civ. P. 26(g), Committee Note (1983) (The rule simply requires that the attorney make a reasonable inquiry into the factual basis of his response, request, or objection.”)</w:t>
      </w:r>
    </w:p>
  </w:footnote>
  <w:footnote w:id="17">
    <w:p w14:paraId="1666888D" w14:textId="77777777" w:rsidR="008A2BA3" w:rsidRPr="006D3989" w:rsidRDefault="008A2BA3" w:rsidP="008A2BA3">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Fed. R. Civ. P. 11(Committee Notes 1983 and 1993); </w:t>
      </w:r>
      <w:r w:rsidRPr="006D3989">
        <w:rPr>
          <w:rFonts w:ascii="Times New Roman" w:hAnsi="Times New Roman" w:cs="Times New Roman"/>
          <w:i/>
          <w:iCs/>
        </w:rPr>
        <w:t>see also</w:t>
      </w:r>
      <w:r>
        <w:rPr>
          <w:rFonts w:ascii="Times New Roman" w:hAnsi="Times New Roman" w:cs="Times New Roman"/>
        </w:rPr>
        <w:t xml:space="preserve"> Comments on proposed Fed. R. Civ. P. 16.1 submitted to Advisory Committee on Civil Rules by American Association of Justice (Feb. 15, 2024), which describe possible reasons justifying further investigation and discovery to gather evidentiary support of factual contentions.</w:t>
      </w:r>
    </w:p>
  </w:footnote>
  <w:footnote w:id="18">
    <w:p w14:paraId="769149BC" w14:textId="77777777" w:rsidR="008A2BA3" w:rsidRDefault="008A2BA3" w:rsidP="008A2BA3">
      <w:pPr>
        <w:pStyle w:val="FootnoteText"/>
        <w:jc w:val="both"/>
      </w:pPr>
      <w:r>
        <w:rPr>
          <w:rStyle w:val="FootnoteReference"/>
        </w:rPr>
        <w:footnoteRef/>
      </w:r>
      <w:r>
        <w:t xml:space="preserve"> </w:t>
      </w:r>
      <w:r>
        <w:rPr>
          <w:rFonts w:ascii="Times New Roman" w:hAnsi="Times New Roman" w:cs="Times New Roman"/>
        </w:rPr>
        <w:t>Fed. R. Civ. P. 11(b) and (c) (Committee Note 1993) (“Tolerance of factual contentions in initial pleadings by plaintiffs or defendants when specifically identified as made on information and belief does not relieve litigants from the obligation to conduct an appropriate investigation into the facts that is reasonable under the circumstances; it is not a license to join parties, make claims, or present defenses without any factual basis or justification.”)</w:t>
      </w:r>
    </w:p>
  </w:footnote>
  <w:footnote w:id="19">
    <w:p w14:paraId="3EC69A32" w14:textId="77777777" w:rsidR="008A2BA3" w:rsidRPr="00DD4823" w:rsidRDefault="008A2BA3" w:rsidP="008A2BA3">
      <w:pPr>
        <w:pStyle w:val="FootnoteText"/>
        <w:rPr>
          <w:rFonts w:ascii="Times New Roman" w:hAnsi="Times New Roman" w:cs="Times New Roman"/>
        </w:rPr>
      </w:pPr>
      <w:r>
        <w:rPr>
          <w:rStyle w:val="FootnoteReference"/>
        </w:rPr>
        <w:footnoteRef/>
      </w:r>
      <w:r>
        <w:t xml:space="preserve"> </w:t>
      </w:r>
      <w:r>
        <w:rPr>
          <w:rFonts w:ascii="Times New Roman" w:hAnsi="Times New Roman" w:cs="Times New Roman"/>
        </w:rPr>
        <w:t>Fed. R. Civ. P. 11(b) and (c) (Committee Note 1993).</w:t>
      </w:r>
    </w:p>
  </w:footnote>
  <w:footnote w:id="20">
    <w:p w14:paraId="64165564" w14:textId="77777777" w:rsidR="008A2BA3" w:rsidRPr="008652CA" w:rsidRDefault="008A2BA3" w:rsidP="008A2BA3">
      <w:pPr>
        <w:pStyle w:val="FootnoteText"/>
        <w:jc w:val="both"/>
        <w:rPr>
          <w:rFonts w:ascii="Times New Roman" w:hAnsi="Times New Roman" w:cs="Times New Roman"/>
        </w:rPr>
      </w:pPr>
      <w:r>
        <w:rPr>
          <w:rStyle w:val="FootnoteReference"/>
        </w:rPr>
        <w:footnoteRef/>
      </w:r>
      <w:r>
        <w:t xml:space="preserve"> </w:t>
      </w:r>
      <w:r w:rsidRPr="008652CA">
        <w:rPr>
          <w:rFonts w:ascii="Times New Roman" w:hAnsi="Times New Roman" w:cs="Times New Roman"/>
          <w:i/>
          <w:iCs/>
        </w:rPr>
        <w:t>See In Re</w:t>
      </w:r>
      <w:r>
        <w:rPr>
          <w:rFonts w:ascii="Times New Roman" w:hAnsi="Times New Roman" w:cs="Times New Roman"/>
          <w:i/>
          <w:iCs/>
        </w:rPr>
        <w:t>:</w:t>
      </w:r>
      <w:r w:rsidRPr="008652CA">
        <w:rPr>
          <w:rFonts w:ascii="Times New Roman" w:hAnsi="Times New Roman" w:cs="Times New Roman"/>
          <w:i/>
          <w:iCs/>
        </w:rPr>
        <w:t xml:space="preserve"> Stryker LFIT V40 Femoral Head Prod. </w:t>
      </w:r>
      <w:proofErr w:type="spellStart"/>
      <w:r w:rsidRPr="008652CA">
        <w:rPr>
          <w:rFonts w:ascii="Times New Roman" w:hAnsi="Times New Roman" w:cs="Times New Roman"/>
          <w:i/>
          <w:iCs/>
        </w:rPr>
        <w:t>Liab</w:t>
      </w:r>
      <w:proofErr w:type="spellEnd"/>
      <w:r w:rsidRPr="008652CA">
        <w:rPr>
          <w:rFonts w:ascii="Times New Roman" w:hAnsi="Times New Roman" w:cs="Times New Roman"/>
          <w:i/>
          <w:iCs/>
        </w:rPr>
        <w:t>. Litig.,</w:t>
      </w:r>
      <w:r>
        <w:rPr>
          <w:rFonts w:ascii="Times New Roman" w:hAnsi="Times New Roman" w:cs="Times New Roman"/>
        </w:rPr>
        <w:t xml:space="preserve"> MDL No. 2768, Case Management Order No. 8 (December 3, 2020) (Court ordered Plaintiff’s Executive Committee to review all open cases after ordering all plaintiffs to first review their cases to ensure that they met their ongoing reasonable inquiry obligation.).</w:t>
      </w:r>
    </w:p>
  </w:footnote>
  <w:footnote w:id="21">
    <w:p w14:paraId="47D6C661" w14:textId="77777777" w:rsidR="008A2BA3" w:rsidRPr="004404E1" w:rsidRDefault="008A2BA3" w:rsidP="008A2BA3">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Courts have ordered both plaintiffs and defendants to submit individual fact sheets and </w:t>
      </w:r>
      <w:proofErr w:type="gramStart"/>
      <w:r>
        <w:rPr>
          <w:rFonts w:ascii="Times New Roman" w:hAnsi="Times New Roman" w:cs="Times New Roman"/>
        </w:rPr>
        <w:t>medical-records</w:t>
      </w:r>
      <w:proofErr w:type="gramEnd"/>
      <w:r>
        <w:rPr>
          <w:rFonts w:ascii="Times New Roman" w:hAnsi="Times New Roman" w:cs="Times New Roman"/>
        </w:rPr>
        <w:t xml:space="preserve"> release authorizations using a secure online portal in the “MDL Centrality” online system operated by </w:t>
      </w:r>
      <w:proofErr w:type="spellStart"/>
      <w:r>
        <w:rPr>
          <w:rFonts w:ascii="Times New Roman" w:hAnsi="Times New Roman" w:cs="Times New Roman"/>
        </w:rPr>
        <w:t>BrownGreer</w:t>
      </w:r>
      <w:proofErr w:type="spellEnd"/>
      <w:r>
        <w:rPr>
          <w:rFonts w:ascii="Times New Roman" w:hAnsi="Times New Roman" w:cs="Times New Roman"/>
        </w:rPr>
        <w:t xml:space="preserve">. Fact sheets often address evidentiary support for the claim and the information is shared with lead counsel or executive committees.  </w:t>
      </w:r>
      <w:r w:rsidRPr="004404E1">
        <w:rPr>
          <w:rFonts w:ascii="Times New Roman" w:hAnsi="Times New Roman" w:cs="Times New Roman"/>
          <w:i/>
          <w:iCs/>
        </w:rPr>
        <w:t xml:space="preserve">See In Re: Allergan </w:t>
      </w:r>
      <w:proofErr w:type="spellStart"/>
      <w:r w:rsidRPr="004404E1">
        <w:rPr>
          <w:rFonts w:ascii="Times New Roman" w:hAnsi="Times New Roman" w:cs="Times New Roman"/>
          <w:i/>
          <w:iCs/>
        </w:rPr>
        <w:t>Biocell</w:t>
      </w:r>
      <w:proofErr w:type="spellEnd"/>
      <w:r w:rsidRPr="004404E1">
        <w:rPr>
          <w:rFonts w:ascii="Times New Roman" w:hAnsi="Times New Roman" w:cs="Times New Roman"/>
          <w:i/>
          <w:iCs/>
        </w:rPr>
        <w:t xml:space="preserve"> Textured Breast Implant Prod. </w:t>
      </w:r>
      <w:proofErr w:type="spellStart"/>
      <w:r w:rsidRPr="004404E1">
        <w:rPr>
          <w:rFonts w:ascii="Times New Roman" w:hAnsi="Times New Roman" w:cs="Times New Roman"/>
          <w:i/>
          <w:iCs/>
        </w:rPr>
        <w:t>Liab</w:t>
      </w:r>
      <w:proofErr w:type="spellEnd"/>
      <w:r w:rsidRPr="004404E1">
        <w:rPr>
          <w:rFonts w:ascii="Times New Roman" w:hAnsi="Times New Roman" w:cs="Times New Roman"/>
          <w:i/>
          <w:iCs/>
        </w:rPr>
        <w:t>. Litig</w:t>
      </w:r>
      <w:r>
        <w:rPr>
          <w:rFonts w:ascii="Times New Roman" w:hAnsi="Times New Roman" w:cs="Times New Roman"/>
        </w:rPr>
        <w:t xml:space="preserve">., MDL No. 2921, Case Management Order # 8 (March 23, 2020); </w:t>
      </w:r>
      <w:r w:rsidRPr="00B56F88">
        <w:rPr>
          <w:rFonts w:ascii="Times New Roman" w:hAnsi="Times New Roman" w:cs="Times New Roman"/>
          <w:i/>
          <w:iCs/>
        </w:rPr>
        <w:t xml:space="preserve">In </w:t>
      </w:r>
      <w:proofErr w:type="spellStart"/>
      <w:proofErr w:type="gramStart"/>
      <w:r w:rsidRPr="00B56F88">
        <w:rPr>
          <w:rFonts w:ascii="Times New Roman" w:hAnsi="Times New Roman" w:cs="Times New Roman"/>
          <w:i/>
          <w:iCs/>
        </w:rPr>
        <w:t>Re:Taxotere</w:t>
      </w:r>
      <w:proofErr w:type="spellEnd"/>
      <w:proofErr w:type="gramEnd"/>
      <w:r w:rsidRPr="00B56F88">
        <w:rPr>
          <w:rFonts w:ascii="Times New Roman" w:hAnsi="Times New Roman" w:cs="Times New Roman"/>
          <w:i/>
          <w:iCs/>
        </w:rPr>
        <w:t xml:space="preserve"> (Docetaxel) Prod. </w:t>
      </w:r>
      <w:proofErr w:type="spellStart"/>
      <w:r w:rsidRPr="00B56F88">
        <w:rPr>
          <w:rFonts w:ascii="Times New Roman" w:hAnsi="Times New Roman" w:cs="Times New Roman"/>
          <w:i/>
          <w:iCs/>
        </w:rPr>
        <w:t>Liab</w:t>
      </w:r>
      <w:proofErr w:type="spellEnd"/>
      <w:r w:rsidRPr="00B56F88">
        <w:rPr>
          <w:rFonts w:ascii="Times New Roman" w:hAnsi="Times New Roman" w:cs="Times New Roman"/>
          <w:i/>
          <w:iCs/>
        </w:rPr>
        <w:t xml:space="preserve">. Litig. </w:t>
      </w:r>
      <w:r>
        <w:rPr>
          <w:rFonts w:ascii="Times New Roman" w:hAnsi="Times New Roman" w:cs="Times New Roman"/>
        </w:rPr>
        <w:t xml:space="preserve">MDL No. 2740, Pretrial Order No. 24 (March 13, 2017); and </w:t>
      </w:r>
      <w:r w:rsidRPr="00B56F88">
        <w:rPr>
          <w:rFonts w:ascii="Times New Roman" w:hAnsi="Times New Roman" w:cs="Times New Roman"/>
          <w:i/>
          <w:iCs/>
        </w:rPr>
        <w:t xml:space="preserve">In </w:t>
      </w:r>
      <w:r>
        <w:rPr>
          <w:rFonts w:ascii="Times New Roman" w:hAnsi="Times New Roman" w:cs="Times New Roman"/>
          <w:i/>
          <w:iCs/>
        </w:rPr>
        <w:t>R</w:t>
      </w:r>
      <w:r w:rsidRPr="00B56F88">
        <w:rPr>
          <w:rFonts w:ascii="Times New Roman" w:hAnsi="Times New Roman" w:cs="Times New Roman"/>
          <w:i/>
          <w:iCs/>
        </w:rPr>
        <w:t xml:space="preserve">e: Xarelto (Rivaroxaban) Prod. </w:t>
      </w:r>
      <w:proofErr w:type="spellStart"/>
      <w:r w:rsidRPr="00B56F88">
        <w:rPr>
          <w:rFonts w:ascii="Times New Roman" w:hAnsi="Times New Roman" w:cs="Times New Roman"/>
          <w:i/>
          <w:iCs/>
        </w:rPr>
        <w:t>Liab</w:t>
      </w:r>
      <w:proofErr w:type="spellEnd"/>
      <w:r w:rsidRPr="00B56F88">
        <w:rPr>
          <w:rFonts w:ascii="Times New Roman" w:hAnsi="Times New Roman" w:cs="Times New Roman"/>
          <w:i/>
          <w:iCs/>
        </w:rPr>
        <w:t>. Litig</w:t>
      </w:r>
      <w:r>
        <w:rPr>
          <w:rFonts w:ascii="Times New Roman" w:hAnsi="Times New Roman" w:cs="Times New Roman"/>
        </w:rPr>
        <w:t>. MDL No. 2592, Case Management Order No.1 (May 4, 2015); s</w:t>
      </w:r>
      <w:r w:rsidRPr="0060162F">
        <w:rPr>
          <w:rFonts w:ascii="Times New Roman" w:hAnsi="Times New Roman" w:cs="Times New Roman"/>
          <w:i/>
          <w:iCs/>
        </w:rPr>
        <w:t>ee</w:t>
      </w:r>
      <w:r>
        <w:rPr>
          <w:rFonts w:ascii="Times New Roman" w:hAnsi="Times New Roman" w:cs="Times New Roman"/>
          <w:i/>
          <w:iCs/>
        </w:rPr>
        <w:t xml:space="preserve"> also</w:t>
      </w:r>
      <w:r w:rsidRPr="0060162F">
        <w:rPr>
          <w:rFonts w:ascii="Times New Roman" w:hAnsi="Times New Roman" w:cs="Times New Roman"/>
          <w:i/>
          <w:iCs/>
        </w:rPr>
        <w:t xml:space="preserve"> In Re: Bard Implanted </w:t>
      </w:r>
      <w:r>
        <w:rPr>
          <w:rFonts w:ascii="Times New Roman" w:hAnsi="Times New Roman" w:cs="Times New Roman"/>
          <w:i/>
          <w:iCs/>
        </w:rPr>
        <w:t>P</w:t>
      </w:r>
      <w:r w:rsidRPr="0060162F">
        <w:rPr>
          <w:rFonts w:ascii="Times New Roman" w:hAnsi="Times New Roman" w:cs="Times New Roman"/>
          <w:i/>
          <w:iCs/>
        </w:rPr>
        <w:t xml:space="preserve">ort Catheter Prod. </w:t>
      </w:r>
      <w:proofErr w:type="spellStart"/>
      <w:r w:rsidRPr="0060162F">
        <w:rPr>
          <w:rFonts w:ascii="Times New Roman" w:hAnsi="Times New Roman" w:cs="Times New Roman"/>
          <w:i/>
          <w:iCs/>
        </w:rPr>
        <w:t>Liab</w:t>
      </w:r>
      <w:proofErr w:type="spellEnd"/>
      <w:r w:rsidRPr="0060162F">
        <w:rPr>
          <w:rFonts w:ascii="Times New Roman" w:hAnsi="Times New Roman" w:cs="Times New Roman"/>
          <w:i/>
          <w:iCs/>
        </w:rPr>
        <w:t>. Litig</w:t>
      </w:r>
      <w:r>
        <w:rPr>
          <w:rFonts w:ascii="Times New Roman" w:hAnsi="Times New Roman" w:cs="Times New Roman"/>
        </w:rPr>
        <w:t>., MDL No. 3081, Case Management Order No. 8, p. 3 (Nov. 22, 2023) (“MDL Centrality should not be viewed as an alternate or supplemental docket in this case. It shall be used for the collections and presentation of discovery material that would not normally be filed in the Court’s docket, such as PPFs, DPFs, Plaintiff and Defendant fact sheets, privilege logs, and correspondence related to such discovery matters.”)</w:t>
      </w:r>
    </w:p>
  </w:footnote>
  <w:footnote w:id="22">
    <w:p w14:paraId="1585440B" w14:textId="77777777" w:rsidR="008A2BA3" w:rsidRPr="006F267A" w:rsidRDefault="008A2BA3" w:rsidP="008A2BA3">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As part of the MDL Centrality intake process, for example, a litigant could be asked to check either a box that there is evidentiary support for the factual contentions or a box that there is no evidentiary support, but that the factual contentions will likely have evidentiary support after reasonable opportunity for further investigation or discovery.  The court should set an appropriate time for such inquiry, </w:t>
      </w:r>
      <w:r w:rsidRPr="00DF31B7">
        <w:rPr>
          <w:rFonts w:ascii="Times New Roman" w:hAnsi="Times New Roman" w:cs="Times New Roman"/>
          <w:i/>
          <w:iCs/>
        </w:rPr>
        <w:t>e.g.,</w:t>
      </w:r>
      <w:r>
        <w:rPr>
          <w:rFonts w:ascii="Times New Roman" w:hAnsi="Times New Roman" w:cs="Times New Roman"/>
        </w:rPr>
        <w:t xml:space="preserve"> 6, 12, or 18 months and be alerted of actions that fail to have evidentiary support after the designated time expires.   </w:t>
      </w:r>
    </w:p>
  </w:footnote>
  <w:footnote w:id="23">
    <w:p w14:paraId="34901471" w14:textId="77777777" w:rsidR="008A2BA3" w:rsidRPr="00365679" w:rsidRDefault="008A2BA3" w:rsidP="008A2BA3">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Although defendants generally disfavor Rule 11 sanction motions because they would poison settlement negotiations and require individual notice and a 21-day window to amend or withdraw a complaint, filing multiple sanction motions simultaneously against a single outlier law-firm offender might not impede settlement negotiations because it would not affect law firms who conscientiously comply with Rule 11.  </w:t>
      </w:r>
    </w:p>
  </w:footnote>
  <w:footnote w:id="24">
    <w:p w14:paraId="166D009B" w14:textId="77777777" w:rsidR="008A2BA3" w:rsidRDefault="008A2BA3" w:rsidP="00C42045">
      <w:pPr>
        <w:pStyle w:val="FootnoteText"/>
        <w:jc w:val="both"/>
      </w:pPr>
      <w:r>
        <w:rPr>
          <w:rStyle w:val="FootnoteReference"/>
        </w:rPr>
        <w:footnoteRef/>
      </w:r>
      <w:r>
        <w:t xml:space="preserve"> </w:t>
      </w:r>
      <w:r>
        <w:rPr>
          <w:rFonts w:ascii="Times New Roman" w:hAnsi="Times New Roman" w:cs="Times New Roman"/>
        </w:rPr>
        <w:t>S</w:t>
      </w:r>
      <w:r w:rsidRPr="0060162F">
        <w:rPr>
          <w:rFonts w:ascii="Times New Roman" w:hAnsi="Times New Roman" w:cs="Times New Roman"/>
          <w:i/>
          <w:iCs/>
        </w:rPr>
        <w:t>ee</w:t>
      </w:r>
      <w:r>
        <w:rPr>
          <w:rFonts w:ascii="Times New Roman" w:hAnsi="Times New Roman" w:cs="Times New Roman"/>
          <w:i/>
          <w:iCs/>
        </w:rPr>
        <w:t xml:space="preserve"> </w:t>
      </w:r>
      <w:r w:rsidRPr="0060162F">
        <w:rPr>
          <w:rFonts w:ascii="Times New Roman" w:hAnsi="Times New Roman" w:cs="Times New Roman"/>
          <w:i/>
          <w:iCs/>
        </w:rPr>
        <w:t xml:space="preserve">In Re: Bard Implanted </w:t>
      </w:r>
      <w:r>
        <w:rPr>
          <w:rFonts w:ascii="Times New Roman" w:hAnsi="Times New Roman" w:cs="Times New Roman"/>
          <w:i/>
          <w:iCs/>
        </w:rPr>
        <w:t>P</w:t>
      </w:r>
      <w:r w:rsidRPr="0060162F">
        <w:rPr>
          <w:rFonts w:ascii="Times New Roman" w:hAnsi="Times New Roman" w:cs="Times New Roman"/>
          <w:i/>
          <w:iCs/>
        </w:rPr>
        <w:t xml:space="preserve">ort Catheter Prod. </w:t>
      </w:r>
      <w:proofErr w:type="spellStart"/>
      <w:r w:rsidRPr="0060162F">
        <w:rPr>
          <w:rFonts w:ascii="Times New Roman" w:hAnsi="Times New Roman" w:cs="Times New Roman"/>
          <w:i/>
          <w:iCs/>
        </w:rPr>
        <w:t>Liab</w:t>
      </w:r>
      <w:proofErr w:type="spellEnd"/>
      <w:r w:rsidRPr="0060162F">
        <w:rPr>
          <w:rFonts w:ascii="Times New Roman" w:hAnsi="Times New Roman" w:cs="Times New Roman"/>
          <w:i/>
          <w:iCs/>
        </w:rPr>
        <w:t>. Litig</w:t>
      </w:r>
      <w:r>
        <w:rPr>
          <w:rFonts w:ascii="Times New Roman" w:hAnsi="Times New Roman" w:cs="Times New Roman"/>
        </w:rPr>
        <w:t>., MDL No. 3081, Case Management Order No. 8, pp. 4-5 (Nov. 22, 2023) (describing the notice of deficiency process, which also includes an expedited process for incomplete profile forms).</w:t>
      </w:r>
    </w:p>
  </w:footnote>
  <w:footnote w:id="25">
    <w:p w14:paraId="6EBCEDB5" w14:textId="7423EBD5" w:rsidR="008A2BA3" w:rsidRDefault="008A2BA3" w:rsidP="00C42045">
      <w:pPr>
        <w:pStyle w:val="FootnoteText"/>
        <w:jc w:val="both"/>
      </w:pPr>
      <w:r>
        <w:rPr>
          <w:rStyle w:val="FootnoteReference"/>
        </w:rPr>
        <w:footnoteRef/>
      </w:r>
      <w:r>
        <w:t xml:space="preserve"> </w:t>
      </w:r>
      <w:r w:rsidRPr="00842B85">
        <w:rPr>
          <w:rFonts w:ascii="Times New Roman" w:hAnsi="Times New Roman" w:cs="Times New Roman"/>
          <w:i/>
          <w:iCs/>
        </w:rPr>
        <w:t>But</w:t>
      </w:r>
      <w:r>
        <w:t xml:space="preserve"> </w:t>
      </w:r>
      <w:r>
        <w:rPr>
          <w:rFonts w:ascii="Times New Roman" w:hAnsi="Times New Roman" w:cs="Times New Roman"/>
        </w:rPr>
        <w:t>s</w:t>
      </w:r>
      <w:r w:rsidRPr="0060162F">
        <w:rPr>
          <w:rFonts w:ascii="Times New Roman" w:hAnsi="Times New Roman" w:cs="Times New Roman"/>
          <w:i/>
          <w:iCs/>
        </w:rPr>
        <w:t>ee</w:t>
      </w:r>
      <w:r>
        <w:rPr>
          <w:rFonts w:ascii="Times New Roman" w:hAnsi="Times New Roman" w:cs="Times New Roman"/>
          <w:i/>
          <w:iCs/>
        </w:rPr>
        <w:t xml:space="preserve"> </w:t>
      </w:r>
      <w:r w:rsidRPr="0060162F">
        <w:rPr>
          <w:rFonts w:ascii="Times New Roman" w:hAnsi="Times New Roman" w:cs="Times New Roman"/>
          <w:i/>
          <w:iCs/>
        </w:rPr>
        <w:t xml:space="preserve">In Re: Bard Implanted </w:t>
      </w:r>
      <w:r>
        <w:rPr>
          <w:rFonts w:ascii="Times New Roman" w:hAnsi="Times New Roman" w:cs="Times New Roman"/>
          <w:i/>
          <w:iCs/>
        </w:rPr>
        <w:t>P</w:t>
      </w:r>
      <w:r w:rsidRPr="0060162F">
        <w:rPr>
          <w:rFonts w:ascii="Times New Roman" w:hAnsi="Times New Roman" w:cs="Times New Roman"/>
          <w:i/>
          <w:iCs/>
        </w:rPr>
        <w:t xml:space="preserve">ort Catheter Prod. </w:t>
      </w:r>
      <w:proofErr w:type="spellStart"/>
      <w:r w:rsidRPr="0060162F">
        <w:rPr>
          <w:rFonts w:ascii="Times New Roman" w:hAnsi="Times New Roman" w:cs="Times New Roman"/>
          <w:i/>
          <w:iCs/>
        </w:rPr>
        <w:t>Liab</w:t>
      </w:r>
      <w:proofErr w:type="spellEnd"/>
      <w:r w:rsidRPr="0060162F">
        <w:rPr>
          <w:rFonts w:ascii="Times New Roman" w:hAnsi="Times New Roman" w:cs="Times New Roman"/>
          <w:i/>
          <w:iCs/>
        </w:rPr>
        <w:t>. Litig</w:t>
      </w:r>
      <w:r>
        <w:rPr>
          <w:rFonts w:ascii="Times New Roman" w:hAnsi="Times New Roman" w:cs="Times New Roman"/>
        </w:rPr>
        <w:t xml:space="preserve">., MDL No. 3081, Case Management Order No. 8, pp. 4-5 (Nov. 22, 2023) (adopting a leaner, more expedited review process that requires fewer defendant </w:t>
      </w:r>
      <w:r w:rsidR="00C42045">
        <w:rPr>
          <w:rFonts w:ascii="Times New Roman" w:hAnsi="Times New Roman" w:cs="Times New Roman"/>
        </w:rPr>
        <w:t>actions</w:t>
      </w:r>
      <w:r>
        <w:rPr>
          <w:rFonts w:ascii="Times New Roman" w:hAnsi="Times New Roman" w:cs="Times New Roman"/>
        </w:rPr>
        <w:t>).</w:t>
      </w:r>
    </w:p>
  </w:footnote>
  <w:footnote w:id="26">
    <w:p w14:paraId="60F829D2" w14:textId="77777777" w:rsidR="008A2BA3" w:rsidRDefault="008A2BA3" w:rsidP="00C42045">
      <w:pPr>
        <w:pStyle w:val="FootnoteText"/>
        <w:jc w:val="both"/>
      </w:pPr>
      <w:r>
        <w:t xml:space="preserve"> </w:t>
      </w:r>
      <w:r>
        <w:rPr>
          <w:rStyle w:val="FootnoteReference"/>
        </w:rPr>
        <w:footnoteRef/>
      </w:r>
      <w:r>
        <w:t xml:space="preserve"> </w:t>
      </w:r>
      <w:r>
        <w:rPr>
          <w:rFonts w:ascii="Times New Roman" w:hAnsi="Times New Roman" w:cs="Times New Roman"/>
        </w:rPr>
        <w:t>A court can dismiss an action for failure to prosecute because there is no evidentiary support under Fed. R. Civ. P. 41.  But its deterrent effect is limited.</w:t>
      </w:r>
      <w:r w:rsidRPr="008D2493">
        <w:rPr>
          <w:rFonts w:ascii="Times New Roman" w:hAnsi="Times New Roman" w:cs="Times New Roman"/>
          <w:i/>
          <w:iCs/>
        </w:rPr>
        <w:t xml:space="preserve"> </w:t>
      </w:r>
      <w:r w:rsidRPr="00027B06">
        <w:rPr>
          <w:rFonts w:ascii="Times New Roman" w:hAnsi="Times New Roman" w:cs="Times New Roman"/>
          <w:i/>
          <w:iCs/>
        </w:rPr>
        <w:t>See</w:t>
      </w:r>
      <w:r>
        <w:rPr>
          <w:rFonts w:ascii="Times New Roman" w:hAnsi="Times New Roman" w:cs="Times New Roman"/>
        </w:rPr>
        <w:t xml:space="preserve">, for example, </w:t>
      </w:r>
      <w:r w:rsidRPr="00027B06">
        <w:rPr>
          <w:rFonts w:ascii="Times New Roman" w:hAnsi="Times New Roman" w:cs="Times New Roman"/>
          <w:i/>
          <w:iCs/>
        </w:rPr>
        <w:t xml:space="preserve">In Re: Acetaminophen – ASD-ADHD Prod. </w:t>
      </w:r>
      <w:proofErr w:type="spellStart"/>
      <w:r w:rsidRPr="00027B06">
        <w:rPr>
          <w:rFonts w:ascii="Times New Roman" w:hAnsi="Times New Roman" w:cs="Times New Roman"/>
          <w:i/>
          <w:iCs/>
        </w:rPr>
        <w:t>Liab</w:t>
      </w:r>
      <w:proofErr w:type="spellEnd"/>
      <w:r w:rsidRPr="00027B06">
        <w:rPr>
          <w:rFonts w:ascii="Times New Roman" w:hAnsi="Times New Roman" w:cs="Times New Roman"/>
          <w:i/>
          <w:iCs/>
        </w:rPr>
        <w:t>. Litig</w:t>
      </w:r>
      <w:r>
        <w:rPr>
          <w:rFonts w:ascii="Times New Roman" w:hAnsi="Times New Roman" w:cs="Times New Roman"/>
        </w:rPr>
        <w:t xml:space="preserve">., MDL No-3043, Order: Plaintiff Fact Sheets, Doc. 56 (March 23, 2023) (Defendants can file a Notice of Deficiency, providing 14 days to respond to cure any deficiencies, providing an additional 14 days after the expiration of the first 14 days to cure any remaining deficiencies and then requesting the court to issue a show cause order why the case should not be dismissed.  The defendant and court must devote substantial time and effort to address individual actions, which cannot be done on scale, and thus the procedure does not provide adequate deterrence against a law firm who files many cases without evidentiary support.); </w:t>
      </w:r>
      <w:r w:rsidRPr="00BD4BFF">
        <w:rPr>
          <w:rFonts w:ascii="Times New Roman" w:hAnsi="Times New Roman" w:cs="Times New Roman"/>
          <w:i/>
          <w:iCs/>
        </w:rPr>
        <w:t xml:space="preserve">see also In Re: Bard </w:t>
      </w:r>
      <w:r>
        <w:rPr>
          <w:rFonts w:ascii="Times New Roman" w:hAnsi="Times New Roman" w:cs="Times New Roman"/>
          <w:i/>
          <w:iCs/>
        </w:rPr>
        <w:t>IVC Filters</w:t>
      </w:r>
      <w:r w:rsidRPr="00BD4BFF">
        <w:rPr>
          <w:rFonts w:ascii="Times New Roman" w:hAnsi="Times New Roman" w:cs="Times New Roman"/>
          <w:i/>
          <w:iCs/>
        </w:rPr>
        <w:t xml:space="preserve"> Prod. </w:t>
      </w:r>
      <w:proofErr w:type="spellStart"/>
      <w:r w:rsidRPr="00BD4BFF">
        <w:rPr>
          <w:rFonts w:ascii="Times New Roman" w:hAnsi="Times New Roman" w:cs="Times New Roman"/>
          <w:i/>
          <w:iCs/>
        </w:rPr>
        <w:t>Liab</w:t>
      </w:r>
      <w:proofErr w:type="spellEnd"/>
      <w:r w:rsidRPr="00BD4BFF">
        <w:rPr>
          <w:rFonts w:ascii="Times New Roman" w:hAnsi="Times New Roman" w:cs="Times New Roman"/>
          <w:i/>
          <w:iCs/>
        </w:rPr>
        <w:t>. Litig.,</w:t>
      </w:r>
      <w:r>
        <w:rPr>
          <w:rFonts w:ascii="Times New Roman" w:hAnsi="Times New Roman" w:cs="Times New Roman"/>
        </w:rPr>
        <w:t xml:space="preserve"> MDL No. 2641 (Case Management Order No. 5 Profile Forms December 17, 2015) (Plaintiff required to submit completed profile form (abbreviated fact sheet) within 60 days of filing; defendant can send a deficiency letter within 14 days of receipt of the profile form; plaintiffs have 20 days to cure the deficiency.) and </w:t>
      </w:r>
      <w:r w:rsidRPr="0060162F">
        <w:rPr>
          <w:rFonts w:ascii="Times New Roman" w:hAnsi="Times New Roman" w:cs="Times New Roman"/>
          <w:i/>
          <w:iCs/>
        </w:rPr>
        <w:t xml:space="preserve">See </w:t>
      </w:r>
      <w:proofErr w:type="gramStart"/>
      <w:r w:rsidRPr="0060162F">
        <w:rPr>
          <w:rFonts w:ascii="Times New Roman" w:hAnsi="Times New Roman" w:cs="Times New Roman"/>
          <w:i/>
          <w:iCs/>
        </w:rPr>
        <w:t>In</w:t>
      </w:r>
      <w:proofErr w:type="gramEnd"/>
      <w:r w:rsidRPr="0060162F">
        <w:rPr>
          <w:rFonts w:ascii="Times New Roman" w:hAnsi="Times New Roman" w:cs="Times New Roman"/>
          <w:i/>
          <w:iCs/>
        </w:rPr>
        <w:t xml:space="preserve"> Re: Bard Implanted </w:t>
      </w:r>
      <w:r>
        <w:rPr>
          <w:rFonts w:ascii="Times New Roman" w:hAnsi="Times New Roman" w:cs="Times New Roman"/>
          <w:i/>
          <w:iCs/>
        </w:rPr>
        <w:t>P</w:t>
      </w:r>
      <w:r w:rsidRPr="0060162F">
        <w:rPr>
          <w:rFonts w:ascii="Times New Roman" w:hAnsi="Times New Roman" w:cs="Times New Roman"/>
          <w:i/>
          <w:iCs/>
        </w:rPr>
        <w:t xml:space="preserve">ort Catheter Prod. </w:t>
      </w:r>
      <w:proofErr w:type="spellStart"/>
      <w:r w:rsidRPr="0060162F">
        <w:rPr>
          <w:rFonts w:ascii="Times New Roman" w:hAnsi="Times New Roman" w:cs="Times New Roman"/>
          <w:i/>
          <w:iCs/>
        </w:rPr>
        <w:t>Liab</w:t>
      </w:r>
      <w:proofErr w:type="spellEnd"/>
      <w:r w:rsidRPr="0060162F">
        <w:rPr>
          <w:rFonts w:ascii="Times New Roman" w:hAnsi="Times New Roman" w:cs="Times New Roman"/>
          <w:i/>
          <w:iCs/>
        </w:rPr>
        <w:t>. Litig</w:t>
      </w:r>
      <w:r>
        <w:rPr>
          <w:rFonts w:ascii="Times New Roman" w:hAnsi="Times New Roman" w:cs="Times New Roman"/>
        </w:rPr>
        <w:t>., MDL No. 3081, Case Management Order No. 8 (Plaintiffs required to submit completed profile form (abbreviated fact sheet) within 30 days of filing; MDL Centrality alerts parties of incomplete submission; plaintiffs have 20 days to cure the deficiency, otherwise show-cause hearing for dismissal).</w:t>
      </w:r>
    </w:p>
  </w:footnote>
  <w:footnote w:id="27">
    <w:p w14:paraId="2B693AE0" w14:textId="77777777" w:rsidR="008A2BA3" w:rsidRPr="00F442CF" w:rsidRDefault="008A2BA3" w:rsidP="00C42045">
      <w:pPr>
        <w:pStyle w:val="FootnoteText"/>
        <w:jc w:val="both"/>
        <w:rPr>
          <w:rFonts w:ascii="Times New Roman" w:hAnsi="Times New Roman" w:cs="Times New Roman"/>
        </w:rPr>
      </w:pPr>
      <w:r>
        <w:rPr>
          <w:rStyle w:val="FootnoteReference"/>
        </w:rPr>
        <w:footnoteRef/>
      </w:r>
      <w:r>
        <w:t xml:space="preserve"> </w:t>
      </w:r>
      <w:r w:rsidRPr="00F442CF">
        <w:rPr>
          <w:rFonts w:ascii="Times New Roman" w:hAnsi="Times New Roman" w:cs="Times New Roman"/>
          <w:i/>
          <w:iCs/>
        </w:rPr>
        <w:t>But see</w:t>
      </w:r>
      <w:r>
        <w:rPr>
          <w:rFonts w:ascii="Times New Roman" w:hAnsi="Times New Roman" w:cs="Times New Roman"/>
        </w:rPr>
        <w:t xml:space="preserve"> comment on proposed new Rule 16.1 submitted to Advisory Committee on Civil Rules by Emily Acosta, a plaintiff lawyer from the Wagstaff law firm (Jan. 2, 2024) (asserting that “Rule 11 empowers a court to impose a broad array of sanctions to deter inappropriate behavior and provides a mechanism for the allegedly offending attorney (or law firm) to correct filings that (arguably) violate the Rule on an expedited basis to avoid the imposition of  sanctions. Put another way, there is no problem raised by commenters, like DRI, that cannot be addressed using Rule 11. To the extent that there is a problem with ‘unsupportable claims,’ the solution is not merely to enact more rules, but rather to enforce those that litigants already have.”</w:t>
      </w:r>
    </w:p>
  </w:footnote>
  <w:footnote w:id="28">
    <w:p w14:paraId="7F047831" w14:textId="77777777" w:rsidR="008A2BA3" w:rsidRPr="008D2493" w:rsidRDefault="008A2BA3" w:rsidP="00C42045">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Leadership </w:t>
      </w:r>
      <w:proofErr w:type="gramStart"/>
      <w:r>
        <w:rPr>
          <w:rFonts w:ascii="Times New Roman" w:hAnsi="Times New Roman" w:cs="Times New Roman"/>
        </w:rPr>
        <w:t>counsel</w:t>
      </w:r>
      <w:proofErr w:type="gramEnd"/>
      <w:r>
        <w:rPr>
          <w:rFonts w:ascii="Times New Roman" w:hAnsi="Times New Roman" w:cs="Times New Roman"/>
        </w:rPr>
        <w:t xml:space="preserve"> are appointed for their skill in reaching agreement with the other side.  Rule 11 motions poison negotiations. </w:t>
      </w:r>
    </w:p>
  </w:footnote>
  <w:footnote w:id="29">
    <w:p w14:paraId="6983E151" w14:textId="77777777" w:rsidR="008A2BA3" w:rsidRDefault="008A2BA3" w:rsidP="00C42045">
      <w:pPr>
        <w:pStyle w:val="FootnoteText"/>
        <w:jc w:val="both"/>
      </w:pPr>
      <w:r>
        <w:rPr>
          <w:rStyle w:val="FootnoteReference"/>
        </w:rPr>
        <w:footnoteRef/>
      </w:r>
      <w:r>
        <w:t xml:space="preserve"> </w:t>
      </w:r>
      <w:r w:rsidRPr="00225CA9">
        <w:rPr>
          <w:rFonts w:ascii="Times New Roman" w:hAnsi="Times New Roman" w:cs="Times New Roman"/>
        </w:rPr>
        <w:t>Fed. R. Civ. P. 11(b) and (c)</w:t>
      </w:r>
      <w:r>
        <w:rPr>
          <w:rFonts w:ascii="Times New Roman" w:hAnsi="Times New Roman" w:cs="Times New Roman"/>
        </w:rPr>
        <w:t xml:space="preserve">, </w:t>
      </w:r>
      <w:r w:rsidRPr="00225CA9">
        <w:rPr>
          <w:rFonts w:ascii="Times New Roman" w:hAnsi="Times New Roman" w:cs="Times New Roman"/>
        </w:rPr>
        <w:t xml:space="preserve">Committee Note </w:t>
      </w:r>
      <w:r>
        <w:rPr>
          <w:rFonts w:ascii="Times New Roman" w:hAnsi="Times New Roman" w:cs="Times New Roman"/>
        </w:rPr>
        <w:t>(</w:t>
      </w:r>
      <w:r w:rsidRPr="00225CA9">
        <w:rPr>
          <w:rFonts w:ascii="Times New Roman" w:hAnsi="Times New Roman" w:cs="Times New Roman"/>
        </w:rPr>
        <w:t>1993)</w:t>
      </w:r>
      <w:r>
        <w:rPr>
          <w:rFonts w:ascii="Times New Roman" w:hAnsi="Times New Roman" w:cs="Times New Roman"/>
        </w:rPr>
        <w:t xml:space="preserve">; </w:t>
      </w:r>
      <w:r w:rsidRPr="0074504C">
        <w:rPr>
          <w:rFonts w:ascii="Times New Roman" w:hAnsi="Times New Roman" w:cs="Times New Roman"/>
          <w:i/>
          <w:iCs/>
        </w:rPr>
        <w:t>see also</w:t>
      </w:r>
      <w:r>
        <w:rPr>
          <w:rFonts w:ascii="Times New Roman" w:hAnsi="Times New Roman" w:cs="Times New Roman"/>
        </w:rPr>
        <w:t xml:space="preserve"> Fed. R. Civ. P. 11 (Committee Note 1983) (“Greater attention by the district courts to pleading and motion abuses and the imposition of sanctions when appropriate, should discourage dilatory or abusive tactics and help to streamline the litigation process by lessening frivolous claims or defenses.”)</w:t>
      </w:r>
    </w:p>
  </w:footnote>
  <w:footnote w:id="30">
    <w:p w14:paraId="0367C176" w14:textId="77777777" w:rsidR="008A2BA3" w:rsidRPr="00223039" w:rsidRDefault="008A2BA3" w:rsidP="00C42045">
      <w:pPr>
        <w:pStyle w:val="FootnoteText"/>
        <w:jc w:val="both"/>
        <w:rPr>
          <w:rFonts w:ascii="Times New Roman" w:hAnsi="Times New Roman" w:cs="Times New Roman"/>
        </w:rPr>
      </w:pPr>
      <w:r>
        <w:rPr>
          <w:rStyle w:val="FootnoteReference"/>
        </w:rPr>
        <w:footnoteRef/>
      </w:r>
      <w:r>
        <w:t xml:space="preserve"> </w:t>
      </w:r>
      <w:r w:rsidRPr="00225CA9">
        <w:rPr>
          <w:rFonts w:ascii="Times New Roman" w:hAnsi="Times New Roman" w:cs="Times New Roman"/>
        </w:rPr>
        <w:t>Fed. R. Civ. P. 11(b) and (c)</w:t>
      </w:r>
      <w:r>
        <w:rPr>
          <w:rFonts w:ascii="Times New Roman" w:hAnsi="Times New Roman" w:cs="Times New Roman"/>
        </w:rPr>
        <w:t xml:space="preserve">, </w:t>
      </w:r>
      <w:r w:rsidRPr="00225CA9">
        <w:rPr>
          <w:rFonts w:ascii="Times New Roman" w:hAnsi="Times New Roman" w:cs="Times New Roman"/>
        </w:rPr>
        <w:t xml:space="preserve">Committee Note </w:t>
      </w:r>
      <w:r>
        <w:rPr>
          <w:rFonts w:ascii="Times New Roman" w:hAnsi="Times New Roman" w:cs="Times New Roman"/>
        </w:rPr>
        <w:t>(</w:t>
      </w:r>
      <w:r w:rsidRPr="00225CA9">
        <w:rPr>
          <w:rFonts w:ascii="Times New Roman" w:hAnsi="Times New Roman" w:cs="Times New Roman"/>
        </w:rPr>
        <w:t>1993)</w:t>
      </w:r>
      <w:r>
        <w:rPr>
          <w:rFonts w:ascii="Times New Roman" w:hAnsi="Times New Roman" w:cs="Times New Roman"/>
        </w:rPr>
        <w:t xml:space="preserve"> (“Since show cause orders will ordinarily be issued only in situations that are akin to a contempt of court, the rule does not provide a ‘safe harbor’ to a litigant for withdrawing a claim, defense, etc., after a show cause order has been issued on the court’s initiative.”); Several circuits have held that a </w:t>
      </w:r>
      <w:proofErr w:type="spellStart"/>
      <w:r w:rsidRPr="00B13A21">
        <w:rPr>
          <w:rFonts w:ascii="Times New Roman" w:hAnsi="Times New Roman" w:cs="Times New Roman"/>
          <w:i/>
          <w:iCs/>
        </w:rPr>
        <w:t>sua</w:t>
      </w:r>
      <w:proofErr w:type="spellEnd"/>
      <w:r w:rsidRPr="00B13A21">
        <w:rPr>
          <w:rFonts w:ascii="Times New Roman" w:hAnsi="Times New Roman" w:cs="Times New Roman"/>
          <w:i/>
          <w:iCs/>
        </w:rPr>
        <w:t xml:space="preserve"> sponte</w:t>
      </w:r>
      <w:r>
        <w:rPr>
          <w:rFonts w:ascii="Times New Roman" w:hAnsi="Times New Roman" w:cs="Times New Roman"/>
        </w:rPr>
        <w:t xml:space="preserve"> sanction under Rule 11 is akin to a contempt of court and requires a showing of subjective bad faith. </w:t>
      </w:r>
      <w:r w:rsidRPr="00B13A21">
        <w:rPr>
          <w:rFonts w:ascii="Times New Roman" w:hAnsi="Times New Roman" w:cs="Times New Roman"/>
          <w:i/>
          <w:iCs/>
        </w:rPr>
        <w:t>In re Pennie &amp; Edmonds LLP</w:t>
      </w:r>
      <w:r>
        <w:rPr>
          <w:rFonts w:ascii="Times New Roman" w:hAnsi="Times New Roman" w:cs="Times New Roman"/>
        </w:rPr>
        <w:t xml:space="preserve">, 323 F.3d86, 90 (2d Cir. 2003); </w:t>
      </w:r>
      <w:r w:rsidRPr="00B13A21">
        <w:rPr>
          <w:rFonts w:ascii="Times New Roman" w:hAnsi="Times New Roman" w:cs="Times New Roman"/>
          <w:i/>
          <w:iCs/>
        </w:rPr>
        <w:t xml:space="preserve">United </w:t>
      </w:r>
      <w:proofErr w:type="spellStart"/>
      <w:r w:rsidRPr="00B13A21">
        <w:rPr>
          <w:rFonts w:ascii="Times New Roman" w:hAnsi="Times New Roman" w:cs="Times New Roman"/>
          <w:i/>
          <w:iCs/>
        </w:rPr>
        <w:t>Nat’l</w:t>
      </w:r>
      <w:proofErr w:type="spellEnd"/>
      <w:r w:rsidRPr="00B13A21">
        <w:rPr>
          <w:rFonts w:ascii="Times New Roman" w:hAnsi="Times New Roman" w:cs="Times New Roman"/>
          <w:i/>
          <w:iCs/>
        </w:rPr>
        <w:t xml:space="preserve"> Ins. Co. v. R &amp; D Latex Corp</w:t>
      </w:r>
      <w:r>
        <w:rPr>
          <w:rFonts w:ascii="Times New Roman" w:hAnsi="Times New Roman" w:cs="Times New Roman"/>
        </w:rPr>
        <w:t>., 242 F.3d 1102, 1115-1116 (9</w:t>
      </w:r>
      <w:r w:rsidRPr="00B13A21">
        <w:rPr>
          <w:rFonts w:ascii="Times New Roman" w:hAnsi="Times New Roman" w:cs="Times New Roman"/>
          <w:vertAlign w:val="superscript"/>
        </w:rPr>
        <w:t>th</w:t>
      </w:r>
      <w:r>
        <w:rPr>
          <w:rFonts w:ascii="Times New Roman" w:hAnsi="Times New Roman" w:cs="Times New Roman"/>
        </w:rPr>
        <w:t xml:space="preserve"> Cir. 2001). Other circuits apply the same standard of objective reasonableness that applies to sanctions imposed after a party moves and the 21-day safe harbor has expired. </w:t>
      </w:r>
      <w:r w:rsidRPr="00B13A21">
        <w:rPr>
          <w:rFonts w:ascii="Times New Roman" w:hAnsi="Times New Roman" w:cs="Times New Roman"/>
          <w:i/>
          <w:iCs/>
        </w:rPr>
        <w:t xml:space="preserve">Young v. City of </w:t>
      </w:r>
      <w:r>
        <w:rPr>
          <w:rFonts w:ascii="Times New Roman" w:hAnsi="Times New Roman" w:cs="Times New Roman"/>
          <w:i/>
          <w:iCs/>
        </w:rPr>
        <w:t>P</w:t>
      </w:r>
      <w:r w:rsidRPr="00B13A21">
        <w:rPr>
          <w:rFonts w:ascii="Times New Roman" w:hAnsi="Times New Roman" w:cs="Times New Roman"/>
          <w:i/>
          <w:iCs/>
        </w:rPr>
        <w:t>rovi</w:t>
      </w:r>
      <w:r>
        <w:rPr>
          <w:rFonts w:ascii="Times New Roman" w:hAnsi="Times New Roman" w:cs="Times New Roman"/>
          <w:i/>
          <w:iCs/>
        </w:rPr>
        <w:t>d</w:t>
      </w:r>
      <w:r w:rsidRPr="00B13A21">
        <w:rPr>
          <w:rFonts w:ascii="Times New Roman" w:hAnsi="Times New Roman" w:cs="Times New Roman"/>
          <w:i/>
          <w:iCs/>
        </w:rPr>
        <w:t>ence</w:t>
      </w:r>
      <w:r>
        <w:rPr>
          <w:rFonts w:ascii="Times New Roman" w:hAnsi="Times New Roman" w:cs="Times New Roman"/>
        </w:rPr>
        <w:t>, 404 F.3d 33, 39-40 (1</w:t>
      </w:r>
      <w:r w:rsidRPr="00B13A21">
        <w:rPr>
          <w:rFonts w:ascii="Times New Roman" w:hAnsi="Times New Roman" w:cs="Times New Roman"/>
          <w:vertAlign w:val="superscript"/>
        </w:rPr>
        <w:t>st</w:t>
      </w:r>
      <w:r>
        <w:rPr>
          <w:rFonts w:ascii="Times New Roman" w:hAnsi="Times New Roman" w:cs="Times New Roman"/>
        </w:rPr>
        <w:t xml:space="preserve"> Cir. 2005); </w:t>
      </w:r>
      <w:r w:rsidRPr="00B13A21">
        <w:rPr>
          <w:rFonts w:ascii="Times New Roman" w:hAnsi="Times New Roman" w:cs="Times New Roman"/>
          <w:i/>
          <w:iCs/>
        </w:rPr>
        <w:t>Lucas v. Duncan,</w:t>
      </w:r>
      <w:r>
        <w:rPr>
          <w:rFonts w:ascii="Times New Roman" w:hAnsi="Times New Roman" w:cs="Times New Roman"/>
        </w:rPr>
        <w:t xml:space="preserve"> 574 F.3d 772, 775-776 (D.C. Cir. 2009)</w:t>
      </w:r>
      <w:r w:rsidRPr="00225CA9">
        <w:rPr>
          <w:rFonts w:ascii="Times New Roman" w:hAnsi="Times New Roman" w:cs="Times New Roman"/>
        </w:rPr>
        <w:t>.</w:t>
      </w:r>
    </w:p>
  </w:footnote>
  <w:footnote w:id="31">
    <w:p w14:paraId="3E7587F6" w14:textId="77777777" w:rsidR="008A2BA3" w:rsidRDefault="008A2BA3" w:rsidP="00C42045">
      <w:pPr>
        <w:pStyle w:val="FootnoteText"/>
        <w:jc w:val="both"/>
      </w:pPr>
      <w:r>
        <w:rPr>
          <w:rStyle w:val="FootnoteReference"/>
        </w:rPr>
        <w:footnoteRef/>
      </w:r>
      <w:r>
        <w:t xml:space="preserve"> </w:t>
      </w:r>
      <w:r w:rsidRPr="00C24F45">
        <w:rPr>
          <w:rFonts w:ascii="Times New Roman" w:hAnsi="Times New Roman" w:cs="Times New Roman"/>
        </w:rPr>
        <w:t>Fed. R. Civ. P. 11(c)(5)(B);</w:t>
      </w:r>
      <w:r>
        <w:t xml:space="preserve"> </w:t>
      </w:r>
      <w:r w:rsidRPr="00225CA9">
        <w:rPr>
          <w:rFonts w:ascii="Times New Roman" w:hAnsi="Times New Roman" w:cs="Times New Roman"/>
        </w:rPr>
        <w:t>Fed. R. Civ. P. 11(b) and (c)</w:t>
      </w:r>
      <w:r>
        <w:rPr>
          <w:rFonts w:ascii="Times New Roman" w:hAnsi="Times New Roman" w:cs="Times New Roman"/>
        </w:rPr>
        <w:t xml:space="preserve">, </w:t>
      </w:r>
      <w:r w:rsidRPr="00225CA9">
        <w:rPr>
          <w:rFonts w:ascii="Times New Roman" w:hAnsi="Times New Roman" w:cs="Times New Roman"/>
        </w:rPr>
        <w:t xml:space="preserve">Committee Note </w:t>
      </w:r>
      <w:r>
        <w:rPr>
          <w:rFonts w:ascii="Times New Roman" w:hAnsi="Times New Roman" w:cs="Times New Roman"/>
        </w:rPr>
        <w:t>(</w:t>
      </w:r>
      <w:r w:rsidRPr="00225CA9">
        <w:rPr>
          <w:rFonts w:ascii="Times New Roman" w:hAnsi="Times New Roman" w:cs="Times New Roman"/>
        </w:rPr>
        <w:t>1993)</w:t>
      </w:r>
      <w:r>
        <w:rPr>
          <w:rFonts w:ascii="Times New Roman" w:hAnsi="Times New Roman" w:cs="Times New Roman"/>
        </w:rPr>
        <w:t xml:space="preserve">; </w:t>
      </w:r>
      <w:r w:rsidRPr="00DA02BC">
        <w:rPr>
          <w:rFonts w:ascii="Times New Roman" w:hAnsi="Times New Roman" w:cs="Times New Roman"/>
          <w:i/>
          <w:iCs/>
        </w:rPr>
        <w:t>see</w:t>
      </w:r>
      <w:r>
        <w:rPr>
          <w:rFonts w:ascii="Times New Roman" w:hAnsi="Times New Roman" w:cs="Times New Roman"/>
        </w:rPr>
        <w:t xml:space="preserve"> </w:t>
      </w:r>
      <w:r w:rsidRPr="00EA5977">
        <w:rPr>
          <w:rFonts w:ascii="Times New Roman" w:hAnsi="Times New Roman" w:cs="Times New Roman"/>
        </w:rPr>
        <w:t>Fed. R. Civ. P. 11(b)(3) (</w:t>
      </w:r>
      <w:r>
        <w:rPr>
          <w:rFonts w:ascii="Times New Roman" w:hAnsi="Times New Roman" w:cs="Times New Roman"/>
        </w:rPr>
        <w:t xml:space="preserve">A lawyer filing a pleading based on information and belief must specifically identify that the factual contentions “will likely have evidentiary support after a reasonable opportunity for further investigation or discovery.”); </w:t>
      </w:r>
      <w:r w:rsidRPr="00AA3B32">
        <w:rPr>
          <w:rFonts w:ascii="Times New Roman" w:hAnsi="Times New Roman" w:cs="Times New Roman"/>
          <w:i/>
          <w:iCs/>
        </w:rPr>
        <w:t>see</w:t>
      </w:r>
      <w:r>
        <w:rPr>
          <w:rFonts w:ascii="Times New Roman" w:hAnsi="Times New Roman" w:cs="Times New Roman"/>
        </w:rPr>
        <w:t xml:space="preserve"> Fed. R. Civ. P. 26(g), Committee Note (1983) (The duty to make a ‘reasonable inquiry’ is satisfied if the investigation undertaken by the attorney and the conclusions drawn therefrom are reasonable under the circumstances.... In making the inquiry, the attorney may rely on assertions by the client and on communications with other counsel in the case </w:t>
      </w:r>
      <w:proofErr w:type="gramStart"/>
      <w:r>
        <w:rPr>
          <w:rFonts w:ascii="Times New Roman" w:hAnsi="Times New Roman" w:cs="Times New Roman"/>
        </w:rPr>
        <w:t>as long as</w:t>
      </w:r>
      <w:proofErr w:type="gramEnd"/>
      <w:r>
        <w:rPr>
          <w:rFonts w:ascii="Times New Roman" w:hAnsi="Times New Roman" w:cs="Times New Roman"/>
        </w:rPr>
        <w:t xml:space="preserve"> that reliance is appropriate under the circumstances.”)</w:t>
      </w:r>
    </w:p>
  </w:footnote>
  <w:footnote w:id="32">
    <w:p w14:paraId="3DEDB5C5" w14:textId="77777777" w:rsidR="008A2BA3" w:rsidRPr="008959E8" w:rsidRDefault="008A2BA3" w:rsidP="00C42045">
      <w:pPr>
        <w:spacing w:after="0"/>
        <w:jc w:val="both"/>
        <w:rPr>
          <w:rFonts w:ascii="Times New Roman" w:hAnsi="Times New Roman" w:cs="Times New Roman"/>
        </w:rPr>
      </w:pPr>
      <w:r w:rsidRPr="008959E8">
        <w:rPr>
          <w:rStyle w:val="FootnoteReference"/>
          <w:rFonts w:ascii="Times New Roman" w:hAnsi="Times New Roman" w:cs="Times New Roman"/>
        </w:rPr>
        <w:footnoteRef/>
      </w:r>
      <w:r w:rsidRPr="008959E8">
        <w:rPr>
          <w:rFonts w:ascii="Times New Roman" w:hAnsi="Times New Roman" w:cs="Times New Roman"/>
        </w:rPr>
        <w:t xml:space="preserve"> </w:t>
      </w:r>
      <w:r w:rsidRPr="0046525A">
        <w:rPr>
          <w:rFonts w:ascii="Times New Roman" w:hAnsi="Times New Roman" w:cs="Times New Roman"/>
          <w:i/>
          <w:iCs/>
          <w:sz w:val="20"/>
          <w:szCs w:val="20"/>
        </w:rPr>
        <w:t>See</w:t>
      </w:r>
      <w:r w:rsidRPr="0046525A">
        <w:rPr>
          <w:rFonts w:ascii="Times New Roman" w:hAnsi="Times New Roman" w:cs="Times New Roman"/>
          <w:sz w:val="20"/>
          <w:szCs w:val="20"/>
        </w:rPr>
        <w:t xml:space="preserve"> </w:t>
      </w:r>
      <w:proofErr w:type="spellStart"/>
      <w:r w:rsidRPr="000A757D">
        <w:rPr>
          <w:rFonts w:ascii="Times New Roman" w:hAnsi="Times New Roman" w:cs="Times New Roman"/>
          <w:i/>
          <w:iCs/>
          <w:sz w:val="20"/>
          <w:szCs w:val="20"/>
        </w:rPr>
        <w:t>Franatovich</w:t>
      </w:r>
      <w:proofErr w:type="spellEnd"/>
      <w:r w:rsidRPr="000A757D">
        <w:rPr>
          <w:rFonts w:ascii="Times New Roman" w:hAnsi="Times New Roman" w:cs="Times New Roman"/>
          <w:i/>
          <w:iCs/>
          <w:sz w:val="20"/>
          <w:szCs w:val="20"/>
        </w:rPr>
        <w:t xml:space="preserve"> v. Allied Trust Ins. Co.,</w:t>
      </w:r>
      <w:r w:rsidRPr="000A757D">
        <w:rPr>
          <w:rFonts w:ascii="Times New Roman" w:eastAsia="Times New Roman" w:hAnsi="Times New Roman" w:cs="Times New Roman"/>
          <w:i/>
          <w:iCs/>
          <w:sz w:val="20"/>
          <w:szCs w:val="20"/>
        </w:rPr>
        <w:t xml:space="preserve"> Civ. Action No. 22-2552, Eastern District of Louisiana</w:t>
      </w:r>
      <w:r w:rsidRPr="000A757D">
        <w:rPr>
          <w:rFonts w:ascii="Times New Roman" w:eastAsia="Times New Roman" w:hAnsi="Times New Roman" w:cs="Times New Roman"/>
          <w:sz w:val="20"/>
          <w:szCs w:val="20"/>
        </w:rPr>
        <w:t xml:space="preserve"> (Mar. 16, 2023)</w:t>
      </w:r>
      <w:r w:rsidRPr="0046525A">
        <w:rPr>
          <w:rFonts w:ascii="Times New Roman" w:eastAsia="Times New Roman" w:hAnsi="Times New Roman" w:cs="Times New Roman"/>
          <w:sz w:val="20"/>
          <w:szCs w:val="20"/>
        </w:rPr>
        <w:t xml:space="preserve"> (</w:t>
      </w:r>
      <w:r w:rsidRPr="0046525A">
        <w:rPr>
          <w:rFonts w:ascii="Times New Roman" w:hAnsi="Times New Roman" w:cs="Times New Roman"/>
          <w:color w:val="4A4A4A"/>
          <w:sz w:val="20"/>
          <w:szCs w:val="20"/>
          <w:shd w:val="clear" w:color="auto" w:fill="FFFFFF"/>
        </w:rPr>
        <w:t xml:space="preserve">court imposes Rule 11 sanction summarily on law firm for filing frivolous actions, among other misconduct); </w:t>
      </w:r>
      <w:r w:rsidRPr="0046525A">
        <w:rPr>
          <w:rFonts w:ascii="Times New Roman" w:hAnsi="Times New Roman" w:cs="Times New Roman"/>
          <w:i/>
          <w:iCs/>
          <w:color w:val="4A4A4A"/>
          <w:sz w:val="20"/>
          <w:szCs w:val="20"/>
          <w:shd w:val="clear" w:color="auto" w:fill="FFFFFF"/>
        </w:rPr>
        <w:t>see</w:t>
      </w:r>
      <w:r w:rsidRPr="0046525A">
        <w:rPr>
          <w:rFonts w:ascii="Times New Roman" w:hAnsi="Times New Roman" w:cs="Times New Roman"/>
          <w:color w:val="4A4A4A"/>
          <w:sz w:val="20"/>
          <w:szCs w:val="20"/>
          <w:shd w:val="clear" w:color="auto" w:fill="FFFFFF"/>
        </w:rPr>
        <w:t xml:space="preserve"> </w:t>
      </w:r>
      <w:r w:rsidRPr="0046525A">
        <w:rPr>
          <w:rFonts w:ascii="Times New Roman" w:hAnsi="Times New Roman" w:cs="Times New Roman"/>
          <w:i/>
          <w:iCs/>
          <w:sz w:val="20"/>
          <w:szCs w:val="20"/>
        </w:rPr>
        <w:t>also</w:t>
      </w:r>
      <w:r w:rsidRPr="0046525A">
        <w:rPr>
          <w:rFonts w:ascii="Times New Roman" w:hAnsi="Times New Roman" w:cs="Times New Roman"/>
          <w:sz w:val="20"/>
          <w:szCs w:val="20"/>
        </w:rPr>
        <w:t xml:space="preserve"> Attachment B to Letter to Hon. Robert E. Keeton, Chairman, from Advisory Committee on Civil Rules (May 1, 1992) ([A]</w:t>
      </w:r>
      <w:proofErr w:type="spellStart"/>
      <w:r w:rsidRPr="0046525A">
        <w:rPr>
          <w:rFonts w:ascii="Times New Roman" w:hAnsi="Times New Roman" w:cs="Times New Roman"/>
          <w:sz w:val="20"/>
          <w:szCs w:val="20"/>
        </w:rPr>
        <w:t>cknowledging</w:t>
      </w:r>
      <w:proofErr w:type="spellEnd"/>
      <w:r w:rsidRPr="0046525A">
        <w:rPr>
          <w:rFonts w:ascii="Times New Roman" w:hAnsi="Times New Roman" w:cs="Times New Roman"/>
          <w:sz w:val="20"/>
          <w:szCs w:val="20"/>
        </w:rPr>
        <w:t xml:space="preserve"> that eliminating the mandatory sanction under Rule 11 would tempt some litigants “to conduct less of a pre-filing investigation than under the current rule.  The Advisory Committee believes that this risk is justified, on balance, by the benefit from the changes.)</w:t>
      </w:r>
    </w:p>
  </w:footnote>
  <w:footnote w:id="33">
    <w:p w14:paraId="63631264" w14:textId="77777777" w:rsidR="008A2BA3" w:rsidRDefault="008A2BA3" w:rsidP="00C42045">
      <w:pPr>
        <w:pStyle w:val="FootnoteText"/>
        <w:jc w:val="both"/>
      </w:pPr>
      <w:r>
        <w:rPr>
          <w:rStyle w:val="FootnoteReference"/>
        </w:rPr>
        <w:footnoteRef/>
      </w:r>
      <w:r>
        <w:t xml:space="preserve"> </w:t>
      </w:r>
      <w:r w:rsidRPr="006831B5">
        <w:rPr>
          <w:rFonts w:ascii="Times New Roman" w:hAnsi="Times New Roman" w:cs="Times New Roman"/>
        </w:rPr>
        <w:t xml:space="preserve">Examples </w:t>
      </w:r>
      <w:r>
        <w:rPr>
          <w:rFonts w:ascii="Times New Roman" w:hAnsi="Times New Roman" w:cs="Times New Roman"/>
        </w:rPr>
        <w:t>of bad faith in instituting or conducting litigation may include: (</w:t>
      </w:r>
      <w:proofErr w:type="spellStart"/>
      <w:r>
        <w:rPr>
          <w:rFonts w:ascii="Times New Roman" w:hAnsi="Times New Roman" w:cs="Times New Roman"/>
        </w:rPr>
        <w:t>i</w:t>
      </w:r>
      <w:proofErr w:type="spellEnd"/>
      <w:r>
        <w:rPr>
          <w:rFonts w:ascii="Times New Roman" w:hAnsi="Times New Roman" w:cs="Times New Roman"/>
        </w:rPr>
        <w:t xml:space="preserve">) plaintiff states that they have no information concerning their exposure to the product; (ii) plaintiff has no medical evidence supporting diagnosis of disease; (iii) plaintiff claims to have used product in a form in which it never existed; and (iv) filing claims on behalf of already deceased plaintiffs.   </w:t>
      </w:r>
      <w:r w:rsidRPr="006831B5">
        <w:rPr>
          <w:rFonts w:ascii="Times New Roman" w:hAnsi="Times New Roman" w:cs="Times New Roman"/>
          <w:i/>
          <w:iCs/>
        </w:rPr>
        <w:t xml:space="preserve">See Paraquat Prod. </w:t>
      </w:r>
      <w:proofErr w:type="spellStart"/>
      <w:r w:rsidRPr="006831B5">
        <w:rPr>
          <w:rFonts w:ascii="Times New Roman" w:hAnsi="Times New Roman" w:cs="Times New Roman"/>
          <w:i/>
          <w:iCs/>
        </w:rPr>
        <w:t>Liab</w:t>
      </w:r>
      <w:proofErr w:type="spellEnd"/>
      <w:r w:rsidRPr="006831B5">
        <w:rPr>
          <w:rFonts w:ascii="Times New Roman" w:hAnsi="Times New Roman" w:cs="Times New Roman"/>
          <w:i/>
          <w:iCs/>
        </w:rPr>
        <w:t>. Litig</w:t>
      </w:r>
      <w:r>
        <w:rPr>
          <w:rFonts w:ascii="Times New Roman" w:hAnsi="Times New Roman" w:cs="Times New Roman"/>
        </w:rPr>
        <w:t xml:space="preserve">., MDL No. 3004, Case Management Order No. 18, fn. 4 (May 15, 2023). </w:t>
      </w:r>
    </w:p>
  </w:footnote>
  <w:footnote w:id="34">
    <w:p w14:paraId="6AC57FA2" w14:textId="77777777" w:rsidR="008A2BA3" w:rsidRPr="006745C3" w:rsidRDefault="008A2BA3" w:rsidP="00C42045">
      <w:pPr>
        <w:pStyle w:val="FootnoteText"/>
        <w:jc w:val="both"/>
        <w:rPr>
          <w:rFonts w:ascii="Times New Roman" w:hAnsi="Times New Roman" w:cs="Times New Roman"/>
        </w:rPr>
      </w:pPr>
      <w:r>
        <w:rPr>
          <w:rStyle w:val="FootnoteReference"/>
        </w:rPr>
        <w:footnoteRef/>
      </w:r>
      <w:r>
        <w:t xml:space="preserve"> </w:t>
      </w:r>
      <w:r w:rsidRPr="006745C3">
        <w:rPr>
          <w:rFonts w:ascii="Times New Roman" w:hAnsi="Times New Roman" w:cs="Times New Roman"/>
          <w:i/>
          <w:iCs/>
        </w:rPr>
        <w:t>See</w:t>
      </w:r>
      <w:r>
        <w:rPr>
          <w:rFonts w:ascii="Times New Roman" w:hAnsi="Times New Roman" w:cs="Times New Roman"/>
        </w:rPr>
        <w:t xml:space="preserve"> Minutes, Civil Rules Committee meeting, page 10 (May 1991) (“Judge </w:t>
      </w:r>
      <w:proofErr w:type="spellStart"/>
      <w:r>
        <w:rPr>
          <w:rFonts w:ascii="Times New Roman" w:hAnsi="Times New Roman" w:cs="Times New Roman"/>
        </w:rPr>
        <w:t>Bertlesman</w:t>
      </w:r>
      <w:proofErr w:type="spellEnd"/>
      <w:r>
        <w:rPr>
          <w:rFonts w:ascii="Times New Roman" w:hAnsi="Times New Roman" w:cs="Times New Roman"/>
        </w:rPr>
        <w:t xml:space="preserve"> (member) reported that he often used warnings (Rule 11 sanctions) to get parties to find necessary proof or withdraw.”)</w:t>
      </w:r>
    </w:p>
  </w:footnote>
  <w:footnote w:id="35">
    <w:p w14:paraId="35BE6CFA" w14:textId="77777777" w:rsidR="008A2BA3" w:rsidRPr="00AA3B32" w:rsidRDefault="008A2BA3" w:rsidP="008A2BA3">
      <w:pPr>
        <w:pStyle w:val="FootnoteText"/>
        <w:jc w:val="both"/>
        <w:rPr>
          <w:rFonts w:ascii="Times New Roman" w:hAnsi="Times New Roman" w:cs="Times New Roman"/>
        </w:rPr>
      </w:pPr>
      <w:r>
        <w:rPr>
          <w:rStyle w:val="FootnoteReference"/>
        </w:rPr>
        <w:footnoteRef/>
      </w:r>
      <w:r>
        <w:t xml:space="preserve"> </w:t>
      </w:r>
      <w:r w:rsidRPr="00256D6A">
        <w:rPr>
          <w:rFonts w:ascii="Times New Roman" w:hAnsi="Times New Roman" w:cs="Times New Roman"/>
          <w:i/>
          <w:iCs/>
        </w:rPr>
        <w:t>See</w:t>
      </w:r>
      <w:r>
        <w:rPr>
          <w:rFonts w:ascii="Times New Roman" w:hAnsi="Times New Roman" w:cs="Times New Roman"/>
        </w:rPr>
        <w:t xml:space="preserve"> Fed. R. Civ. P. 26(g), Committee Note (1983) (“Sanctions to deter discovery abuse would be more effective if they were diligently applied ‘not merely to penalize those whose conduct may be deemed to warrant such a sanction, but to deter those who might be tempted to such conduct in the absence of such a deterrent’....Thus the premise of Rule 26(g) is that imposing sanctions on attorneys who fail to meet the rule’s standards will significantly reduce abuse by imposing disadvantages therefor.”)</w:t>
      </w:r>
    </w:p>
  </w:footnote>
  <w:footnote w:id="36">
    <w:p w14:paraId="656787DD" w14:textId="77777777" w:rsidR="008A2BA3" w:rsidRPr="00225CA9" w:rsidRDefault="008A2BA3" w:rsidP="008A2BA3">
      <w:pPr>
        <w:pStyle w:val="FootnoteText"/>
        <w:jc w:val="both"/>
        <w:rPr>
          <w:rFonts w:ascii="Times New Roman" w:hAnsi="Times New Roman" w:cs="Times New Roman"/>
        </w:rPr>
      </w:pPr>
      <w:r w:rsidRPr="00225CA9">
        <w:rPr>
          <w:rStyle w:val="FootnoteReference"/>
          <w:rFonts w:ascii="Times New Roman" w:hAnsi="Times New Roman" w:cs="Times New Roman"/>
        </w:rPr>
        <w:footnoteRef/>
      </w:r>
      <w:r w:rsidRPr="00225CA9">
        <w:rPr>
          <w:rFonts w:ascii="Times New Roman" w:hAnsi="Times New Roman" w:cs="Times New Roman"/>
        </w:rPr>
        <w:t xml:space="preserve"> Fed. R. Civ. P. 11(b) and (c)</w:t>
      </w:r>
      <w:r>
        <w:rPr>
          <w:rFonts w:ascii="Times New Roman" w:hAnsi="Times New Roman" w:cs="Times New Roman"/>
        </w:rPr>
        <w:t xml:space="preserve">, </w:t>
      </w:r>
      <w:r w:rsidRPr="00225CA9">
        <w:rPr>
          <w:rFonts w:ascii="Times New Roman" w:hAnsi="Times New Roman" w:cs="Times New Roman"/>
        </w:rPr>
        <w:t xml:space="preserve">Committee Note </w:t>
      </w:r>
      <w:r>
        <w:rPr>
          <w:rFonts w:ascii="Times New Roman" w:hAnsi="Times New Roman" w:cs="Times New Roman"/>
        </w:rPr>
        <w:t>(</w:t>
      </w:r>
      <w:r w:rsidRPr="00225CA9">
        <w:rPr>
          <w:rFonts w:ascii="Times New Roman" w:hAnsi="Times New Roman" w:cs="Times New Roman"/>
        </w:rPr>
        <w:t>1993)</w:t>
      </w:r>
      <w:r>
        <w:rPr>
          <w:rFonts w:ascii="Times New Roman" w:hAnsi="Times New Roman" w:cs="Times New Roman"/>
        </w:rPr>
        <w:t xml:space="preserve">; </w:t>
      </w:r>
      <w:r w:rsidRPr="00816574">
        <w:rPr>
          <w:rFonts w:ascii="Times New Roman" w:hAnsi="Times New Roman" w:cs="Times New Roman"/>
          <w:i/>
          <w:iCs/>
        </w:rPr>
        <w:t>see</w:t>
      </w:r>
      <w:r>
        <w:rPr>
          <w:rFonts w:ascii="Times New Roman" w:hAnsi="Times New Roman" w:cs="Times New Roman"/>
        </w:rPr>
        <w:t xml:space="preserve"> Fed. R. Civ. P. 11(c)(4); see also Fed. R. Civ. P. 11(b) and (c) (Committee Note 1993 (“This restriction (involving frivolous contentions of law) does not limit the court’s power to impose sanctions or remedial orders that may have collateral financial consequences upon a party, such as dismissal of a claim, preclusion of a defense, or reparation of amended pleadings.”)</w:t>
      </w:r>
    </w:p>
  </w:footnote>
  <w:footnote w:id="37">
    <w:p w14:paraId="4FD40958" w14:textId="77777777" w:rsidR="008A2BA3" w:rsidRPr="00837973" w:rsidRDefault="008A2BA3" w:rsidP="008A2BA3">
      <w:pPr>
        <w:pStyle w:val="FootnoteText"/>
        <w:jc w:val="both"/>
        <w:rPr>
          <w:rFonts w:ascii="Times New Roman" w:hAnsi="Times New Roman" w:cs="Times New Roman"/>
        </w:rPr>
      </w:pPr>
      <w:r>
        <w:rPr>
          <w:rStyle w:val="FootnoteReference"/>
        </w:rPr>
        <w:footnoteRef/>
      </w:r>
      <w:r>
        <w:t xml:space="preserve"> </w:t>
      </w:r>
      <w:r>
        <w:rPr>
          <w:rFonts w:ascii="Times New Roman" w:hAnsi="Times New Roman" w:cs="Times New Roman"/>
        </w:rPr>
        <w:t xml:space="preserve">Fed. R. Civ. P. 11(c)(4), “A sanction imposed under this rule must be limited to what suffices to deter repetition of the conduct or comparable conduct by others similarly situated.”  In mass-tort MDLs, law firms often manage inventories of actions referred to them, which can consist of hundreds or thousands of individual actions.  Unless the sanction for filing a meritless action is consequential, </w:t>
      </w:r>
      <w:r w:rsidRPr="00DF4137">
        <w:rPr>
          <w:rFonts w:ascii="Times New Roman" w:hAnsi="Times New Roman" w:cs="Times New Roman"/>
          <w:i/>
          <w:iCs/>
        </w:rPr>
        <w:t>e.g.,</w:t>
      </w:r>
      <w:r>
        <w:rPr>
          <w:rFonts w:ascii="Times New Roman" w:hAnsi="Times New Roman" w:cs="Times New Roman"/>
        </w:rPr>
        <w:t xml:space="preserve"> $10,000 (or more) fine, the deterrence will not be effective.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BA3"/>
    <w:rsid w:val="008A2BA3"/>
    <w:rsid w:val="00C42045"/>
    <w:rsid w:val="00C6173E"/>
    <w:rsid w:val="00C624D6"/>
    <w:rsid w:val="00C654FF"/>
    <w:rsid w:val="00C95781"/>
    <w:rsid w:val="00C971A6"/>
    <w:rsid w:val="00CA19A7"/>
    <w:rsid w:val="00F3743F"/>
    <w:rsid w:val="00F709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D730A7"/>
  <w15:chartTrackingRefBased/>
  <w15:docId w15:val="{C904EB4A-5BA8-4661-9459-8BFEF0007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2BA3"/>
    <w:rPr>
      <w:kern w:val="0"/>
      <w14:ligatures w14:val="none"/>
    </w:rPr>
  </w:style>
  <w:style w:type="paragraph" w:styleId="Heading1">
    <w:name w:val="heading 1"/>
    <w:basedOn w:val="Normal"/>
    <w:next w:val="Normal"/>
    <w:link w:val="Heading1Char"/>
    <w:uiPriority w:val="9"/>
    <w:qFormat/>
    <w:rsid w:val="008A2BA3"/>
    <w:pPr>
      <w:keepNext/>
      <w:keepLines/>
      <w:spacing w:before="360" w:after="80"/>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8A2BA3"/>
    <w:pPr>
      <w:keepNext/>
      <w:keepLines/>
      <w:spacing w:before="160" w:after="80"/>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8A2BA3"/>
    <w:pPr>
      <w:keepNext/>
      <w:keepLines/>
      <w:spacing w:before="160" w:after="80"/>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8A2BA3"/>
    <w:pPr>
      <w:keepNext/>
      <w:keepLines/>
      <w:spacing w:before="80" w:after="40"/>
      <w:outlineLvl w:val="3"/>
    </w:pPr>
    <w:rPr>
      <w:rFonts w:eastAsiaTheme="majorEastAsia"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8A2BA3"/>
    <w:pPr>
      <w:keepNext/>
      <w:keepLines/>
      <w:spacing w:before="80" w:after="40"/>
      <w:outlineLvl w:val="4"/>
    </w:pPr>
    <w:rPr>
      <w:rFonts w:eastAsiaTheme="majorEastAsia"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8A2BA3"/>
    <w:pPr>
      <w:keepNext/>
      <w:keepLines/>
      <w:spacing w:before="40" w:after="0"/>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8A2BA3"/>
    <w:pPr>
      <w:keepNext/>
      <w:keepLines/>
      <w:spacing w:before="40" w:after="0"/>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8A2BA3"/>
    <w:pPr>
      <w:keepNext/>
      <w:keepLines/>
      <w:spacing w:after="0"/>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8A2BA3"/>
    <w:pPr>
      <w:keepNext/>
      <w:keepLines/>
      <w:spacing w:after="0"/>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A2BA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A2BA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A2BA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A2BA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A2BA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A2BA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A2BA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A2BA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A2BA3"/>
    <w:rPr>
      <w:rFonts w:eastAsiaTheme="majorEastAsia" w:cstheme="majorBidi"/>
      <w:color w:val="272727" w:themeColor="text1" w:themeTint="D8"/>
    </w:rPr>
  </w:style>
  <w:style w:type="paragraph" w:styleId="Title">
    <w:name w:val="Title"/>
    <w:basedOn w:val="Normal"/>
    <w:next w:val="Normal"/>
    <w:link w:val="TitleChar"/>
    <w:uiPriority w:val="10"/>
    <w:qFormat/>
    <w:rsid w:val="008A2BA3"/>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8A2BA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A2BA3"/>
    <w:pPr>
      <w:numPr>
        <w:ilvl w:val="1"/>
      </w:numPr>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8A2BA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A2BA3"/>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8A2BA3"/>
    <w:rPr>
      <w:i/>
      <w:iCs/>
      <w:color w:val="404040" w:themeColor="text1" w:themeTint="BF"/>
    </w:rPr>
  </w:style>
  <w:style w:type="paragraph" w:styleId="ListParagraph">
    <w:name w:val="List Paragraph"/>
    <w:basedOn w:val="Normal"/>
    <w:uiPriority w:val="34"/>
    <w:qFormat/>
    <w:rsid w:val="008A2BA3"/>
    <w:pPr>
      <w:ind w:left="720"/>
      <w:contextualSpacing/>
    </w:pPr>
    <w:rPr>
      <w:kern w:val="2"/>
      <w14:ligatures w14:val="standardContextual"/>
    </w:rPr>
  </w:style>
  <w:style w:type="character" w:styleId="IntenseEmphasis">
    <w:name w:val="Intense Emphasis"/>
    <w:basedOn w:val="DefaultParagraphFont"/>
    <w:uiPriority w:val="21"/>
    <w:qFormat/>
    <w:rsid w:val="008A2BA3"/>
    <w:rPr>
      <w:i/>
      <w:iCs/>
      <w:color w:val="0F4761" w:themeColor="accent1" w:themeShade="BF"/>
    </w:rPr>
  </w:style>
  <w:style w:type="paragraph" w:styleId="IntenseQuote">
    <w:name w:val="Intense Quote"/>
    <w:basedOn w:val="Normal"/>
    <w:next w:val="Normal"/>
    <w:link w:val="IntenseQuoteChar"/>
    <w:uiPriority w:val="30"/>
    <w:qFormat/>
    <w:rsid w:val="008A2BA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8A2BA3"/>
    <w:rPr>
      <w:i/>
      <w:iCs/>
      <w:color w:val="0F4761" w:themeColor="accent1" w:themeShade="BF"/>
    </w:rPr>
  </w:style>
  <w:style w:type="character" w:styleId="IntenseReference">
    <w:name w:val="Intense Reference"/>
    <w:basedOn w:val="DefaultParagraphFont"/>
    <w:uiPriority w:val="32"/>
    <w:qFormat/>
    <w:rsid w:val="008A2BA3"/>
    <w:rPr>
      <w:b/>
      <w:bCs/>
      <w:smallCaps/>
      <w:color w:val="0F4761" w:themeColor="accent1" w:themeShade="BF"/>
      <w:spacing w:val="5"/>
    </w:rPr>
  </w:style>
  <w:style w:type="paragraph" w:styleId="FootnoteText">
    <w:name w:val="footnote text"/>
    <w:basedOn w:val="Normal"/>
    <w:link w:val="FootnoteTextChar"/>
    <w:uiPriority w:val="99"/>
    <w:semiHidden/>
    <w:unhideWhenUsed/>
    <w:rsid w:val="008A2BA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A2BA3"/>
    <w:rPr>
      <w:kern w:val="0"/>
      <w:sz w:val="20"/>
      <w:szCs w:val="20"/>
      <w14:ligatures w14:val="none"/>
    </w:rPr>
  </w:style>
  <w:style w:type="character" w:styleId="FootnoteReference">
    <w:name w:val="footnote reference"/>
    <w:basedOn w:val="DefaultParagraphFont"/>
    <w:uiPriority w:val="99"/>
    <w:semiHidden/>
    <w:unhideWhenUsed/>
    <w:rsid w:val="008A2BA3"/>
    <w:rPr>
      <w:vertAlign w:val="superscript"/>
    </w:rPr>
  </w:style>
  <w:style w:type="paragraph" w:styleId="NoSpacing">
    <w:name w:val="No Spacing"/>
    <w:uiPriority w:val="1"/>
    <w:qFormat/>
    <w:rsid w:val="008A2BA3"/>
    <w:pPr>
      <w:spacing w:after="0" w:line="240" w:lineRule="auto"/>
    </w:pPr>
    <w:rPr>
      <w:rFonts w:ascii="Times New Roman" w:hAnsi="Times New Roman"/>
      <w:kern w:val="0"/>
      <w:sz w:val="24"/>
      <w14:ligatures w14:val="none"/>
    </w:rPr>
  </w:style>
  <w:style w:type="character" w:styleId="Hyperlink">
    <w:name w:val="Hyperlink"/>
    <w:basedOn w:val="DefaultParagraphFont"/>
    <w:uiPriority w:val="99"/>
    <w:unhideWhenUsed/>
    <w:rsid w:val="008A2BA3"/>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s://rabiejcenter.org/events/special-invitation-only-mdl-unsupportable-claims-bench-bar-worksh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12</Pages>
  <Words>2988</Words>
  <Characters>17036</Characters>
  <Application>Microsoft Office Word</Application>
  <DocSecurity>0</DocSecurity>
  <Lines>141</Lines>
  <Paragraphs>39</Paragraphs>
  <ScaleCrop>false</ScaleCrop>
  <Company/>
  <LinksUpToDate>false</LinksUpToDate>
  <CharactersWithSpaces>19985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Rabiej</dc:creator>
  <cp:keywords/>
  <dc:description/>
  <cp:lastModifiedBy>John Rabiej</cp:lastModifiedBy>
  <cp:revision>3</cp:revision>
  <cp:lastPrinted>2024-07-30T17:42:00Z</cp:lastPrinted>
  <dcterms:created xsi:type="dcterms:W3CDTF">2024-07-30T17:36:00Z</dcterms:created>
  <dcterms:modified xsi:type="dcterms:W3CDTF">2024-07-30T17:44:00Z</dcterms:modified>
</cp:coreProperties>
</file>