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46909" w14:textId="77777777" w:rsidR="00F640D6" w:rsidRDefault="00F640D6" w:rsidP="00F640D6">
      <w:pPr>
        <w:spacing w:after="0" w:line="240" w:lineRule="auto"/>
        <w:rPr>
          <w:rFonts w:ascii="Century Schoolbook" w:hAnsi="Century Schoolbook"/>
          <w:b/>
          <w:bCs/>
        </w:rPr>
      </w:pPr>
      <w:r>
        <w:rPr>
          <w:noProof/>
        </w:rPr>
        <w:drawing>
          <wp:inline distT="0" distB="0" distL="0" distR="0" wp14:anchorId="7F092CC2" wp14:editId="1E071A4C">
            <wp:extent cx="5943600" cy="828675"/>
            <wp:effectExtent l="0" t="0" r="0" b="9525"/>
            <wp:docPr id="5" name="Picture 5" descr="Graphical user interface, 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imeline&#10;&#10;Description automatically generated with medium confidence"/>
                    <pic:cNvPicPr>
                      <a:picLocks noChangeAspect="1" noChangeArrowheads="1"/>
                    </pic:cNvPicPr>
                  </pic:nvPicPr>
                  <pic:blipFill rotWithShape="1">
                    <a:blip r:embed="rId4">
                      <a:extLst>
                        <a:ext uri="{28A0092B-C50C-407E-A947-70E740481C1C}">
                          <a14:useLocalDpi xmlns:a14="http://schemas.microsoft.com/office/drawing/2010/main" val="0"/>
                        </a:ext>
                      </a:extLst>
                    </a:blip>
                    <a:srcRect l="-481" t="18882" r="481" b="63826"/>
                    <a:stretch/>
                  </pic:blipFill>
                  <pic:spPr bwMode="auto">
                    <a:xfrm>
                      <a:off x="0" y="0"/>
                      <a:ext cx="5943600" cy="828675"/>
                    </a:xfrm>
                    <a:prstGeom prst="rect">
                      <a:avLst/>
                    </a:prstGeom>
                    <a:noFill/>
                    <a:ln>
                      <a:noFill/>
                    </a:ln>
                    <a:extLst>
                      <a:ext uri="{53640926-AAD7-44D8-BBD7-CCE9431645EC}">
                        <a14:shadowObscured xmlns:a14="http://schemas.microsoft.com/office/drawing/2010/main"/>
                      </a:ext>
                    </a:extLst>
                  </pic:spPr>
                </pic:pic>
              </a:graphicData>
            </a:graphic>
          </wp:inline>
        </w:drawing>
      </w:r>
    </w:p>
    <w:p w14:paraId="403E51AA" w14:textId="77777777" w:rsidR="00F640D6" w:rsidRDefault="00F640D6" w:rsidP="00F640D6">
      <w:pPr>
        <w:spacing w:after="0" w:line="240" w:lineRule="auto"/>
        <w:rPr>
          <w:rFonts w:ascii="Century Schoolbook" w:hAnsi="Century Schoolbook"/>
          <w:b/>
          <w:bCs/>
        </w:rPr>
      </w:pPr>
    </w:p>
    <w:p w14:paraId="31CFC6F8" w14:textId="77777777" w:rsidR="00F640D6" w:rsidRDefault="00F640D6" w:rsidP="00F640D6">
      <w:pPr>
        <w:spacing w:after="0" w:line="240" w:lineRule="auto"/>
        <w:jc w:val="center"/>
        <w:rPr>
          <w:rFonts w:ascii="Century Schoolbook" w:hAnsi="Century Schoolbook"/>
          <w:b/>
          <w:bCs/>
        </w:rPr>
      </w:pPr>
      <w:r>
        <w:rPr>
          <w:rFonts w:ascii="Century Schoolbook" w:hAnsi="Century Schoolbook"/>
          <w:b/>
          <w:bCs/>
        </w:rPr>
        <w:t xml:space="preserve">Summary of Panelists Speaking at </w:t>
      </w:r>
      <w:r w:rsidRPr="00FA5CC4">
        <w:rPr>
          <w:rFonts w:ascii="Century Schoolbook" w:hAnsi="Century Schoolbook"/>
          <w:b/>
          <w:bCs/>
        </w:rPr>
        <w:t xml:space="preserve">Mass-Tort MDL </w:t>
      </w:r>
      <w:r>
        <w:rPr>
          <w:rFonts w:ascii="Century Schoolbook" w:hAnsi="Century Schoolbook"/>
          <w:b/>
          <w:bCs/>
        </w:rPr>
        <w:t xml:space="preserve">Flash Points </w:t>
      </w:r>
      <w:r w:rsidRPr="00FA5CC4">
        <w:rPr>
          <w:rFonts w:ascii="Century Schoolbook" w:hAnsi="Century Schoolbook"/>
          <w:b/>
          <w:bCs/>
        </w:rPr>
        <w:t xml:space="preserve">Conference </w:t>
      </w:r>
      <w:r>
        <w:rPr>
          <w:rFonts w:ascii="Century Schoolbook" w:hAnsi="Century Schoolbook"/>
          <w:b/>
          <w:bCs/>
        </w:rPr>
        <w:t>Northwestern University Pritzker School of Law</w:t>
      </w:r>
    </w:p>
    <w:p w14:paraId="0B10D444" w14:textId="77777777" w:rsidR="00F640D6" w:rsidRDefault="00F640D6" w:rsidP="00F640D6">
      <w:pPr>
        <w:spacing w:after="0" w:line="240" w:lineRule="auto"/>
        <w:jc w:val="center"/>
        <w:rPr>
          <w:rFonts w:ascii="Century Schoolbook" w:hAnsi="Century Schoolbook"/>
          <w:b/>
          <w:bCs/>
        </w:rPr>
      </w:pPr>
      <w:r w:rsidRPr="00FA5CC4">
        <w:rPr>
          <w:rFonts w:ascii="Century Schoolbook" w:hAnsi="Century Schoolbook"/>
          <w:b/>
          <w:bCs/>
        </w:rPr>
        <w:t>October 2021</w:t>
      </w:r>
    </w:p>
    <w:p w14:paraId="1FABE2B6" w14:textId="77777777" w:rsidR="00F640D6" w:rsidRPr="00FA5CC4" w:rsidRDefault="00F640D6" w:rsidP="00F640D6">
      <w:pPr>
        <w:spacing w:after="0" w:line="240" w:lineRule="auto"/>
        <w:rPr>
          <w:rFonts w:ascii="Century Schoolbook" w:hAnsi="Century Schoolbook"/>
          <w:b/>
          <w:bCs/>
        </w:rPr>
      </w:pPr>
    </w:p>
    <w:p w14:paraId="58E2D8AA" w14:textId="77777777" w:rsidR="00F640D6" w:rsidRDefault="00F640D6" w:rsidP="00F640D6">
      <w:pPr>
        <w:spacing w:after="0" w:line="240" w:lineRule="auto"/>
        <w:rPr>
          <w:rFonts w:ascii="Century Schoolbook" w:hAnsi="Century Schoolbook"/>
        </w:rPr>
      </w:pPr>
    </w:p>
    <w:p w14:paraId="119EE407" w14:textId="77777777" w:rsidR="00F640D6" w:rsidRDefault="00F640D6" w:rsidP="00F640D6">
      <w:pPr>
        <w:spacing w:after="0" w:line="240" w:lineRule="auto"/>
        <w:rPr>
          <w:rFonts w:ascii="Century Schoolbook" w:hAnsi="Century Schoolbook"/>
          <w:b/>
          <w:bCs/>
        </w:rPr>
      </w:pPr>
      <w:r w:rsidRPr="00B300A5">
        <w:rPr>
          <w:rFonts w:ascii="Century Schoolbook" w:hAnsi="Century Schoolbook"/>
          <w:b/>
          <w:bCs/>
        </w:rPr>
        <w:t xml:space="preserve">Panel 3 – Census </w:t>
      </w:r>
      <w:r>
        <w:rPr>
          <w:rFonts w:ascii="Century Schoolbook" w:hAnsi="Century Schoolbook"/>
          <w:b/>
          <w:bCs/>
        </w:rPr>
        <w:t>O</w:t>
      </w:r>
      <w:r w:rsidRPr="00B300A5">
        <w:rPr>
          <w:rFonts w:ascii="Century Schoolbook" w:hAnsi="Century Schoolbook"/>
          <w:b/>
          <w:bCs/>
        </w:rPr>
        <w:t>rders, Preemption, and Daubert</w:t>
      </w:r>
    </w:p>
    <w:p w14:paraId="179E9419" w14:textId="77777777" w:rsidR="00F640D6" w:rsidRPr="00B300A5" w:rsidRDefault="00F640D6" w:rsidP="00F640D6">
      <w:pPr>
        <w:spacing w:after="0" w:line="240" w:lineRule="auto"/>
        <w:rPr>
          <w:rFonts w:ascii="Century Schoolbook" w:hAnsi="Century Schoolbook"/>
          <w:b/>
          <w:bCs/>
        </w:rPr>
      </w:pPr>
    </w:p>
    <w:p w14:paraId="39A4355C" w14:textId="0F81655C" w:rsidR="00F640D6" w:rsidRPr="00F640D6" w:rsidRDefault="00F640D6" w:rsidP="00F640D6">
      <w:pPr>
        <w:spacing w:after="0" w:line="240" w:lineRule="auto"/>
        <w:jc w:val="center"/>
        <w:textAlignment w:val="baseline"/>
        <w:rPr>
          <w:rFonts w:ascii="Times New Roman" w:eastAsia="Times New Roman" w:hAnsi="Times New Roman" w:cs="Times New Roman"/>
          <w:sz w:val="24"/>
          <w:szCs w:val="24"/>
        </w:rPr>
      </w:pPr>
      <w:r w:rsidRPr="00F640D6">
        <w:rPr>
          <w:rFonts w:ascii="Times New Roman" w:eastAsia="Times New Roman" w:hAnsi="Times New Roman" w:cs="Times New Roman"/>
          <w:sz w:val="24"/>
          <w:szCs w:val="24"/>
        </w:rPr>
        <w:t>******</w:t>
      </w:r>
    </w:p>
    <w:p w14:paraId="37865AC5" w14:textId="77777777" w:rsidR="00F640D6" w:rsidRDefault="00F640D6" w:rsidP="00F640D6">
      <w:pPr>
        <w:spacing w:after="0" w:line="240" w:lineRule="auto"/>
        <w:rPr>
          <w:rFonts w:ascii="Times New Roman" w:eastAsia="Times New Roman" w:hAnsi="Times New Roman" w:cs="Times New Roman"/>
          <w:sz w:val="24"/>
          <w:szCs w:val="24"/>
        </w:rPr>
      </w:pPr>
    </w:p>
    <w:p w14:paraId="3854FD8D" w14:textId="77777777" w:rsidR="00F640D6" w:rsidRDefault="00F640D6" w:rsidP="00F640D6">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II.</w:t>
      </w:r>
      <w:r>
        <w:rPr>
          <w:rFonts w:ascii="Times New Roman" w:eastAsia="Times New Roman" w:hAnsi="Times New Roman" w:cs="Times New Roman"/>
          <w:sz w:val="24"/>
          <w:szCs w:val="24"/>
          <w:u w:val="single"/>
        </w:rPr>
        <w:tab/>
      </w:r>
      <w:r w:rsidRPr="00576A7F">
        <w:rPr>
          <w:rFonts w:ascii="Times New Roman" w:eastAsia="Times New Roman" w:hAnsi="Times New Roman" w:cs="Times New Roman"/>
          <w:sz w:val="24"/>
          <w:szCs w:val="24"/>
          <w:u w:val="single"/>
        </w:rPr>
        <w:t>Daubert</w:t>
      </w:r>
      <w:r>
        <w:rPr>
          <w:rFonts w:ascii="Times New Roman" w:eastAsia="Times New Roman" w:hAnsi="Times New Roman" w:cs="Times New Roman"/>
          <w:sz w:val="24"/>
          <w:szCs w:val="24"/>
        </w:rPr>
        <w:t xml:space="preserve"> </w:t>
      </w:r>
    </w:p>
    <w:p w14:paraId="2F8FD6BA" w14:textId="77777777" w:rsidR="00F640D6" w:rsidRDefault="00F640D6" w:rsidP="00F640D6">
      <w:pPr>
        <w:spacing w:after="0" w:line="240" w:lineRule="auto"/>
        <w:jc w:val="both"/>
        <w:textAlignment w:val="baseline"/>
        <w:rPr>
          <w:rFonts w:ascii="Times New Roman" w:eastAsia="Times New Roman" w:hAnsi="Times New Roman" w:cs="Times New Roman"/>
          <w:sz w:val="24"/>
          <w:szCs w:val="24"/>
        </w:rPr>
      </w:pPr>
    </w:p>
    <w:p w14:paraId="3C2D6281" w14:textId="77777777" w:rsidR="00F640D6" w:rsidRDefault="00F640D6" w:rsidP="00F640D6">
      <w:pPr>
        <w:spacing w:after="0" w:line="240" w:lineRule="auto"/>
        <w:jc w:val="both"/>
        <w:textAlignment w:val="baseline"/>
        <w:rPr>
          <w:rFonts w:ascii="Times New Roman" w:eastAsia="Times New Roman" w:hAnsi="Times New Roman" w:cs="Times New Roman"/>
          <w:sz w:val="24"/>
          <w:szCs w:val="24"/>
        </w:rPr>
      </w:pPr>
      <w:r w:rsidRPr="00576A7F">
        <w:rPr>
          <w:rFonts w:ascii="Times New Roman" w:eastAsia="Times New Roman" w:hAnsi="Times New Roman" w:cs="Times New Roman"/>
          <w:sz w:val="24"/>
          <w:szCs w:val="24"/>
          <w:u w:val="single"/>
        </w:rPr>
        <w:t>Daubert</w:t>
      </w:r>
      <w:r>
        <w:rPr>
          <w:rFonts w:ascii="Times New Roman" w:eastAsia="Times New Roman" w:hAnsi="Times New Roman" w:cs="Times New Roman"/>
          <w:sz w:val="24"/>
          <w:szCs w:val="24"/>
        </w:rPr>
        <w:t xml:space="preserve"> -- I do think the costs of Daubert are extraordinary and I think a lot of that is borne out because of the volume of documents and pharmaceutical case by way of example. </w:t>
      </w:r>
      <w:r w:rsidRPr="00AD1120">
        <w:rPr>
          <w:rFonts w:ascii="Times New Roman" w:eastAsia="Times New Roman" w:hAnsi="Times New Roman" w:cs="Times New Roman"/>
          <w:sz w:val="24"/>
          <w:szCs w:val="24"/>
          <w:highlight w:val="yellow"/>
        </w:rPr>
        <w:t xml:space="preserve">Your regulatory experts are not just </w:t>
      </w:r>
      <w:proofErr w:type="gramStart"/>
      <w:r w:rsidRPr="00AD1120">
        <w:rPr>
          <w:rFonts w:ascii="Times New Roman" w:eastAsia="Times New Roman" w:hAnsi="Times New Roman" w:cs="Times New Roman"/>
          <w:sz w:val="24"/>
          <w:szCs w:val="24"/>
          <w:highlight w:val="yellow"/>
        </w:rPr>
        <w:t>looking</w:t>
      </w:r>
      <w:proofErr w:type="gramEnd"/>
      <w:r w:rsidRPr="00AD1120">
        <w:rPr>
          <w:rFonts w:ascii="Times New Roman" w:eastAsia="Times New Roman" w:hAnsi="Times New Roman" w:cs="Times New Roman"/>
          <w:sz w:val="24"/>
          <w:szCs w:val="24"/>
          <w:highlight w:val="yellow"/>
        </w:rPr>
        <w:t xml:space="preserve"> Jane Doe's medical records and her subsequent treatment and her pharmacy history, but they're looking at a pharmaceutical company or companies: NDA's, INDA's, entire regulatory files, and internal documents. So. you're looking at millions and millions of pages that certain experts </w:t>
      </w:r>
      <w:proofErr w:type="gramStart"/>
      <w:r w:rsidRPr="00AD1120">
        <w:rPr>
          <w:rFonts w:ascii="Times New Roman" w:eastAsia="Times New Roman" w:hAnsi="Times New Roman" w:cs="Times New Roman"/>
          <w:sz w:val="24"/>
          <w:szCs w:val="24"/>
          <w:highlight w:val="yellow"/>
        </w:rPr>
        <w:t>have to</w:t>
      </w:r>
      <w:proofErr w:type="gramEnd"/>
      <w:r w:rsidRPr="00AD1120">
        <w:rPr>
          <w:rFonts w:ascii="Times New Roman" w:eastAsia="Times New Roman" w:hAnsi="Times New Roman" w:cs="Times New Roman"/>
          <w:sz w:val="24"/>
          <w:szCs w:val="24"/>
          <w:highlight w:val="yellow"/>
        </w:rPr>
        <w:t> digest, understand, and issue an opinion</w:t>
      </w:r>
      <w:r>
        <w:rPr>
          <w:rFonts w:ascii="Times New Roman" w:eastAsia="Times New Roman" w:hAnsi="Times New Roman" w:cs="Times New Roman"/>
          <w:sz w:val="24"/>
          <w:szCs w:val="24"/>
        </w:rPr>
        <w:t xml:space="preserve"> on. So, to answer your question, it's millions of dollars between reports and depositions and then Daubert challenges. </w:t>
      </w:r>
    </w:p>
    <w:p w14:paraId="3428CCE6" w14:textId="77777777" w:rsidR="00F640D6" w:rsidRDefault="00F640D6" w:rsidP="00F640D6">
      <w:pPr>
        <w:spacing w:after="0" w:line="240" w:lineRule="auto"/>
        <w:jc w:val="both"/>
        <w:textAlignment w:val="baseline"/>
        <w:rPr>
          <w:rFonts w:ascii="Times New Roman" w:eastAsia="Times New Roman" w:hAnsi="Times New Roman" w:cs="Times New Roman"/>
          <w:sz w:val="24"/>
          <w:szCs w:val="24"/>
        </w:rPr>
      </w:pPr>
    </w:p>
    <w:p w14:paraId="1C496BD3" w14:textId="77777777" w:rsidR="00F640D6" w:rsidRDefault="00F640D6" w:rsidP="00F640D6">
      <w:pPr>
        <w:spacing w:after="0" w:line="240" w:lineRule="auto"/>
        <w:jc w:val="both"/>
        <w:textAlignment w:val="baseline"/>
        <w:rPr>
          <w:rFonts w:ascii="Times New Roman" w:eastAsia="Times New Roman" w:hAnsi="Times New Roman" w:cs="Times New Roman"/>
          <w:sz w:val="24"/>
          <w:szCs w:val="24"/>
        </w:rPr>
      </w:pPr>
      <w:r w:rsidRPr="00AD1120">
        <w:rPr>
          <w:rFonts w:ascii="Times New Roman" w:eastAsia="Times New Roman" w:hAnsi="Times New Roman" w:cs="Times New Roman"/>
          <w:sz w:val="24"/>
          <w:szCs w:val="24"/>
          <w:highlight w:val="yellow"/>
        </w:rPr>
        <w:t xml:space="preserve">I do think one best practice in this regard, and I've seen it really trimmed down in the past 15-20 years, is far less hearings. The judges </w:t>
      </w:r>
      <w:proofErr w:type="gramStart"/>
      <w:r w:rsidRPr="00AD1120">
        <w:rPr>
          <w:rFonts w:ascii="Times New Roman" w:eastAsia="Times New Roman" w:hAnsi="Times New Roman" w:cs="Times New Roman"/>
          <w:sz w:val="24"/>
          <w:szCs w:val="24"/>
          <w:highlight w:val="yellow"/>
        </w:rPr>
        <w:t>are deciding</w:t>
      </w:r>
      <w:proofErr w:type="gramEnd"/>
      <w:r w:rsidRPr="00AD1120">
        <w:rPr>
          <w:rFonts w:ascii="Times New Roman" w:eastAsia="Times New Roman" w:hAnsi="Times New Roman" w:cs="Times New Roman"/>
          <w:sz w:val="24"/>
          <w:szCs w:val="24"/>
          <w:highlight w:val="yellow"/>
        </w:rPr>
        <w:t> Daubert on the papers.</w:t>
      </w:r>
    </w:p>
    <w:p w14:paraId="47BA3014" w14:textId="77777777" w:rsidR="00F640D6" w:rsidRDefault="00F640D6" w:rsidP="00F640D6">
      <w:pPr>
        <w:spacing w:after="0" w:line="240" w:lineRule="auto"/>
        <w:jc w:val="both"/>
        <w:textAlignment w:val="baseline"/>
        <w:rPr>
          <w:rFonts w:ascii="Times New Roman" w:eastAsia="Times New Roman" w:hAnsi="Times New Roman" w:cs="Times New Roman"/>
          <w:sz w:val="24"/>
          <w:szCs w:val="24"/>
        </w:rPr>
      </w:pPr>
    </w:p>
    <w:p w14:paraId="4CD35278" w14:textId="77777777" w:rsidR="00F640D6" w:rsidRDefault="00F640D6" w:rsidP="00F640D6">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know every case is different and all that. But if the standard one takes six months to prepare for, is this one a year and a half, two years. That's great. It's typically much longer. This is often the main event. Or at least an initial main event in the MDL. It may depend on whether the 702 motion is being presented in isolation, that is detached from a bellwether trial. Sometimes, they're presented in the context of a bellwether trial and that may make a difference depending on how quickly that bellwether trial track is moving. </w:t>
      </w:r>
    </w:p>
    <w:p w14:paraId="620FB250" w14:textId="77777777" w:rsidR="00F640D6" w:rsidRDefault="00F640D6" w:rsidP="00F640D6">
      <w:pPr>
        <w:spacing w:after="0" w:line="240" w:lineRule="auto"/>
        <w:jc w:val="both"/>
        <w:textAlignment w:val="baseline"/>
        <w:rPr>
          <w:rFonts w:ascii="Times New Roman" w:eastAsia="Times New Roman" w:hAnsi="Times New Roman" w:cs="Times New Roman"/>
          <w:sz w:val="24"/>
          <w:szCs w:val="24"/>
        </w:rPr>
      </w:pPr>
    </w:p>
    <w:p w14:paraId="0F389669" w14:textId="77777777" w:rsidR="00F640D6" w:rsidRDefault="00F640D6" w:rsidP="00F640D6">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thing that makes these much more expensive and complicated is the number of experts </w:t>
      </w:r>
      <w:r w:rsidRPr="00AD1120">
        <w:rPr>
          <w:rFonts w:ascii="Times New Roman" w:eastAsia="Times New Roman" w:hAnsi="Times New Roman" w:cs="Times New Roman"/>
          <w:sz w:val="24"/>
          <w:szCs w:val="24"/>
          <w:highlight w:val="yellow"/>
        </w:rPr>
        <w:t>that are often presented in these, not in all, but in many </w:t>
      </w:r>
      <w:proofErr w:type="gramStart"/>
      <w:r w:rsidRPr="00AD1120">
        <w:rPr>
          <w:rFonts w:ascii="Times New Roman" w:eastAsia="Times New Roman" w:hAnsi="Times New Roman" w:cs="Times New Roman"/>
          <w:sz w:val="24"/>
          <w:szCs w:val="24"/>
          <w:highlight w:val="yellow"/>
        </w:rPr>
        <w:t>MDLs</w:t>
      </w:r>
      <w:proofErr w:type="gramEnd"/>
      <w:r w:rsidRPr="00AD1120">
        <w:rPr>
          <w:rFonts w:ascii="Times New Roman" w:eastAsia="Times New Roman" w:hAnsi="Times New Roman" w:cs="Times New Roman"/>
          <w:sz w:val="24"/>
          <w:szCs w:val="24"/>
          <w:highlight w:val="yellow"/>
        </w:rPr>
        <w:t xml:space="preserve"> I've been in, you</w:t>
      </w:r>
      <w:r>
        <w:rPr>
          <w:rFonts w:ascii="Times New Roman" w:eastAsia="Times New Roman" w:hAnsi="Times New Roman" w:cs="Times New Roman"/>
          <w:sz w:val="24"/>
          <w:szCs w:val="24"/>
        </w:rPr>
        <w:t xml:space="preserve"> look at both </w:t>
      </w:r>
      <w:proofErr w:type="gramStart"/>
      <w:r>
        <w:rPr>
          <w:rFonts w:ascii="Times New Roman" w:eastAsia="Times New Roman" w:hAnsi="Times New Roman" w:cs="Times New Roman"/>
          <w:sz w:val="24"/>
          <w:szCs w:val="24"/>
        </w:rPr>
        <w:t>sides</w:t>
      </w:r>
      <w:proofErr w:type="gramEnd"/>
      <w:r>
        <w:rPr>
          <w:rFonts w:ascii="Times New Roman" w:eastAsia="Times New Roman" w:hAnsi="Times New Roman" w:cs="Times New Roman"/>
          <w:sz w:val="24"/>
          <w:szCs w:val="24"/>
        </w:rPr>
        <w:t xml:space="preserve"> end up putting up 30 experts, each with their own little area, some of them reinforcing each other. At some point, the court may say I don't need 4 experts on issue X. Can you let me deal with one? There is usually some pruning that may occur, but there is an instinct on the defense side, and I think on the plaintiff side as well as </w:t>
      </w:r>
      <w:proofErr w:type="gramStart"/>
      <w:r>
        <w:rPr>
          <w:rFonts w:ascii="Times New Roman" w:eastAsia="Times New Roman" w:hAnsi="Times New Roman" w:cs="Times New Roman"/>
          <w:sz w:val="24"/>
          <w:szCs w:val="24"/>
        </w:rPr>
        <w:t>to view</w:t>
      </w:r>
      <w:proofErr w:type="gramEnd"/>
      <w:r>
        <w:rPr>
          <w:rFonts w:ascii="Times New Roman" w:eastAsia="Times New Roman" w:hAnsi="Times New Roman" w:cs="Times New Roman"/>
          <w:sz w:val="24"/>
          <w:szCs w:val="24"/>
        </w:rPr>
        <w:t xml:space="preserve"> this as the main event. But often these orders </w:t>
      </w:r>
      <w:r w:rsidRPr="00AD1120">
        <w:rPr>
          <w:rFonts w:ascii="Times New Roman" w:eastAsia="Times New Roman" w:hAnsi="Times New Roman" w:cs="Times New Roman"/>
          <w:sz w:val="24"/>
          <w:szCs w:val="24"/>
          <w:highlight w:val="yellow"/>
        </w:rPr>
        <w:t>come out from the court saying to all parties, “anybody wants to present causation issues or general causation bring them forward now and we’ll test them in an isolated proceeding.”</w:t>
      </w:r>
    </w:p>
    <w:p w14:paraId="08EEEA7A" w14:textId="77777777" w:rsidR="00F640D6" w:rsidRDefault="00F640D6" w:rsidP="00F640D6">
      <w:pPr>
        <w:spacing w:after="0" w:line="240" w:lineRule="auto"/>
        <w:jc w:val="both"/>
        <w:textAlignment w:val="baseline"/>
        <w:rPr>
          <w:rFonts w:ascii="Times New Roman" w:eastAsia="Times New Roman" w:hAnsi="Times New Roman" w:cs="Times New Roman"/>
          <w:sz w:val="24"/>
          <w:szCs w:val="24"/>
        </w:rPr>
      </w:pPr>
    </w:p>
    <w:p w14:paraId="50A603DD" w14:textId="77777777" w:rsidR="00F640D6" w:rsidRDefault="00F640D6" w:rsidP="00F640D6">
      <w:pPr>
        <w:spacing w:after="0" w:line="240" w:lineRule="auto"/>
        <w:rPr>
          <w:rFonts w:ascii="Times New Roman" w:eastAsia="Times New Roman" w:hAnsi="Times New Roman" w:cs="Times New Roman"/>
          <w:sz w:val="24"/>
          <w:szCs w:val="24"/>
        </w:rPr>
      </w:pPr>
      <w:r w:rsidRPr="00B36BDA">
        <w:rPr>
          <w:rFonts w:ascii="Times New Roman" w:eastAsia="Times New Roman" w:hAnsi="Times New Roman" w:cs="Times New Roman"/>
          <w:sz w:val="24"/>
          <w:szCs w:val="24"/>
          <w:u w:val="single"/>
        </w:rPr>
        <w:t>Experts, Fewer Hearings</w:t>
      </w:r>
      <w:r>
        <w:rPr>
          <w:rFonts w:ascii="Times New Roman" w:eastAsia="Times New Roman" w:hAnsi="Times New Roman" w:cs="Times New Roman"/>
          <w:sz w:val="24"/>
          <w:szCs w:val="24"/>
        </w:rPr>
        <w:t xml:space="preserve"> - </w:t>
      </w:r>
      <w:r w:rsidRPr="00AD1120">
        <w:rPr>
          <w:rFonts w:ascii="Times New Roman" w:eastAsia="Times New Roman" w:hAnsi="Times New Roman" w:cs="Times New Roman"/>
          <w:sz w:val="24"/>
          <w:szCs w:val="24"/>
          <w:highlight w:val="yellow"/>
        </w:rPr>
        <w:t xml:space="preserve">You hate to have absolutes, because every case is going to be different, but as a general matter, what I found in these cases is one thing you do often have, hopefully not the 30, but it's not uncommon to have 10-12 different experts in different </w:t>
      </w:r>
      <w:r w:rsidRPr="00AD1120">
        <w:rPr>
          <w:rFonts w:ascii="Times New Roman" w:eastAsia="Times New Roman" w:hAnsi="Times New Roman" w:cs="Times New Roman"/>
          <w:sz w:val="24"/>
          <w:szCs w:val="24"/>
          <w:highlight w:val="yellow"/>
        </w:rPr>
        <w:lastRenderedPageBreak/>
        <w:t>disciplines.</w:t>
      </w:r>
      <w:r>
        <w:rPr>
          <w:rFonts w:ascii="Times New Roman" w:eastAsia="Times New Roman" w:hAnsi="Times New Roman" w:cs="Times New Roman"/>
          <w:sz w:val="24"/>
          <w:szCs w:val="24"/>
        </w:rPr>
        <w:t xml:space="preserve"> What I think is happening is the lawyers on both sides are skilled. They spend a lot of time when they get to the depositions, and they write the briefs. Usually, the judges get all that record and many of the judges will dig in and read the transcripts and read the science. It’s an area where sometimes there was an inclination to bring everybody. Let's do nine weeks of live hearing. And </w:t>
      </w:r>
      <w:proofErr w:type="gramStart"/>
      <w:r>
        <w:rPr>
          <w:rFonts w:ascii="Times New Roman" w:eastAsia="Times New Roman" w:hAnsi="Times New Roman" w:cs="Times New Roman"/>
          <w:sz w:val="24"/>
          <w:szCs w:val="24"/>
        </w:rPr>
        <w:t>again</w:t>
      </w:r>
      <w:proofErr w:type="gramEnd"/>
      <w:r>
        <w:rPr>
          <w:rFonts w:ascii="Times New Roman" w:eastAsia="Times New Roman" w:hAnsi="Times New Roman" w:cs="Times New Roman"/>
          <w:sz w:val="24"/>
          <w:szCs w:val="24"/>
        </w:rPr>
        <w:t> that's possible, I am not going to say that's never going to happen. But in my experience, that's usually not necessary at that point. By the time the issues are joined and there's specifics, the judges usually can hear </w:t>
      </w:r>
      <w:proofErr w:type="gramStart"/>
      <w:r>
        <w:rPr>
          <w:rFonts w:ascii="Times New Roman" w:eastAsia="Times New Roman" w:hAnsi="Times New Roman" w:cs="Times New Roman"/>
          <w:sz w:val="24"/>
          <w:szCs w:val="24"/>
        </w:rPr>
        <w:t>argument</w:t>
      </w:r>
      <w:proofErr w:type="gramEnd"/>
      <w:r>
        <w:rPr>
          <w:rFonts w:ascii="Times New Roman" w:eastAsia="Times New Roman" w:hAnsi="Times New Roman" w:cs="Times New Roman"/>
          <w:sz w:val="24"/>
          <w:szCs w:val="24"/>
        </w:rPr>
        <w:t> based on the records. </w:t>
      </w:r>
    </w:p>
    <w:p w14:paraId="0BEF224F" w14:textId="77777777" w:rsidR="00F640D6" w:rsidRDefault="00F640D6" w:rsidP="00F640D6">
      <w:pPr>
        <w:spacing w:after="0" w:line="240" w:lineRule="auto"/>
        <w:rPr>
          <w:rFonts w:ascii="Times New Roman" w:eastAsia="Times New Roman" w:hAnsi="Times New Roman" w:cs="Times New Roman"/>
          <w:sz w:val="24"/>
          <w:szCs w:val="24"/>
        </w:rPr>
      </w:pPr>
    </w:p>
    <w:p w14:paraId="7003EF30" w14:textId="77777777" w:rsidR="00F640D6" w:rsidRDefault="00F640D6" w:rsidP="00F640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They've issued orders at the </w:t>
      </w:r>
      <w:proofErr w:type="gramStart"/>
      <w:r>
        <w:rPr>
          <w:rFonts w:ascii="Times New Roman" w:eastAsia="Times New Roman" w:hAnsi="Times New Roman" w:cs="Times New Roman"/>
          <w:sz w:val="24"/>
          <w:szCs w:val="24"/>
        </w:rPr>
        <w:t>outset</w:t>
      </w:r>
      <w:proofErr w:type="gramEnd"/>
      <w:r>
        <w:rPr>
          <w:rFonts w:ascii="Times New Roman" w:eastAsia="Times New Roman" w:hAnsi="Times New Roman" w:cs="Times New Roman"/>
          <w:sz w:val="24"/>
          <w:szCs w:val="24"/>
        </w:rPr>
        <w:t xml:space="preserve"> saying, I'm not speaking only to lead counsel, but if there's anybody out there who's got an expert that they want to bring forward on whatever issues being tested, now is your time. </w:t>
      </w:r>
      <w:r w:rsidRPr="00AD1120">
        <w:rPr>
          <w:rFonts w:ascii="Times New Roman" w:eastAsia="Times New Roman" w:hAnsi="Times New Roman" w:cs="Times New Roman"/>
          <w:sz w:val="24"/>
          <w:szCs w:val="24"/>
          <w:highlight w:val="yellow"/>
        </w:rPr>
        <w:t>Then, if you get a ruling that is averse to plaintiffs, then there's usually an order saying, is there anybody out there who doesn't feel they had an opportunity to present their expert?</w:t>
      </w:r>
      <w:r>
        <w:rPr>
          <w:rFonts w:ascii="Times New Roman" w:eastAsia="Times New Roman" w:hAnsi="Times New Roman" w:cs="Times New Roman"/>
          <w:sz w:val="24"/>
          <w:szCs w:val="24"/>
        </w:rPr>
        <w:t xml:space="preserve"> And I think the focus there is particularly on plaintiffs who may have come into the MDL proceeding mid process whose due process rights might arguably be infringed upon by that. Care is taken to make sure that if there are individual plaintiffs who have different experts or want to offer different theories or </w:t>
      </w:r>
      <w:proofErr w:type="gramStart"/>
      <w:r>
        <w:rPr>
          <w:rFonts w:ascii="Times New Roman" w:eastAsia="Times New Roman" w:hAnsi="Times New Roman" w:cs="Times New Roman"/>
          <w:sz w:val="24"/>
          <w:szCs w:val="24"/>
        </w:rPr>
        <w:t>whatever that</w:t>
      </w:r>
      <w:proofErr w:type="gramEnd"/>
      <w:r>
        <w:rPr>
          <w:rFonts w:ascii="Times New Roman" w:eastAsia="Times New Roman" w:hAnsi="Times New Roman" w:cs="Times New Roman"/>
          <w:sz w:val="24"/>
          <w:szCs w:val="24"/>
        </w:rPr>
        <w:t xml:space="preserve"> they would have an opportunity to do that. </w:t>
      </w:r>
      <w:proofErr w:type="gramStart"/>
      <w:r>
        <w:rPr>
          <w:rFonts w:ascii="Times New Roman" w:eastAsia="Times New Roman" w:hAnsi="Times New Roman" w:cs="Times New Roman"/>
          <w:sz w:val="24"/>
          <w:szCs w:val="24"/>
        </w:rPr>
        <w:t>Or,</w:t>
      </w:r>
      <w:proofErr w:type="gramEnd"/>
      <w:r>
        <w:rPr>
          <w:rFonts w:ascii="Times New Roman" w:eastAsia="Times New Roman" w:hAnsi="Times New Roman" w:cs="Times New Roman"/>
          <w:sz w:val="24"/>
          <w:szCs w:val="24"/>
        </w:rPr>
        <w:t xml:space="preserve"> there are cases where there are do overs that are that that occur for various reasons. </w:t>
      </w:r>
    </w:p>
    <w:p w14:paraId="61FBF102" w14:textId="77777777" w:rsidR="00F640D6" w:rsidRDefault="00F640D6" w:rsidP="00F640D6">
      <w:pPr>
        <w:spacing w:after="0" w:line="240" w:lineRule="auto"/>
        <w:rPr>
          <w:rFonts w:ascii="Times New Roman" w:eastAsia="Times New Roman" w:hAnsi="Times New Roman" w:cs="Times New Roman"/>
          <w:sz w:val="24"/>
          <w:szCs w:val="24"/>
        </w:rPr>
      </w:pPr>
    </w:p>
    <w:p w14:paraId="1959BB36" w14:textId="77777777" w:rsidR="00F640D6" w:rsidRDefault="00F640D6" w:rsidP="00F640D6">
      <w:pPr>
        <w:spacing w:after="0" w:line="240" w:lineRule="auto"/>
        <w:jc w:val="both"/>
        <w:textAlignment w:val="baseline"/>
        <w:rPr>
          <w:rFonts w:ascii="Times New Roman" w:eastAsia="Times New Roman" w:hAnsi="Times New Roman" w:cs="Times New Roman"/>
          <w:sz w:val="24"/>
          <w:szCs w:val="24"/>
        </w:rPr>
      </w:pPr>
      <w:r w:rsidRPr="00576A7F">
        <w:rPr>
          <w:rFonts w:ascii="Times New Roman" w:eastAsia="Times New Roman" w:hAnsi="Times New Roman" w:cs="Times New Roman"/>
          <w:sz w:val="24"/>
          <w:szCs w:val="24"/>
          <w:u w:val="single"/>
        </w:rPr>
        <w:t>Litigation Funding</w:t>
      </w:r>
      <w:r>
        <w:rPr>
          <w:rFonts w:ascii="Times New Roman" w:eastAsia="Times New Roman" w:hAnsi="Times New Roman" w:cs="Times New Roman"/>
          <w:sz w:val="24"/>
          <w:szCs w:val="24"/>
        </w:rPr>
        <w:t xml:space="preserve"> -- I guess the best practice I would urge, at a minimum, is that the judges ask questions about the use of litigation funding, so you know what is and isn't there. Doesn't necessarily need to be the type of New Jersey disclosure, but I think particularly when you get into resolution exercises and so on, knowing that there are potentially other parties out there that may have some say is important. Because I will tell you, every agreement that is on </w:t>
      </w:r>
      <w:proofErr w:type="gramStart"/>
      <w:r>
        <w:rPr>
          <w:rFonts w:ascii="Times New Roman" w:eastAsia="Times New Roman" w:hAnsi="Times New Roman" w:cs="Times New Roman"/>
          <w:sz w:val="24"/>
          <w:szCs w:val="24"/>
        </w:rPr>
        <w:t>the record</w:t>
      </w:r>
      <w:proofErr w:type="gramEnd"/>
      <w:r>
        <w:rPr>
          <w:rFonts w:ascii="Times New Roman" w:eastAsia="Times New Roman" w:hAnsi="Times New Roman" w:cs="Times New Roman"/>
          <w:sz w:val="24"/>
          <w:szCs w:val="24"/>
        </w:rPr>
        <w:t xml:space="preserve"> before the Advisory Committee </w:t>
      </w:r>
      <w:proofErr w:type="gramStart"/>
      <w:r>
        <w:rPr>
          <w:rFonts w:ascii="Times New Roman" w:eastAsia="Times New Roman" w:hAnsi="Times New Roman" w:cs="Times New Roman"/>
          <w:sz w:val="24"/>
          <w:szCs w:val="24"/>
        </w:rPr>
        <w:t>at the moment</w:t>
      </w:r>
      <w:proofErr w:type="gramEnd"/>
      <w:r>
        <w:rPr>
          <w:rFonts w:ascii="Times New Roman" w:eastAsia="Times New Roman" w:hAnsi="Times New Roman" w:cs="Times New Roman"/>
          <w:sz w:val="24"/>
          <w:szCs w:val="24"/>
        </w:rPr>
        <w:t> that has been produced, the litigation funders are exercising control under those agreements. And there's a lot of players out there that you know are not publicly traded who are coming in and doing various things so they may be exercising influence on what's going on, particularly in the resolution process in your MDL proceedings. </w:t>
      </w:r>
    </w:p>
    <w:p w14:paraId="226FC629" w14:textId="77777777" w:rsidR="00F640D6" w:rsidRDefault="00F640D6" w:rsidP="00F640D6">
      <w:pPr>
        <w:spacing w:after="0" w:line="240" w:lineRule="auto"/>
        <w:rPr>
          <w:rFonts w:ascii="Times New Roman" w:eastAsia="Times New Roman" w:hAnsi="Times New Roman" w:cs="Times New Roman"/>
          <w:sz w:val="24"/>
          <w:szCs w:val="24"/>
        </w:rPr>
      </w:pPr>
    </w:p>
    <w:p w14:paraId="3511C792" w14:textId="77777777" w:rsidR="00F640D6" w:rsidRDefault="00F640D6" w:rsidP="00F640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We've talked to law firms about exactly what you said: funding the common expense burden, or funding a single case, or funding </w:t>
      </w:r>
      <w:proofErr w:type="gramStart"/>
      <w:r>
        <w:rPr>
          <w:rFonts w:ascii="Times New Roman" w:eastAsia="Times New Roman" w:hAnsi="Times New Roman" w:cs="Times New Roman"/>
          <w:sz w:val="24"/>
          <w:szCs w:val="24"/>
        </w:rPr>
        <w:t>entire</w:t>
      </w:r>
      <w:proofErr w:type="gramEnd"/>
      <w:r>
        <w:rPr>
          <w:rFonts w:ascii="Times New Roman" w:eastAsia="Times New Roman" w:hAnsi="Times New Roman" w:cs="Times New Roman"/>
          <w:sz w:val="24"/>
          <w:szCs w:val="24"/>
        </w:rPr>
        <w:t xml:space="preserve"> leadership group in making a pitch in MDL. All of those are non-recourse situations which means again if the MDL is unsuccessful, if the fees end up being zero or less than what was hoped for, the funder loses money. So, the funder is going to do a lot of diligence on the case to see not just can I find a bunch of names to put on the list….</w:t>
      </w:r>
    </w:p>
    <w:p w14:paraId="0621FA1E" w14:textId="77777777" w:rsidR="00F640D6" w:rsidRDefault="00F640D6" w:rsidP="00F640D6">
      <w:pPr>
        <w:spacing w:after="0" w:line="240" w:lineRule="auto"/>
        <w:rPr>
          <w:rFonts w:ascii="Times New Roman" w:eastAsia="Times New Roman" w:hAnsi="Times New Roman" w:cs="Times New Roman"/>
          <w:sz w:val="24"/>
          <w:szCs w:val="24"/>
        </w:rPr>
      </w:pPr>
    </w:p>
    <w:sectPr w:rsidR="00F64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0D6"/>
    <w:rsid w:val="007213F0"/>
    <w:rsid w:val="00944D7F"/>
    <w:rsid w:val="00AD1120"/>
    <w:rsid w:val="00C624D6"/>
    <w:rsid w:val="00C654FF"/>
    <w:rsid w:val="00C95781"/>
    <w:rsid w:val="00C971A6"/>
    <w:rsid w:val="00F640D6"/>
    <w:rsid w:val="00F70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7612"/>
  <w15:chartTrackingRefBased/>
  <w15:docId w15:val="{BCA52735-129F-4F8A-8797-346CFBCD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0D6"/>
    <w:rPr>
      <w:rFonts w:asciiTheme="minorHAnsi" w:hAnsiTheme="minorHAnsi"/>
      <w:kern w:val="0"/>
      <w:sz w:val="22"/>
      <w14:ligatures w14:val="none"/>
    </w:rPr>
  </w:style>
  <w:style w:type="paragraph" w:styleId="Heading1">
    <w:name w:val="heading 1"/>
    <w:basedOn w:val="Normal"/>
    <w:next w:val="Normal"/>
    <w:link w:val="Heading1Char"/>
    <w:uiPriority w:val="9"/>
    <w:qFormat/>
    <w:rsid w:val="00F640D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40D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40D6"/>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40D6"/>
    <w:pPr>
      <w:keepNext/>
      <w:keepLines/>
      <w:spacing w:before="80" w:after="40"/>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40D6"/>
    <w:pPr>
      <w:keepNext/>
      <w:keepLines/>
      <w:spacing w:before="80" w:after="40"/>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40D6"/>
    <w:pPr>
      <w:keepNext/>
      <w:keepLines/>
      <w:spacing w:before="40" w:after="0"/>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40D6"/>
    <w:pPr>
      <w:keepNext/>
      <w:keepLines/>
      <w:spacing w:before="40" w:after="0"/>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40D6"/>
    <w:pPr>
      <w:keepNext/>
      <w:keepLines/>
      <w:spacing w:after="0"/>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40D6"/>
    <w:pPr>
      <w:keepNext/>
      <w:keepLines/>
      <w:spacing w:after="0"/>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0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0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0D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0D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40D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40D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40D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40D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40D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40D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4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0D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40D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40D6"/>
    <w:pPr>
      <w:spacing w:before="160"/>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640D6"/>
    <w:rPr>
      <w:i/>
      <w:iCs/>
      <w:color w:val="404040" w:themeColor="text1" w:themeTint="BF"/>
    </w:rPr>
  </w:style>
  <w:style w:type="paragraph" w:styleId="ListParagraph">
    <w:name w:val="List Paragraph"/>
    <w:basedOn w:val="Normal"/>
    <w:uiPriority w:val="34"/>
    <w:qFormat/>
    <w:rsid w:val="00F640D6"/>
    <w:pPr>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640D6"/>
    <w:rPr>
      <w:i/>
      <w:iCs/>
      <w:color w:val="0F4761" w:themeColor="accent1" w:themeShade="BF"/>
    </w:rPr>
  </w:style>
  <w:style w:type="paragraph" w:styleId="IntenseQuote">
    <w:name w:val="Intense Quote"/>
    <w:basedOn w:val="Normal"/>
    <w:next w:val="Normal"/>
    <w:link w:val="IntenseQuoteChar"/>
    <w:uiPriority w:val="30"/>
    <w:qFormat/>
    <w:rsid w:val="00F640D6"/>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640D6"/>
    <w:rPr>
      <w:i/>
      <w:iCs/>
      <w:color w:val="0F4761" w:themeColor="accent1" w:themeShade="BF"/>
    </w:rPr>
  </w:style>
  <w:style w:type="character" w:styleId="IntenseReference">
    <w:name w:val="Intense Reference"/>
    <w:basedOn w:val="DefaultParagraphFont"/>
    <w:uiPriority w:val="32"/>
    <w:qFormat/>
    <w:rsid w:val="00F640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822</Words>
  <Characters>4689</Characters>
  <Application>Microsoft Office Word</Application>
  <DocSecurity>0</DocSecurity>
  <Lines>39</Lines>
  <Paragraphs>10</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2</cp:revision>
  <dcterms:created xsi:type="dcterms:W3CDTF">2025-01-04T20:35:00Z</dcterms:created>
  <dcterms:modified xsi:type="dcterms:W3CDTF">2025-01-04T20:52:00Z</dcterms:modified>
</cp:coreProperties>
</file>