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6842C" w14:textId="77777777" w:rsidR="008805ED" w:rsidRDefault="008805ED" w:rsidP="008805ED">
      <w:pPr>
        <w:spacing w:after="0" w:line="240" w:lineRule="auto"/>
        <w:rPr>
          <w:rFonts w:ascii="Century Schoolbook" w:hAnsi="Century Schoolbook"/>
          <w:b/>
          <w:bCs/>
        </w:rPr>
      </w:pPr>
      <w:r>
        <w:rPr>
          <w:noProof/>
        </w:rPr>
        <w:drawing>
          <wp:inline distT="0" distB="0" distL="0" distR="0" wp14:anchorId="6B4D5D89" wp14:editId="120A479C">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4">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6E946E1" w14:textId="77777777" w:rsidR="008805ED" w:rsidRDefault="008805ED" w:rsidP="008805ED">
      <w:pPr>
        <w:spacing w:after="0" w:line="240" w:lineRule="auto"/>
        <w:rPr>
          <w:rFonts w:ascii="Century Schoolbook" w:hAnsi="Century Schoolbook"/>
          <w:b/>
          <w:bCs/>
        </w:rPr>
      </w:pPr>
    </w:p>
    <w:p w14:paraId="7E50F6BB" w14:textId="77777777" w:rsidR="008805ED" w:rsidRDefault="008805ED" w:rsidP="008805ED">
      <w:pPr>
        <w:spacing w:after="0" w:line="240" w:lineRule="auto"/>
        <w:jc w:val="center"/>
        <w:rPr>
          <w:rFonts w:ascii="Century Schoolbook" w:hAnsi="Century Schoolbook"/>
          <w:b/>
          <w:bCs/>
        </w:rPr>
      </w:pPr>
      <w:r>
        <w:rPr>
          <w:rFonts w:ascii="Century Schoolbook" w:hAnsi="Century Schoolbook"/>
          <w:b/>
          <w:bCs/>
        </w:rPr>
        <w:t xml:space="preserve">Summary of Panelists Speaking at </w:t>
      </w:r>
      <w:r w:rsidRPr="00FA5CC4">
        <w:rPr>
          <w:rFonts w:ascii="Century Schoolbook" w:hAnsi="Century Schoolbook"/>
          <w:b/>
          <w:bCs/>
        </w:rPr>
        <w:t xml:space="preserve">Mass-Tort MDL </w:t>
      </w:r>
      <w:r>
        <w:rPr>
          <w:rFonts w:ascii="Century Schoolbook" w:hAnsi="Century Schoolbook"/>
          <w:b/>
          <w:bCs/>
        </w:rPr>
        <w:t xml:space="preserve">Flash Points </w:t>
      </w:r>
      <w:r w:rsidRPr="00FA5CC4">
        <w:rPr>
          <w:rFonts w:ascii="Century Schoolbook" w:hAnsi="Century Schoolbook"/>
          <w:b/>
          <w:bCs/>
        </w:rPr>
        <w:t xml:space="preserve">Conference </w:t>
      </w:r>
      <w:r>
        <w:rPr>
          <w:rFonts w:ascii="Century Schoolbook" w:hAnsi="Century Schoolbook"/>
          <w:b/>
          <w:bCs/>
        </w:rPr>
        <w:t>Northwestern University Pritzker School of Law</w:t>
      </w:r>
    </w:p>
    <w:p w14:paraId="031671B4" w14:textId="77777777" w:rsidR="008805ED" w:rsidRDefault="008805ED" w:rsidP="008805ED">
      <w:pPr>
        <w:spacing w:after="0" w:line="240" w:lineRule="auto"/>
        <w:jc w:val="center"/>
        <w:rPr>
          <w:rFonts w:ascii="Century Schoolbook" w:hAnsi="Century Schoolbook"/>
          <w:b/>
          <w:bCs/>
        </w:rPr>
      </w:pPr>
      <w:r w:rsidRPr="00FA5CC4">
        <w:rPr>
          <w:rFonts w:ascii="Century Schoolbook" w:hAnsi="Century Schoolbook"/>
          <w:b/>
          <w:bCs/>
        </w:rPr>
        <w:t>October 2021</w:t>
      </w:r>
    </w:p>
    <w:p w14:paraId="0F14ACFB" w14:textId="77777777" w:rsidR="008805ED" w:rsidRPr="00FA5CC4" w:rsidRDefault="008805ED" w:rsidP="008805ED">
      <w:pPr>
        <w:spacing w:after="0" w:line="240" w:lineRule="auto"/>
        <w:rPr>
          <w:rFonts w:ascii="Century Schoolbook" w:hAnsi="Century Schoolbook"/>
          <w:b/>
          <w:bCs/>
        </w:rPr>
      </w:pPr>
    </w:p>
    <w:p w14:paraId="273CE192" w14:textId="77777777" w:rsidR="008805ED" w:rsidRDefault="008805ED" w:rsidP="008805ED">
      <w:pPr>
        <w:spacing w:after="0" w:line="240" w:lineRule="auto"/>
        <w:rPr>
          <w:rFonts w:ascii="Century Schoolbook" w:hAnsi="Century Schoolbook"/>
          <w:b/>
          <w:bCs/>
        </w:rPr>
      </w:pPr>
      <w:r w:rsidRPr="0036125B">
        <w:rPr>
          <w:rFonts w:ascii="Century Schoolbook" w:hAnsi="Century Schoolbook"/>
          <w:b/>
          <w:bCs/>
        </w:rPr>
        <w:t>Panel 1 – Common Benefit Fund, PSC, Attorney’s Fees</w:t>
      </w:r>
    </w:p>
    <w:p w14:paraId="65A653FC" w14:textId="77777777" w:rsidR="008805ED" w:rsidRDefault="008805ED" w:rsidP="008805ED">
      <w:pPr>
        <w:spacing w:after="0" w:line="240" w:lineRule="auto"/>
        <w:rPr>
          <w:rFonts w:ascii="Century Schoolbook" w:hAnsi="Century Schoolbook"/>
          <w:b/>
          <w:bCs/>
        </w:rPr>
      </w:pPr>
    </w:p>
    <w:p w14:paraId="38F0E25C"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7300E6">
        <w:rPr>
          <w:rFonts w:ascii="Times New Roman" w:eastAsia="Times New Roman" w:hAnsi="Times New Roman" w:cs="Times New Roman"/>
          <w:sz w:val="24"/>
          <w:szCs w:val="24"/>
          <w:u w:val="single"/>
        </w:rPr>
        <w:t>Statistical Background</w:t>
      </w:r>
      <w:r>
        <w:rPr>
          <w:rFonts w:ascii="Times New Roman" w:eastAsia="Times New Roman" w:hAnsi="Times New Roman" w:cs="Times New Roman"/>
          <w:sz w:val="24"/>
          <w:szCs w:val="24"/>
        </w:rPr>
        <w:t xml:space="preserve"> -- As of September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2021, there are 185 pending </w:t>
      </w:r>
      <w:proofErr w:type="gramStart"/>
      <w:r>
        <w:rPr>
          <w:rFonts w:ascii="Times New Roman" w:eastAsia="Times New Roman" w:hAnsi="Times New Roman" w:cs="Times New Roman"/>
          <w:sz w:val="24"/>
          <w:szCs w:val="24"/>
        </w:rPr>
        <w:t>MDL's</w:t>
      </w:r>
      <w:proofErr w:type="gramEnd"/>
      <w:r>
        <w:rPr>
          <w:rFonts w:ascii="Times New Roman" w:eastAsia="Times New Roman" w:hAnsi="Times New Roman" w:cs="Times New Roman"/>
          <w:sz w:val="24"/>
          <w:szCs w:val="24"/>
        </w:rPr>
        <w:t xml:space="preserve"> with 392,000 cases. For context, typically about 250 to 275,000 cases are filed annually in the federal courts. This conference deals with the 30 largest mass tort MDL's, which consists of 99% of the cases centralized in the 185 pending MDL's. Now, as a result of my research several years back, when I compared the AO stats with the JPML stats I found that cases centralized in the 20 largest </w:t>
      </w:r>
      <w:proofErr w:type="gramStart"/>
      <w:r>
        <w:rPr>
          <w:rFonts w:ascii="Times New Roman" w:eastAsia="Times New Roman" w:hAnsi="Times New Roman" w:cs="Times New Roman"/>
          <w:sz w:val="24"/>
          <w:szCs w:val="24"/>
        </w:rPr>
        <w:t>MDL’s</w:t>
      </w:r>
      <w:proofErr w:type="gramEnd"/>
      <w:r>
        <w:rPr>
          <w:rFonts w:ascii="Times New Roman" w:eastAsia="Times New Roman" w:hAnsi="Times New Roman" w:cs="Times New Roman"/>
          <w:sz w:val="24"/>
          <w:szCs w:val="24"/>
        </w:rPr>
        <w:t xml:space="preserve"> consisted of about 40% of the entire federal civil case pending caseload. Today, the 16 largest </w:t>
      </w:r>
      <w:proofErr w:type="gramStart"/>
      <w:r>
        <w:rPr>
          <w:rFonts w:ascii="Times New Roman" w:eastAsia="Times New Roman" w:hAnsi="Times New Roman" w:cs="Times New Roman"/>
          <w:sz w:val="24"/>
          <w:szCs w:val="24"/>
        </w:rPr>
        <w:t>MDL's</w:t>
      </w:r>
      <w:proofErr w:type="gramEnd"/>
      <w:r>
        <w:rPr>
          <w:rFonts w:ascii="Times New Roman" w:eastAsia="Times New Roman" w:hAnsi="Times New Roman" w:cs="Times New Roman"/>
          <w:sz w:val="24"/>
          <w:szCs w:val="24"/>
        </w:rPr>
        <w:t> represent more than 50% of the pending civil caseload. One word of caution here. </w:t>
      </w:r>
    </w:p>
    <w:p w14:paraId="0C28A7E9"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0EBE49DF"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is full of loose language claiming that </w:t>
      </w:r>
      <w:proofErr w:type="gramStart"/>
      <w:r>
        <w:rPr>
          <w:rFonts w:ascii="Times New Roman" w:eastAsia="Times New Roman" w:hAnsi="Times New Roman" w:cs="Times New Roman"/>
          <w:sz w:val="24"/>
          <w:szCs w:val="24"/>
        </w:rPr>
        <w:t>MDL’s</w:t>
      </w:r>
      <w:proofErr w:type="gramEnd"/>
      <w:r>
        <w:rPr>
          <w:rFonts w:ascii="Times New Roman" w:eastAsia="Times New Roman" w:hAnsi="Times New Roman" w:cs="Times New Roman"/>
          <w:sz w:val="24"/>
          <w:szCs w:val="24"/>
        </w:rPr>
        <w:t xml:space="preserve"> represent more than 50% of the federal docket. Although they do represent more than half of the pending civil case docket in the federal courts, they represent roughly 20 to 25% of the annual civil case filings which most of us think of when we use the term federal civil docket. Now, the explanation is these large MDLs often take 7 to 10 years from filing to disposition so that they remain under pending docket for a much longer time. Now, more than 270,000 of these centralized cases in the pending MDL's are centralized in a single 3 MDLs. If you take those out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the total, there remains 120,000 pending cases in MDLs, and that's within the range of 120 to 140,000 cases that that are pending in MDL since 2015. So, it seems to be a regular type of </w:t>
      </w:r>
      <w:proofErr w:type="gramStart"/>
      <w:r>
        <w:rPr>
          <w:rFonts w:ascii="Times New Roman" w:eastAsia="Times New Roman" w:hAnsi="Times New Roman" w:cs="Times New Roman"/>
          <w:sz w:val="24"/>
          <w:szCs w:val="24"/>
        </w:rPr>
        <w:t>a number</w:t>
      </w:r>
      <w:proofErr w:type="gramEnd"/>
      <w:r>
        <w:rPr>
          <w:rFonts w:ascii="Times New Roman" w:eastAsia="Times New Roman" w:hAnsi="Times New Roman" w:cs="Times New Roman"/>
          <w:sz w:val="24"/>
          <w:szCs w:val="24"/>
        </w:rPr>
        <w:t> there. For the last almost a decade now.</w:t>
      </w:r>
    </w:p>
    <w:p w14:paraId="3524BAA4"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5D18FC1E"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36125B">
        <w:rPr>
          <w:rFonts w:ascii="Times New Roman" w:eastAsia="Times New Roman" w:hAnsi="Times New Roman" w:cs="Times New Roman"/>
          <w:sz w:val="24"/>
          <w:szCs w:val="24"/>
          <w:u w:val="single"/>
        </w:rPr>
        <w:t>Diversity Assignments Questionnaire</w:t>
      </w:r>
      <w:r>
        <w:rPr>
          <w:rFonts w:ascii="Times New Roman" w:eastAsia="Times New Roman" w:hAnsi="Times New Roman" w:cs="Times New Roman"/>
          <w:sz w:val="24"/>
          <w:szCs w:val="24"/>
        </w:rPr>
        <w:t xml:space="preserve"> -- What we've seen Judge Orrick, through the common benefit order has been able to attach a diversity survey to the quarterly reporting that the MDL leadership does in order to see exactly who's actually </w:t>
      </w:r>
      <w:proofErr w:type="gramStart"/>
      <w:r>
        <w:rPr>
          <w:rFonts w:ascii="Times New Roman" w:eastAsia="Times New Roman" w:hAnsi="Times New Roman" w:cs="Times New Roman"/>
          <w:sz w:val="24"/>
          <w:szCs w:val="24"/>
        </w:rPr>
        <w:t>doing the work and what type of work</w:t>
      </w:r>
      <w:proofErr w:type="gramEnd"/>
      <w:r>
        <w:rPr>
          <w:rFonts w:ascii="Times New Roman" w:eastAsia="Times New Roman" w:hAnsi="Times New Roman" w:cs="Times New Roman"/>
          <w:sz w:val="24"/>
          <w:szCs w:val="24"/>
        </w:rPr>
        <w:t xml:space="preserve"> each of the members of the plaintiff </w:t>
      </w:r>
      <w:proofErr w:type="gramStart"/>
      <w:r>
        <w:rPr>
          <w:rFonts w:ascii="Times New Roman" w:eastAsia="Times New Roman" w:hAnsi="Times New Roman" w:cs="Times New Roman"/>
          <w:sz w:val="24"/>
          <w:szCs w:val="24"/>
        </w:rPr>
        <w:t>leadership doing</w:t>
      </w:r>
      <w:proofErr w:type="gramEnd"/>
      <w:r>
        <w:rPr>
          <w:rFonts w:ascii="Times New Roman" w:eastAsia="Times New Roman" w:hAnsi="Times New Roman" w:cs="Times New Roman"/>
          <w:sz w:val="24"/>
          <w:szCs w:val="24"/>
        </w:rPr>
        <w:t xml:space="preserve"> is involved with.</w:t>
      </w:r>
    </w:p>
    <w:p w14:paraId="228D033C"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16C1E3B3"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4F0BAC">
        <w:rPr>
          <w:rFonts w:ascii="Times New Roman" w:eastAsia="Times New Roman" w:hAnsi="Times New Roman" w:cs="Times New Roman"/>
          <w:sz w:val="24"/>
          <w:szCs w:val="24"/>
          <w:u w:val="single"/>
        </w:rPr>
        <w:t>Balancing Diversity and Skill</w:t>
      </w:r>
      <w:r>
        <w:rPr>
          <w:rFonts w:ascii="Times New Roman" w:eastAsia="Times New Roman" w:hAnsi="Times New Roman" w:cs="Times New Roman"/>
          <w:sz w:val="24"/>
          <w:szCs w:val="24"/>
        </w:rPr>
        <w:t xml:space="preserve"> --- He said picking the lead is an important decision because the performance of those lawyers and the strategic decisions they make often affect the outcome for the entire group of plaintiffs. For lawyers </w:t>
      </w:r>
      <w:proofErr w:type="gramStart"/>
      <w:r>
        <w:rPr>
          <w:rFonts w:ascii="Times New Roman" w:eastAsia="Times New Roman" w:hAnsi="Times New Roman" w:cs="Times New Roman"/>
          <w:sz w:val="24"/>
          <w:szCs w:val="24"/>
        </w:rPr>
        <w:t>leading in</w:t>
      </w:r>
      <w:proofErr w:type="gramEnd"/>
      <w:r>
        <w:rPr>
          <w:rFonts w:ascii="Times New Roman" w:eastAsia="Times New Roman" w:hAnsi="Times New Roman" w:cs="Times New Roman"/>
          <w:sz w:val="24"/>
          <w:szCs w:val="24"/>
        </w:rPr>
        <w:t xml:space="preserve"> MDL, it's a major responsibility and a major risk. Lead lawyers invest a lot of time and money into managing and litigating MDL. If they lose, there's no way to recover their investment from the attorneys and the plaintiffs who sat back and watched.  It is a big responsibility and when you're picking lead group, whether it's 10 or 20 or whatever it is, you must have diversity. But you also must have the lawyers that can do the work that have the experience that can make those strategic decisions that have proven by their own work that they're capable of </w:t>
      </w:r>
      <w:proofErr w:type="gramStart"/>
      <w:r>
        <w:rPr>
          <w:rFonts w:ascii="Times New Roman" w:eastAsia="Times New Roman" w:hAnsi="Times New Roman" w:cs="Times New Roman"/>
          <w:sz w:val="24"/>
          <w:szCs w:val="24"/>
        </w:rPr>
        <w:t>lead</w:t>
      </w:r>
      <w:proofErr w:type="gramEnd"/>
      <w:r>
        <w:rPr>
          <w:rFonts w:ascii="Times New Roman" w:eastAsia="Times New Roman" w:hAnsi="Times New Roman" w:cs="Times New Roman"/>
          <w:sz w:val="24"/>
          <w:szCs w:val="24"/>
        </w:rPr>
        <w:t> and mix in with that people that want to get into this type of work and that are wanting to learn.</w:t>
      </w:r>
    </w:p>
    <w:p w14:paraId="274907C5"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37BBDDD1"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agree about diversity and leadership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qualifications. I think for both sides, plaintiff and defense, you want the best team representing your clients. You want that team to be diverse, but you can't sacrifice quality for diversity. One way to do this is to make sure that we're mentoring our young lawyers so that they can grow up to be the best and the most diverse leaders of our future MDL's. Judge Rosenberg in the Zantac MDL created the leadership development committee which turned into the “next gen committee” so that young lawyers can be mentored. The committee included not just young lawyers, but lawyers that are maybe more experienced in other areas but have not yet had MDL leadership positions. This was to train attorneys so they can assume leadership positions in the next MDL or the next after that so that diversity can continue but have those positions within an actual MDL.</w:t>
      </w:r>
    </w:p>
    <w:p w14:paraId="3D397F2E"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61D0E2E6"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DA78AF">
        <w:rPr>
          <w:rFonts w:ascii="Times New Roman" w:eastAsia="Times New Roman" w:hAnsi="Times New Roman" w:cs="Times New Roman"/>
          <w:sz w:val="24"/>
          <w:szCs w:val="24"/>
          <w:u w:val="single"/>
        </w:rPr>
        <w:t>Visibility of PSC Work</w:t>
      </w:r>
      <w:r>
        <w:rPr>
          <w:rFonts w:ascii="Times New Roman" w:eastAsia="Times New Roman" w:hAnsi="Times New Roman" w:cs="Times New Roman"/>
          <w:sz w:val="24"/>
          <w:szCs w:val="24"/>
        </w:rPr>
        <w:t xml:space="preserve"> -- If it is perceived by the lawyers and their clients that the few chosen to lead in MDL are truly investing time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effort for the benefit of the many, then common benefit is less of a problem and more of a demonstration. That sounds very unspecific, but there are specific ways to make that happen. This can be done by making the work of the MDL visible through websites and through recurring status conferences which can be facilitated by Zoom and teleconference. This can also be done by imposing on the leaders the active and ongoing duty to connect and communicate with their colleagues.</w:t>
      </w:r>
    </w:p>
    <w:p w14:paraId="259D6D92"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23812F9D"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DA78AF">
        <w:rPr>
          <w:rFonts w:ascii="Times New Roman" w:eastAsia="Times New Roman" w:hAnsi="Times New Roman" w:cs="Times New Roman"/>
          <w:sz w:val="24"/>
          <w:szCs w:val="24"/>
          <w:u w:val="single"/>
        </w:rPr>
        <w:t>Disclosure of Conflicts</w:t>
      </w:r>
      <w:r>
        <w:rPr>
          <w:rFonts w:ascii="Times New Roman" w:eastAsia="Times New Roman" w:hAnsi="Times New Roman" w:cs="Times New Roman"/>
          <w:sz w:val="24"/>
          <w:szCs w:val="24"/>
        </w:rPr>
        <w:t xml:space="preserve"> -- One of the things that has evolved in recent years in a more systemic way is conflict disclosures. This is done </w:t>
      </w:r>
      <w:proofErr w:type="gramStart"/>
      <w:r>
        <w:rPr>
          <w:rFonts w:ascii="Times New Roman" w:eastAsia="Times New Roman" w:hAnsi="Times New Roman" w:cs="Times New Roman"/>
          <w:sz w:val="24"/>
          <w:szCs w:val="24"/>
        </w:rPr>
        <w:t>in an effort to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ferret out</w:t>
      </w:r>
      <w:proofErr w:type="gramEnd"/>
      <w:r>
        <w:rPr>
          <w:rFonts w:ascii="Times New Roman" w:eastAsia="Times New Roman" w:hAnsi="Times New Roman" w:cs="Times New Roman"/>
          <w:sz w:val="24"/>
          <w:szCs w:val="24"/>
        </w:rPr>
        <w:t xml:space="preserve"> any potential conflicts that might exist within a leadership application. Specifically, I want to address the one that was done in the Zantac MDL recently, by Judge Rosenberg. The quite frankly excellent practice was to do a conflict disclosure, a systemic checklist of all the different things that were going to be evaluated.</w:t>
      </w:r>
      <w:r w:rsidRPr="00DA78AF">
        <w:rPr>
          <w:rFonts w:ascii="Times New Roman" w:eastAsia="Times New Roman" w:hAnsi="Times New Roman" w:cs="Times New Roman"/>
          <w:sz w:val="24"/>
          <w:szCs w:val="24"/>
        </w:rPr>
        <w:t xml:space="preserve"> </w:t>
      </w:r>
    </w:p>
    <w:p w14:paraId="2E0C6F01"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that's not really the same thing in the context of an MDL. Because when you're in leadership, there are sorts of conflicts that emerge at different phases of the litigation. The most acute one would be at the point of resolution. I worked in the </w:t>
      </w:r>
      <w:proofErr w:type="spellStart"/>
      <w:r>
        <w:rPr>
          <w:rFonts w:ascii="Times New Roman" w:eastAsia="Times New Roman" w:hAnsi="Times New Roman" w:cs="Times New Roman"/>
          <w:sz w:val="24"/>
          <w:szCs w:val="24"/>
        </w:rPr>
        <w:t>RoundUp</w:t>
      </w:r>
      <w:proofErr w:type="spellEnd"/>
      <w:r>
        <w:rPr>
          <w:rFonts w:ascii="Times New Roman" w:eastAsia="Times New Roman" w:hAnsi="Times New Roman" w:cs="Times New Roman"/>
          <w:sz w:val="24"/>
          <w:szCs w:val="24"/>
        </w:rPr>
        <w:t xml:space="preserve"> cases and that MDL, for better or worse, is still going on. All my cases have settled. What is quickly emerging within the leadership as we resolve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our cases is a vacuum in leadership. One of the questions </w:t>
      </w:r>
      <w:proofErr w:type="gramStart"/>
      <w:r>
        <w:rPr>
          <w:rFonts w:ascii="Times New Roman" w:eastAsia="Times New Roman" w:hAnsi="Times New Roman" w:cs="Times New Roman"/>
          <w:sz w:val="24"/>
          <w:szCs w:val="24"/>
        </w:rPr>
        <w:t>ask</w:t>
      </w:r>
      <w:proofErr w:type="gramEnd"/>
      <w:r>
        <w:rPr>
          <w:rFonts w:ascii="Times New Roman" w:eastAsia="Times New Roman" w:hAnsi="Times New Roman" w:cs="Times New Roman"/>
          <w:sz w:val="24"/>
          <w:szCs w:val="24"/>
        </w:rPr>
        <w:t> is whether there was a conflict when we resolved our clients’ cases but didn't resolve everyone else’s clients’ cases. What tensions exist there?</w:t>
      </w:r>
    </w:p>
    <w:p w14:paraId="2E0B5274"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036704DC"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existence of conflicts and the robustness of that evaluation applies with equal force to appointments of special masters and some extent to the defense bar, depending on how many defendants there are and how much coordination is going on there. It's </w:t>
      </w:r>
      <w:proofErr w:type="gramStart"/>
      <w:r>
        <w:rPr>
          <w:rFonts w:ascii="Times New Roman" w:eastAsia="Times New Roman" w:hAnsi="Times New Roman" w:cs="Times New Roman"/>
          <w:sz w:val="24"/>
          <w:szCs w:val="24"/>
        </w:rPr>
        <w:t>really important</w:t>
      </w:r>
      <w:proofErr w:type="gramEnd"/>
      <w:r>
        <w:rPr>
          <w:rFonts w:ascii="Times New Roman" w:eastAsia="Times New Roman" w:hAnsi="Times New Roman" w:cs="Times New Roman"/>
          <w:sz w:val="24"/>
          <w:szCs w:val="24"/>
        </w:rPr>
        <w:t> that if you're going to do that—which I think is an important obligation of any judge presiding over an MDL—is to make sure you're doing it across the board.</w:t>
      </w:r>
    </w:p>
    <w:p w14:paraId="223221CC"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78475996"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DA78AF">
        <w:rPr>
          <w:rFonts w:ascii="Times New Roman" w:eastAsia="Times New Roman" w:hAnsi="Times New Roman" w:cs="Times New Roman"/>
          <w:sz w:val="24"/>
          <w:szCs w:val="24"/>
          <w:u w:val="single"/>
        </w:rPr>
        <w:t xml:space="preserve">Agreeing on Percentage for Common Benefit </w:t>
      </w:r>
      <w:r>
        <w:rPr>
          <w:rFonts w:ascii="Times New Roman" w:eastAsia="Times New Roman" w:hAnsi="Times New Roman" w:cs="Times New Roman"/>
          <w:sz w:val="24"/>
          <w:szCs w:val="24"/>
          <w:u w:val="single"/>
        </w:rPr>
        <w:t>F</w:t>
      </w:r>
      <w:r w:rsidRPr="00DA78AF">
        <w:rPr>
          <w:rFonts w:ascii="Times New Roman" w:eastAsia="Times New Roman" w:hAnsi="Times New Roman" w:cs="Times New Roman"/>
          <w:sz w:val="24"/>
          <w:szCs w:val="24"/>
          <w:u w:val="single"/>
        </w:rPr>
        <w:t>und</w:t>
      </w:r>
      <w:r>
        <w:rPr>
          <w:rFonts w:ascii="Times New Roman" w:eastAsia="Times New Roman" w:hAnsi="Times New Roman" w:cs="Times New Roman"/>
          <w:sz w:val="24"/>
          <w:szCs w:val="24"/>
        </w:rPr>
        <w:t xml:space="preserve"> -- As a result of that, the lawyers need to work out the common benefit arrangements early. In the recent Roundup decision, for </w:t>
      </w:r>
      <w:proofErr w:type="gramStart"/>
      <w:r>
        <w:rPr>
          <w:rFonts w:ascii="Times New Roman" w:eastAsia="Times New Roman" w:hAnsi="Times New Roman" w:cs="Times New Roman"/>
          <w:sz w:val="24"/>
          <w:szCs w:val="24"/>
        </w:rPr>
        <w:t>example</w:t>
      </w:r>
      <w:proofErr w:type="gramEnd"/>
      <w:r>
        <w:rPr>
          <w:rFonts w:ascii="Times New Roman" w:eastAsia="Times New Roman" w:hAnsi="Times New Roman" w:cs="Times New Roman"/>
          <w:sz w:val="24"/>
          <w:szCs w:val="24"/>
        </w:rPr>
        <w:t xml:space="preserve"> implied that there was something nefarious about an early common benefit order. I take umbrage at that </w:t>
      </w:r>
      <w:r w:rsidRPr="00F9781B">
        <w:rPr>
          <w:rFonts w:ascii="Times New Roman" w:eastAsia="Times New Roman" w:hAnsi="Times New Roman" w:cs="Times New Roman"/>
          <w:sz w:val="24"/>
          <w:szCs w:val="24"/>
          <w:highlight w:val="yellow"/>
        </w:rPr>
        <w:t>because common benefit orders generally are worked out </w:t>
      </w:r>
      <w:proofErr w:type="gramStart"/>
      <w:r w:rsidRPr="00F9781B">
        <w:rPr>
          <w:rFonts w:ascii="Times New Roman" w:eastAsia="Times New Roman" w:hAnsi="Times New Roman" w:cs="Times New Roman"/>
          <w:sz w:val="24"/>
          <w:szCs w:val="24"/>
          <w:highlight w:val="yellow"/>
        </w:rPr>
        <w:t>fairly early</w:t>
      </w:r>
      <w:proofErr w:type="gramEnd"/>
      <w:r w:rsidRPr="00F9781B">
        <w:rPr>
          <w:rFonts w:ascii="Times New Roman" w:eastAsia="Times New Roman" w:hAnsi="Times New Roman" w:cs="Times New Roman"/>
          <w:sz w:val="24"/>
          <w:szCs w:val="24"/>
          <w:highlight w:val="yellow"/>
        </w:rPr>
        <w:t xml:space="preserve">. However, sometimes you're setting up a fund, and the amount is not worked out. The </w:t>
      </w:r>
      <w:proofErr w:type="gramStart"/>
      <w:r w:rsidRPr="00F9781B">
        <w:rPr>
          <w:rFonts w:ascii="Times New Roman" w:eastAsia="Times New Roman" w:hAnsi="Times New Roman" w:cs="Times New Roman"/>
          <w:sz w:val="24"/>
          <w:szCs w:val="24"/>
          <w:highlight w:val="yellow"/>
        </w:rPr>
        <w:t>reason</w:t>
      </w:r>
      <w:proofErr w:type="gramEnd"/>
      <w:r w:rsidRPr="00F9781B">
        <w:rPr>
          <w:rFonts w:ascii="Times New Roman" w:eastAsia="Times New Roman" w:hAnsi="Times New Roman" w:cs="Times New Roman"/>
          <w:sz w:val="24"/>
          <w:szCs w:val="24"/>
          <w:highlight w:val="yellow"/>
        </w:rPr>
        <w:t xml:space="preserve"> for this can vary.</w:t>
      </w:r>
      <w:r>
        <w:rPr>
          <w:rFonts w:ascii="Times New Roman" w:eastAsia="Times New Roman" w:hAnsi="Times New Roman" w:cs="Times New Roman"/>
          <w:sz w:val="24"/>
          <w:szCs w:val="24"/>
        </w:rPr>
        <w:t xml:space="preserve"> You don't know whether the litigation is going to settle in six months where there could be a small common benefit because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that much work. Or it could be a 10-year battle with his multiple appeals, in which case you need to higher one. </w:t>
      </w:r>
      <w:r w:rsidRPr="00F9781B">
        <w:rPr>
          <w:rFonts w:ascii="Times New Roman" w:eastAsia="Times New Roman" w:hAnsi="Times New Roman" w:cs="Times New Roman"/>
          <w:sz w:val="24"/>
          <w:szCs w:val="24"/>
          <w:highlight w:val="yellow"/>
        </w:rPr>
        <w:t xml:space="preserve">But you need to have some ground rules so that </w:t>
      </w:r>
      <w:proofErr w:type="gramStart"/>
      <w:r w:rsidRPr="00F9781B">
        <w:rPr>
          <w:rFonts w:ascii="Times New Roman" w:eastAsia="Times New Roman" w:hAnsi="Times New Roman" w:cs="Times New Roman"/>
          <w:sz w:val="24"/>
          <w:szCs w:val="24"/>
          <w:highlight w:val="yellow"/>
        </w:rPr>
        <w:t>the </w:t>
      </w:r>
      <w:proofErr w:type="spellStart"/>
      <w:r w:rsidRPr="00F9781B">
        <w:rPr>
          <w:rFonts w:ascii="Times New Roman" w:eastAsia="Times New Roman" w:hAnsi="Times New Roman" w:cs="Times New Roman"/>
          <w:sz w:val="24"/>
          <w:szCs w:val="24"/>
          <w:highlight w:val="yellow"/>
        </w:rPr>
        <w:t>the</w:t>
      </w:r>
      <w:proofErr w:type="spellEnd"/>
      <w:proofErr w:type="gramEnd"/>
      <w:r w:rsidRPr="00F9781B">
        <w:rPr>
          <w:rFonts w:ascii="Times New Roman" w:eastAsia="Times New Roman" w:hAnsi="Times New Roman" w:cs="Times New Roman"/>
          <w:sz w:val="24"/>
          <w:szCs w:val="24"/>
          <w:highlight w:val="yellow"/>
        </w:rPr>
        <w:t xml:space="preserve"> lawyers on </w:t>
      </w:r>
      <w:r w:rsidRPr="00F9781B">
        <w:rPr>
          <w:rFonts w:ascii="Times New Roman" w:eastAsia="Times New Roman" w:hAnsi="Times New Roman" w:cs="Times New Roman"/>
          <w:sz w:val="24"/>
          <w:szCs w:val="24"/>
          <w:highlight w:val="yellow"/>
        </w:rPr>
        <w:lastRenderedPageBreak/>
        <w:t>the state and federal side, and sometimes they're all one in the same playing in in you know, both state and federal court, can work together.</w:t>
      </w:r>
    </w:p>
    <w:p w14:paraId="6444BE76"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3C4B8F28"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8A742F">
        <w:rPr>
          <w:rFonts w:ascii="Times New Roman" w:eastAsia="Times New Roman" w:hAnsi="Times New Roman" w:cs="Times New Roman"/>
          <w:sz w:val="24"/>
          <w:szCs w:val="24"/>
          <w:u w:val="single"/>
        </w:rPr>
        <w:t>Accounting for Different Low State Contingency Fees</w:t>
      </w:r>
      <w:r>
        <w:rPr>
          <w:rFonts w:ascii="Times New Roman" w:eastAsia="Times New Roman" w:hAnsi="Times New Roman" w:cs="Times New Roman"/>
          <w:sz w:val="24"/>
          <w:szCs w:val="24"/>
        </w:rPr>
        <w:t xml:space="preserve"> -- A different example I can give where I was involved in the state court litigation, Stryker rejuvenate, in New Jersey. That's a Jersey company. </w:t>
      </w:r>
      <w:r w:rsidRPr="00F9781B">
        <w:rPr>
          <w:rFonts w:ascii="Times New Roman" w:eastAsia="Times New Roman" w:hAnsi="Times New Roman" w:cs="Times New Roman"/>
          <w:sz w:val="24"/>
          <w:szCs w:val="24"/>
          <w:highlight w:val="yellow"/>
        </w:rPr>
        <w:t>New Jersey has the lowest contingency fee. It's a third with downward sliding scale after a threshold.</w:t>
      </w:r>
      <w:r>
        <w:rPr>
          <w:rFonts w:ascii="Times New Roman" w:eastAsia="Times New Roman" w:hAnsi="Times New Roman" w:cs="Times New Roman"/>
          <w:sz w:val="24"/>
          <w:szCs w:val="24"/>
        </w:rPr>
        <w:t xml:space="preserve"> There was also an MDL. We're like a common benefit on top of that because the litigation began in New Jersey and was already in getting close to a bellwether mediation mode that Judge will talk about. I negotiated with my colleagues in the MDL, and we had a common benefit order that exempted </w:t>
      </w:r>
      <w:proofErr w:type="gramStart"/>
      <w:r>
        <w:rPr>
          <w:rFonts w:ascii="Times New Roman" w:eastAsia="Times New Roman" w:hAnsi="Times New Roman" w:cs="Times New Roman"/>
          <w:sz w:val="24"/>
          <w:szCs w:val="24"/>
        </w:rPr>
        <w:t>New Jersey</w:t>
      </w:r>
      <w:proofErr w:type="gramEnd"/>
      <w:r>
        <w:rPr>
          <w:rFonts w:ascii="Times New Roman" w:eastAsia="Times New Roman" w:hAnsi="Times New Roman" w:cs="Times New Roman"/>
          <w:sz w:val="24"/>
          <w:szCs w:val="24"/>
        </w:rPr>
        <w:t xml:space="preserve"> and we worked together and that was hammered out in the beginning. </w:t>
      </w:r>
    </w:p>
    <w:p w14:paraId="39BFC6A7"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0D34B556"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8A742F">
        <w:rPr>
          <w:rFonts w:ascii="Times New Roman" w:eastAsia="Times New Roman" w:hAnsi="Times New Roman" w:cs="Times New Roman"/>
          <w:sz w:val="24"/>
          <w:szCs w:val="24"/>
          <w:u w:val="single"/>
        </w:rPr>
        <w:t>PSC Expenses</w:t>
      </w:r>
      <w:r>
        <w:rPr>
          <w:rFonts w:ascii="Times New Roman" w:eastAsia="Times New Roman" w:hAnsi="Times New Roman" w:cs="Times New Roman"/>
          <w:sz w:val="24"/>
          <w:szCs w:val="24"/>
        </w:rPr>
        <w:t xml:space="preserve"> -- </w:t>
      </w:r>
      <w:r w:rsidRPr="00F9781B">
        <w:rPr>
          <w:rFonts w:ascii="Times New Roman" w:eastAsia="Times New Roman" w:hAnsi="Times New Roman" w:cs="Times New Roman"/>
          <w:sz w:val="24"/>
          <w:szCs w:val="24"/>
          <w:highlight w:val="yellow"/>
        </w:rPr>
        <w:t xml:space="preserve">In Roundup, the papers </w:t>
      </w:r>
      <w:proofErr w:type="gramStart"/>
      <w:r w:rsidRPr="00F9781B">
        <w:rPr>
          <w:rFonts w:ascii="Times New Roman" w:eastAsia="Times New Roman" w:hAnsi="Times New Roman" w:cs="Times New Roman"/>
          <w:sz w:val="24"/>
          <w:szCs w:val="24"/>
          <w:highlight w:val="yellow"/>
        </w:rPr>
        <w:t>reflect</w:t>
      </w:r>
      <w:proofErr w:type="gramEnd"/>
      <w:r w:rsidRPr="00F9781B">
        <w:rPr>
          <w:rFonts w:ascii="Times New Roman" w:eastAsia="Times New Roman" w:hAnsi="Times New Roman" w:cs="Times New Roman"/>
          <w:sz w:val="24"/>
          <w:szCs w:val="24"/>
          <w:highlight w:val="yellow"/>
        </w:rPr>
        <w:t xml:space="preserve"> that the lawyers from the six firms who were the only the lawyers running it spent </w:t>
      </w:r>
      <w:proofErr w:type="gramStart"/>
      <w:r w:rsidRPr="00F9781B">
        <w:rPr>
          <w:rFonts w:ascii="Times New Roman" w:eastAsia="Times New Roman" w:hAnsi="Times New Roman" w:cs="Times New Roman"/>
          <w:sz w:val="24"/>
          <w:szCs w:val="24"/>
          <w:highlight w:val="yellow"/>
        </w:rPr>
        <w:t>in excess of</w:t>
      </w:r>
      <w:proofErr w:type="gramEnd"/>
      <w:r w:rsidRPr="00F9781B">
        <w:rPr>
          <w:rFonts w:ascii="Times New Roman" w:eastAsia="Times New Roman" w:hAnsi="Times New Roman" w:cs="Times New Roman"/>
          <w:sz w:val="24"/>
          <w:szCs w:val="24"/>
          <w:highlight w:val="yellow"/>
        </w:rPr>
        <w:t xml:space="preserve"> $20 million.</w:t>
      </w:r>
      <w:r>
        <w:rPr>
          <w:rFonts w:ascii="Times New Roman" w:eastAsia="Times New Roman" w:hAnsi="Times New Roman" w:cs="Times New Roman"/>
          <w:sz w:val="24"/>
          <w:szCs w:val="24"/>
        </w:rPr>
        <w:t xml:space="preserve"> In that case, I would say that </w:t>
      </w:r>
      <w:proofErr w:type="gramStart"/>
      <w:r>
        <w:rPr>
          <w:rFonts w:ascii="Times New Roman" w:eastAsia="Times New Roman" w:hAnsi="Times New Roman" w:cs="Times New Roman"/>
          <w:sz w:val="24"/>
          <w:szCs w:val="24"/>
        </w:rPr>
        <w:t>the  clients</w:t>
      </w:r>
      <w:proofErr w:type="gramEnd"/>
      <w:r>
        <w:rPr>
          <w:rFonts w:ascii="Times New Roman" w:eastAsia="Times New Roman" w:hAnsi="Times New Roman" w:cs="Times New Roman"/>
          <w:sz w:val="24"/>
          <w:szCs w:val="24"/>
        </w:rPr>
        <w:t xml:space="preserve"> from the MDL cases ended up having to pay costs that all the other plaintiffs who were not in the MDL and did not get assessed and ended up having no costs. That is certainly not appropriate in my view.</w:t>
      </w:r>
    </w:p>
    <w:p w14:paraId="3A1D4E5A"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1153AFAF"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B0124F">
        <w:rPr>
          <w:rFonts w:ascii="Times New Roman" w:eastAsia="Times New Roman" w:hAnsi="Times New Roman" w:cs="Times New Roman"/>
          <w:sz w:val="24"/>
          <w:szCs w:val="24"/>
          <w:u w:val="single"/>
        </w:rPr>
        <w:t>Determining Percentage</w:t>
      </w:r>
      <w:r>
        <w:rPr>
          <w:rFonts w:ascii="Times New Roman" w:eastAsia="Times New Roman" w:hAnsi="Times New Roman" w:cs="Times New Roman"/>
          <w:sz w:val="24"/>
          <w:szCs w:val="24"/>
        </w:rPr>
        <w:t xml:space="preserve"> -- My question is for you in terms of the concept of trying to front load the common benefit structure. I was co-lead in the Actos case. From the beginning said, many said we've got to get this horse in the barn. We've got to have a common benefit order in place. I said to a colleague, “I know this judge and the first question is going to be. A percentage of </w:t>
      </w:r>
      <w:r>
        <w:rPr>
          <w:rFonts w:ascii="Times New Roman" w:eastAsia="Times New Roman" w:hAnsi="Times New Roman" w:cs="Times New Roman"/>
          <w:i/>
          <w:iCs/>
          <w:sz w:val="24"/>
          <w:szCs w:val="24"/>
        </w:rPr>
        <w:t>what</w:t>
      </w:r>
      <w:r>
        <w:rPr>
          <w:rFonts w:ascii="Times New Roman" w:eastAsia="Times New Roman" w:hAnsi="Times New Roman" w:cs="Times New Roman"/>
          <w:sz w:val="24"/>
          <w:szCs w:val="24"/>
        </w:rPr>
        <w:t xml:space="preserve"> to service </w:t>
      </w:r>
      <w:r>
        <w:rPr>
          <w:rFonts w:ascii="Times New Roman" w:eastAsia="Times New Roman" w:hAnsi="Times New Roman" w:cs="Times New Roman"/>
          <w:i/>
          <w:iCs/>
          <w:sz w:val="24"/>
          <w:szCs w:val="24"/>
        </w:rPr>
        <w:t>what</w:t>
      </w:r>
      <w:r w:rsidRPr="00F9781B">
        <w:rPr>
          <w:rFonts w:ascii="Times New Roman" w:eastAsia="Times New Roman" w:hAnsi="Times New Roman" w:cs="Times New Roman"/>
          <w:sz w:val="24"/>
          <w:szCs w:val="24"/>
          <w:highlight w:val="yellow"/>
        </w:rPr>
        <w:t>?” At the embryonic stages of the litigation, no one knows or can predict what the value of this result is going to be or if there's going to be a result and how much common benefit is going to be in that.</w:t>
      </w:r>
    </w:p>
    <w:p w14:paraId="52879002"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35AC88D9"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my question is for those of you that are in favor of an early common benefit order identifying or getting an order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our percentage, where you want to avoid what people later will say “a bait and switch” where you started out at 3.2 and you now 7.3 at the end of the day. How do you deal with that challenge of finding the sweet spot on what the percentage ought to be for the common benefit fees and the common benefit costs?</w:t>
      </w:r>
    </w:p>
    <w:p w14:paraId="370ACACB"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34129F0B"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That's a great question and it's not an easy one. If you know it's going to be a real long-drawn-out battle, you have a better sense than if you know, for example, litigations over recalled products that weren’t warned about. We can all tell which litigations are going to settle earlier and those should have more modest ones.</w:t>
      </w:r>
    </w:p>
    <w:p w14:paraId="496C45E8"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59C2B81C"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my colleagues have criticized me. For example, in Depuy, I originally said it was 3.1 and then ultimately it got raised. So, was there a bait and switch </w:t>
      </w:r>
      <w:proofErr w:type="gramStart"/>
      <w:r>
        <w:rPr>
          <w:rFonts w:ascii="Times New Roman" w:eastAsia="Times New Roman" w:hAnsi="Times New Roman" w:cs="Times New Roman"/>
          <w:sz w:val="24"/>
          <w:szCs w:val="24"/>
        </w:rPr>
        <w:t>that it</w:t>
      </w:r>
      <w:proofErr w:type="gramEnd"/>
      <w:r>
        <w:rPr>
          <w:rFonts w:ascii="Times New Roman" w:eastAsia="Times New Roman" w:hAnsi="Times New Roman" w:cs="Times New Roman"/>
          <w:sz w:val="24"/>
          <w:szCs w:val="24"/>
        </w:rPr>
        <w:t xml:space="preserve"> went up from 3% to 5%? I think everyone understood that there were some trials before we got delivered a global settlement.</w:t>
      </w:r>
    </w:p>
    <w:p w14:paraId="1E1DFA6B"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7F1C9217"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F9781B">
        <w:rPr>
          <w:rFonts w:ascii="Times New Roman" w:eastAsia="Times New Roman" w:hAnsi="Times New Roman" w:cs="Times New Roman"/>
          <w:sz w:val="24"/>
          <w:szCs w:val="24"/>
          <w:highlight w:val="yellow"/>
        </w:rPr>
        <w:t xml:space="preserve">I think there's some litigations where the initial common benefit is too high. I've seen somewhere that starts at 10 or 12, and that's kind of high until you </w:t>
      </w:r>
      <w:proofErr w:type="gramStart"/>
      <w:r w:rsidRPr="00F9781B">
        <w:rPr>
          <w:rFonts w:ascii="Times New Roman" w:eastAsia="Times New Roman" w:hAnsi="Times New Roman" w:cs="Times New Roman"/>
          <w:sz w:val="24"/>
          <w:szCs w:val="24"/>
          <w:highlight w:val="yellow"/>
        </w:rPr>
        <w:t>know you</w:t>
      </w:r>
      <w:proofErr w:type="gramEnd"/>
      <w:r w:rsidRPr="00F9781B">
        <w:rPr>
          <w:rFonts w:ascii="Times New Roman" w:eastAsia="Times New Roman" w:hAnsi="Times New Roman" w:cs="Times New Roman"/>
          <w:sz w:val="24"/>
          <w:szCs w:val="24"/>
          <w:highlight w:val="yellow"/>
        </w:rPr>
        <w:t xml:space="preserve"> that you need it. But there's always the time people do feel bait and switched if it gets increased. But my view is just you need to have some institutional structures so that people know if you want to get the state court lawyers to work together. If there's always this, “we don't know what we're buying into.” If these lawyers </w:t>
      </w:r>
      <w:r w:rsidRPr="00F9781B">
        <w:rPr>
          <w:rFonts w:ascii="Times New Roman" w:eastAsia="Times New Roman" w:hAnsi="Times New Roman" w:cs="Times New Roman"/>
          <w:sz w:val="24"/>
          <w:szCs w:val="24"/>
          <w:highlight w:val="yellow"/>
        </w:rPr>
        <w:lastRenderedPageBreak/>
        <w:t>know that this is the ground rules and then they're willing to sign the participation agreement, there's no surprise.</w:t>
      </w:r>
    </w:p>
    <w:p w14:paraId="061D778B"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337FB449"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6079C5">
        <w:rPr>
          <w:rFonts w:ascii="Times New Roman" w:eastAsia="Times New Roman" w:hAnsi="Times New Roman" w:cs="Times New Roman"/>
          <w:sz w:val="24"/>
          <w:szCs w:val="24"/>
          <w:u w:val="single"/>
        </w:rPr>
        <w:t xml:space="preserve">Percentages in </w:t>
      </w:r>
      <w:r>
        <w:rPr>
          <w:rFonts w:ascii="Times New Roman" w:eastAsia="Times New Roman" w:hAnsi="Times New Roman" w:cs="Times New Roman"/>
          <w:sz w:val="24"/>
          <w:szCs w:val="24"/>
          <w:u w:val="single"/>
        </w:rPr>
        <w:t>B</w:t>
      </w:r>
      <w:r w:rsidRPr="006079C5">
        <w:rPr>
          <w:rFonts w:ascii="Times New Roman" w:eastAsia="Times New Roman" w:hAnsi="Times New Roman" w:cs="Times New Roman"/>
          <w:sz w:val="24"/>
          <w:szCs w:val="24"/>
          <w:u w:val="single"/>
        </w:rPr>
        <w:t>illion Dollar MDLs</w:t>
      </w:r>
      <w:r>
        <w:rPr>
          <w:rFonts w:ascii="Times New Roman" w:eastAsia="Times New Roman" w:hAnsi="Times New Roman" w:cs="Times New Roman"/>
          <w:sz w:val="24"/>
          <w:szCs w:val="24"/>
        </w:rPr>
        <w:t xml:space="preserve"> -- </w:t>
      </w:r>
      <w:r w:rsidRPr="00F9781B">
        <w:rPr>
          <w:rFonts w:ascii="Times New Roman" w:eastAsia="Times New Roman" w:hAnsi="Times New Roman" w:cs="Times New Roman"/>
          <w:sz w:val="24"/>
          <w:szCs w:val="24"/>
          <w:highlight w:val="yellow"/>
        </w:rPr>
        <w:t>If we're 5% of 10 million dollars, that's one thing. If it's 5% of 100,000,000, it's another. What happens when you're at 17 or 20 potential billion dollars like we are in Roundup?</w:t>
      </w:r>
      <w:r>
        <w:rPr>
          <w:rFonts w:ascii="Times New Roman" w:eastAsia="Times New Roman" w:hAnsi="Times New Roman" w:cs="Times New Roman"/>
          <w:sz w:val="24"/>
          <w:szCs w:val="24"/>
        </w:rPr>
        <w:t> 5% of that is a staggering amount of money, and I don't know if anybody comes with a straight face and says they knew that's where we would end up back in 2016 when we started the project. So, I think it's a difficult thing to say a percentage.</w:t>
      </w:r>
    </w:p>
    <w:p w14:paraId="4534357A"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7EF464CE" w14:textId="0375F065"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F9781B">
        <w:rPr>
          <w:rFonts w:ascii="Times New Roman" w:eastAsia="Times New Roman" w:hAnsi="Times New Roman" w:cs="Times New Roman"/>
          <w:sz w:val="24"/>
          <w:szCs w:val="24"/>
          <w:highlight w:val="yellow"/>
        </w:rPr>
        <w:t xml:space="preserve">In the </w:t>
      </w:r>
      <w:r w:rsidR="00F9781B" w:rsidRPr="00F9781B">
        <w:rPr>
          <w:rFonts w:ascii="Times New Roman" w:eastAsia="Times New Roman" w:hAnsi="Times New Roman" w:cs="Times New Roman"/>
          <w:sz w:val="24"/>
          <w:szCs w:val="24"/>
          <w:highlight w:val="yellow"/>
        </w:rPr>
        <w:t>O</w:t>
      </w:r>
      <w:r w:rsidRPr="00F9781B">
        <w:rPr>
          <w:rFonts w:ascii="Times New Roman" w:eastAsia="Times New Roman" w:hAnsi="Times New Roman" w:cs="Times New Roman"/>
          <w:sz w:val="24"/>
          <w:szCs w:val="24"/>
          <w:highlight w:val="yellow"/>
        </w:rPr>
        <w:t>pioid case, our participation agreement says that you will pay the fee to be determined by the court. So, it doesn't have a number in it. When in the TVM MDL, we had over about 600,000 hours and we had 100,000 individual cases. In the opioid case, we started in January 2018, we have over 2,000,000 hours build in common benefit current time.</w:t>
      </w:r>
      <w:r>
        <w:rPr>
          <w:rFonts w:ascii="Times New Roman" w:eastAsia="Times New Roman" w:hAnsi="Times New Roman" w:cs="Times New Roman"/>
          <w:sz w:val="24"/>
          <w:szCs w:val="24"/>
        </w:rPr>
        <w:t xml:space="preserve"> I would never have imagined that either, so I don't know how you set a number in every case. I think you can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an order to be determined by the court up to X, not to exceed Y. Something like that, but the acknowledgement in the process needs to be done </w:t>
      </w:r>
      <w:proofErr w:type="gramStart"/>
      <w:r>
        <w:rPr>
          <w:rFonts w:ascii="Times New Roman" w:eastAsia="Times New Roman" w:hAnsi="Times New Roman" w:cs="Times New Roman"/>
          <w:sz w:val="24"/>
          <w:szCs w:val="24"/>
        </w:rPr>
        <w:t>early on in the</w:t>
      </w:r>
      <w:proofErr w:type="gramEnd"/>
      <w:r>
        <w:rPr>
          <w:rFonts w:ascii="Times New Roman" w:eastAsia="Times New Roman" w:hAnsi="Times New Roman" w:cs="Times New Roman"/>
          <w:sz w:val="24"/>
          <w:szCs w:val="24"/>
        </w:rPr>
        <w:t> structure</w:t>
      </w:r>
    </w:p>
    <w:p w14:paraId="00CC2ABA"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338FC6A9"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B0124F">
        <w:rPr>
          <w:rFonts w:ascii="Times New Roman" w:eastAsia="Times New Roman" w:hAnsi="Times New Roman" w:cs="Times New Roman"/>
          <w:sz w:val="24"/>
          <w:szCs w:val="24"/>
          <w:u w:val="single"/>
        </w:rPr>
        <w:t>Recordkeeping</w:t>
      </w:r>
      <w:r>
        <w:rPr>
          <w:rFonts w:ascii="Times New Roman" w:eastAsia="Times New Roman" w:hAnsi="Times New Roman" w:cs="Times New Roman"/>
          <w:sz w:val="24"/>
          <w:szCs w:val="24"/>
        </w:rPr>
        <w:t xml:space="preserve"> -- And it's becoming common now to have a very early case management order, which is the common </w:t>
      </w:r>
      <w:proofErr w:type="gramStart"/>
      <w:r>
        <w:rPr>
          <w:rFonts w:ascii="Times New Roman" w:eastAsia="Times New Roman" w:hAnsi="Times New Roman" w:cs="Times New Roman"/>
          <w:sz w:val="24"/>
          <w:szCs w:val="24"/>
        </w:rPr>
        <w:t>benefit</w:t>
      </w:r>
      <w:proofErr w:type="gramEnd"/>
      <w:r>
        <w:rPr>
          <w:rFonts w:ascii="Times New Roman" w:eastAsia="Times New Roman" w:hAnsi="Times New Roman" w:cs="Times New Roman"/>
          <w:sz w:val="24"/>
          <w:szCs w:val="24"/>
        </w:rPr>
        <w:t xml:space="preserve"> time keeping and cost reporting protocol order. That says two very important things. First, we will be keeping track of the time and costs. We will be defining what is common benefit. Those orders often authorize or direct leadership to include non-appointed counsel and to include state court counsel in that process. Everyone </w:t>
      </w:r>
      <w:proofErr w:type="gramStart"/>
      <w:r>
        <w:rPr>
          <w:rFonts w:ascii="Times New Roman" w:eastAsia="Times New Roman" w:hAnsi="Times New Roman" w:cs="Times New Roman"/>
          <w:sz w:val="24"/>
          <w:szCs w:val="24"/>
        </w:rPr>
        <w:t>is following</w:t>
      </w:r>
      <w:proofErr w:type="gramEnd"/>
      <w:r>
        <w:rPr>
          <w:rFonts w:ascii="Times New Roman" w:eastAsia="Times New Roman" w:hAnsi="Times New Roman" w:cs="Times New Roman"/>
          <w:sz w:val="24"/>
          <w:szCs w:val="24"/>
        </w:rPr>
        <w:t xml:space="preserve"> the same rules. Either one of the </w:t>
      </w:r>
      <w:proofErr w:type="gramStart"/>
      <w:r>
        <w:rPr>
          <w:rFonts w:ascii="Times New Roman" w:eastAsia="Times New Roman" w:hAnsi="Times New Roman" w:cs="Times New Roman"/>
          <w:sz w:val="24"/>
          <w:szCs w:val="24"/>
        </w:rPr>
        <w:t>leads</w:t>
      </w:r>
      <w:proofErr w:type="gramEnd"/>
      <w:r>
        <w:rPr>
          <w:rFonts w:ascii="Times New Roman" w:eastAsia="Times New Roman" w:hAnsi="Times New Roman" w:cs="Times New Roman"/>
          <w:sz w:val="24"/>
          <w:szCs w:val="24"/>
        </w:rPr>
        <w:t xml:space="preserve"> or an outside accounting firm is tasked with keeping track of that. They are reporting </w:t>
      </w:r>
      <w:proofErr w:type="gramStart"/>
      <w:r>
        <w:rPr>
          <w:rFonts w:ascii="Times New Roman" w:eastAsia="Times New Roman" w:hAnsi="Times New Roman" w:cs="Times New Roman"/>
          <w:sz w:val="24"/>
          <w:szCs w:val="24"/>
        </w:rPr>
        <w:t>into</w:t>
      </w:r>
      <w:proofErr w:type="gramEnd"/>
      <w:r>
        <w:rPr>
          <w:rFonts w:ascii="Times New Roman" w:eastAsia="Times New Roman" w:hAnsi="Times New Roman" w:cs="Times New Roman"/>
          <w:sz w:val="24"/>
          <w:szCs w:val="24"/>
        </w:rPr>
        <w:t xml:space="preserve"> the court on request and reporting into leadership. </w:t>
      </w:r>
    </w:p>
    <w:p w14:paraId="2DC517DD"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7D314FC9"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F9781B">
        <w:rPr>
          <w:rFonts w:ascii="Times New Roman" w:eastAsia="Times New Roman" w:hAnsi="Times New Roman" w:cs="Times New Roman"/>
          <w:sz w:val="24"/>
          <w:szCs w:val="24"/>
          <w:highlight w:val="yellow"/>
        </w:rPr>
        <w:t xml:space="preserve">So, leadership knows early </w:t>
      </w:r>
      <w:proofErr w:type="gramStart"/>
      <w:r w:rsidRPr="00F9781B">
        <w:rPr>
          <w:rFonts w:ascii="Times New Roman" w:eastAsia="Times New Roman" w:hAnsi="Times New Roman" w:cs="Times New Roman"/>
          <w:sz w:val="24"/>
          <w:szCs w:val="24"/>
          <w:highlight w:val="yellow"/>
        </w:rPr>
        <w:t>on about</w:t>
      </w:r>
      <w:proofErr w:type="gramEnd"/>
      <w:r w:rsidRPr="00F9781B">
        <w:rPr>
          <w:rFonts w:ascii="Times New Roman" w:eastAsia="Times New Roman" w:hAnsi="Times New Roman" w:cs="Times New Roman"/>
          <w:sz w:val="24"/>
          <w:szCs w:val="24"/>
          <w:highlight w:val="yellow"/>
        </w:rPr>
        <w:t xml:space="preserve"> how complicated and how expensive this MDL is getting. It doesn't completely solve the problem of what is the perfect percentage. That's also a political and an equitable issue, but it provides the data to know “is this a case in which common benefit can be addressed through a very small percentage? Is the percentage going to have to be higher?” We can then compare that data with data in the many other MDLS where we know what the percentage assessment was at the end, and we know what the total amount of common benefit time and cost was. It's becoming more systematized.</w:t>
      </w:r>
      <w:r>
        <w:rPr>
          <w:rFonts w:ascii="Times New Roman" w:eastAsia="Times New Roman" w:hAnsi="Times New Roman" w:cs="Times New Roman"/>
          <w:sz w:val="24"/>
          <w:szCs w:val="24"/>
        </w:rPr>
        <w:t> There's no rule for it, but we now have comparative data, so at least we can say we're in the sweet spot of comparable MDLS in terms of time, cost, effort, protractedness. We're not asking for an amount that's too much or too little.</w:t>
      </w:r>
    </w:p>
    <w:p w14:paraId="67CEDA0D"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059008E8" w14:textId="77777777" w:rsidR="008805ED" w:rsidRDefault="008805ED" w:rsidP="008805ED">
      <w:pPr>
        <w:spacing w:after="0" w:line="240" w:lineRule="auto"/>
        <w:rPr>
          <w:rFonts w:ascii="Century Schoolbook" w:hAnsi="Century Schoolbook"/>
          <w:b/>
          <w:bCs/>
        </w:rPr>
      </w:pPr>
      <w:r w:rsidRPr="00B300A5">
        <w:rPr>
          <w:rFonts w:ascii="Century Schoolbook" w:hAnsi="Century Schoolbook"/>
          <w:b/>
          <w:bCs/>
        </w:rPr>
        <w:t xml:space="preserve">Panel 2 – Census </w:t>
      </w:r>
      <w:r>
        <w:rPr>
          <w:rFonts w:ascii="Century Schoolbook" w:hAnsi="Century Schoolbook"/>
          <w:b/>
          <w:bCs/>
        </w:rPr>
        <w:t>O</w:t>
      </w:r>
      <w:r w:rsidRPr="00B300A5">
        <w:rPr>
          <w:rFonts w:ascii="Century Schoolbook" w:hAnsi="Century Schoolbook"/>
          <w:b/>
          <w:bCs/>
        </w:rPr>
        <w:t xml:space="preserve">rders; </w:t>
      </w:r>
      <w:r>
        <w:rPr>
          <w:rFonts w:ascii="Century Schoolbook" w:hAnsi="Century Schoolbook"/>
          <w:b/>
          <w:bCs/>
        </w:rPr>
        <w:t>D</w:t>
      </w:r>
      <w:r w:rsidRPr="00B300A5">
        <w:rPr>
          <w:rFonts w:ascii="Century Schoolbook" w:hAnsi="Century Schoolbook"/>
          <w:b/>
          <w:bCs/>
        </w:rPr>
        <w:t>iscovery</w:t>
      </w:r>
    </w:p>
    <w:p w14:paraId="01B25A24" w14:textId="77777777" w:rsidR="008805ED" w:rsidRPr="00B300A5" w:rsidRDefault="008805ED" w:rsidP="008805ED">
      <w:pPr>
        <w:spacing w:after="0" w:line="240" w:lineRule="auto"/>
        <w:rPr>
          <w:rFonts w:ascii="Century Schoolbook" w:hAnsi="Century Schoolbook"/>
          <w:b/>
          <w:bCs/>
        </w:rPr>
      </w:pPr>
    </w:p>
    <w:p w14:paraId="3238D0D9" w14:textId="77777777" w:rsidR="008805ED" w:rsidRDefault="008805ED" w:rsidP="008805ED">
      <w:pPr>
        <w:spacing w:after="0" w:line="240" w:lineRule="auto"/>
        <w:rPr>
          <w:rFonts w:ascii="Century Schoolbook" w:hAnsi="Century Schoolbook"/>
          <w:u w:val="single"/>
        </w:rPr>
      </w:pPr>
      <w:r>
        <w:rPr>
          <w:rFonts w:ascii="Century Schoolbook" w:hAnsi="Century Schoolbook"/>
          <w:u w:val="single"/>
        </w:rPr>
        <w:t>I.</w:t>
      </w:r>
      <w:r>
        <w:rPr>
          <w:rFonts w:ascii="Century Schoolbook" w:hAnsi="Century Schoolbook"/>
          <w:u w:val="single"/>
        </w:rPr>
        <w:tab/>
        <w:t>Discovery</w:t>
      </w:r>
    </w:p>
    <w:p w14:paraId="48B0F066" w14:textId="77777777" w:rsidR="008805ED" w:rsidRDefault="008805ED" w:rsidP="008805ED">
      <w:pPr>
        <w:spacing w:after="0" w:line="240" w:lineRule="auto"/>
        <w:rPr>
          <w:rFonts w:ascii="Century Schoolbook" w:hAnsi="Century Schoolbook"/>
          <w:u w:val="single"/>
        </w:rPr>
      </w:pPr>
    </w:p>
    <w:p w14:paraId="4703422F"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4F0BAC">
        <w:rPr>
          <w:rFonts w:ascii="Times New Roman" w:eastAsia="Times New Roman" w:hAnsi="Times New Roman" w:cs="Times New Roman"/>
          <w:sz w:val="24"/>
          <w:szCs w:val="24"/>
          <w:u w:val="single"/>
        </w:rPr>
        <w:t>Discovery Infrastructure</w:t>
      </w:r>
      <w:r>
        <w:rPr>
          <w:rFonts w:ascii="Times New Roman" w:eastAsia="Times New Roman" w:hAnsi="Times New Roman" w:cs="Times New Roman"/>
          <w:sz w:val="24"/>
          <w:szCs w:val="24"/>
        </w:rPr>
        <w:t xml:space="preserve"> -- One, of course, is the infrastructure of the common discovery, which is the purpose of the MDL. That is literally an infrastructure. It takes up space. Not as much physical space as in the day when we had physical document repositories that everyone visited. But it takes up </w:t>
      </w:r>
      <w:proofErr w:type="gramStart"/>
      <w:r>
        <w:rPr>
          <w:rFonts w:ascii="Times New Roman" w:eastAsia="Times New Roman" w:hAnsi="Times New Roman" w:cs="Times New Roman"/>
          <w:sz w:val="24"/>
          <w:szCs w:val="24"/>
        </w:rPr>
        <w:t>much</w:t>
      </w:r>
      <w:proofErr w:type="gramEnd"/>
      <w:r>
        <w:rPr>
          <w:rFonts w:ascii="Times New Roman" w:eastAsia="Times New Roman" w:hAnsi="Times New Roman" w:cs="Times New Roman"/>
          <w:sz w:val="24"/>
          <w:szCs w:val="24"/>
        </w:rPr>
        <w:t xml:space="preserve"> space in terms of data and it is expensive. It must be built and maintained and staffed and that is usually the task of the lawyers and leadership of the MDL. That discovery infrastructure is a thing. It’s a </w:t>
      </w:r>
      <w:proofErr w:type="gramStart"/>
      <w:r>
        <w:rPr>
          <w:rFonts w:ascii="Times New Roman" w:eastAsia="Times New Roman" w:hAnsi="Times New Roman" w:cs="Times New Roman"/>
          <w:sz w:val="24"/>
          <w:szCs w:val="24"/>
        </w:rPr>
        <w:t>res</w:t>
      </w:r>
      <w:proofErr w:type="gramEnd"/>
      <w:r>
        <w:rPr>
          <w:rFonts w:ascii="Times New Roman" w:eastAsia="Times New Roman" w:hAnsi="Times New Roman" w:cs="Times New Roman"/>
          <w:sz w:val="24"/>
          <w:szCs w:val="24"/>
        </w:rPr>
        <w:t xml:space="preserve">. The MDL court has essentially in rem jurisdiction over that. It's also a thing that must be shared with lawyers and related litigation, so they don't have to go build their own.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plaintiffs and defendants don't have to replicate that structure.</w:t>
      </w:r>
    </w:p>
    <w:p w14:paraId="630EE9B3"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4E28760E" w14:textId="77777777" w:rsidR="008805ED" w:rsidRDefault="008805ED" w:rsidP="008805ED">
      <w:pPr>
        <w:spacing w:after="0" w:line="240" w:lineRule="auto"/>
        <w:rPr>
          <w:rFonts w:ascii="Century Schoolbook" w:hAnsi="Century Schoolbook"/>
        </w:rPr>
      </w:pPr>
      <w:r w:rsidRPr="00411636">
        <w:rPr>
          <w:rFonts w:ascii="Century Schoolbook" w:hAnsi="Century Schoolbook"/>
          <w:u w:val="single"/>
        </w:rPr>
        <w:t>ESI Protocol</w:t>
      </w:r>
      <w:r>
        <w:rPr>
          <w:rFonts w:ascii="Century Schoolbook" w:hAnsi="Century Schoolbook"/>
        </w:rPr>
        <w:t xml:space="preserve"> -- </w:t>
      </w:r>
      <w:r w:rsidRPr="00BF52A3">
        <w:rPr>
          <w:rFonts w:ascii="Century Schoolbook" w:hAnsi="Century Schoolbook"/>
        </w:rPr>
        <w:t>And while ESI protocols, and I spend a lot of time negotiating ESI protocols, can help that</w:t>
      </w:r>
      <w:r>
        <w:rPr>
          <w:rFonts w:ascii="Century Schoolbook" w:hAnsi="Century Schoolbook"/>
        </w:rPr>
        <w:t xml:space="preserve"> </w:t>
      </w:r>
      <w:r w:rsidRPr="00BF52A3">
        <w:rPr>
          <w:rFonts w:ascii="Century Schoolbook" w:hAnsi="Century Schoolbook"/>
        </w:rPr>
        <w:t>process, my concern is you jump in, and you spend weeks negotiating an ESI protocol and you</w:t>
      </w:r>
      <w:r>
        <w:rPr>
          <w:rFonts w:ascii="Century Schoolbook" w:hAnsi="Century Schoolbook"/>
        </w:rPr>
        <w:t xml:space="preserve"> </w:t>
      </w:r>
      <w:r w:rsidRPr="00BF52A3">
        <w:rPr>
          <w:rFonts w:ascii="Century Schoolbook" w:hAnsi="Century Schoolbook"/>
        </w:rPr>
        <w:t>might talk about production format. </w:t>
      </w:r>
      <w:r w:rsidRPr="00F9781B">
        <w:rPr>
          <w:rFonts w:ascii="Century Schoolbook" w:hAnsi="Century Schoolbook"/>
          <w:highlight w:val="yellow"/>
        </w:rPr>
        <w:t>You might talk about protocols, but you’re not talking about really what I call the relevance criteria.</w:t>
      </w:r>
      <w:r w:rsidRPr="00BF52A3">
        <w:rPr>
          <w:rFonts w:ascii="Century Schoolbook" w:hAnsi="Century Schoolbook"/>
        </w:rPr>
        <w:t> The case, who are the witnesses? What are the search</w:t>
      </w:r>
      <w:r>
        <w:rPr>
          <w:rFonts w:ascii="Century Schoolbook" w:hAnsi="Century Schoolbook"/>
        </w:rPr>
        <w:t xml:space="preserve"> </w:t>
      </w:r>
      <w:r w:rsidRPr="00BF52A3">
        <w:rPr>
          <w:rFonts w:ascii="Century Schoolbook" w:hAnsi="Century Schoolbook"/>
        </w:rPr>
        <w:t xml:space="preserve">terms? What are the date ranges? What is the substance you </w:t>
      </w:r>
      <w:proofErr w:type="gramStart"/>
      <w:r w:rsidRPr="00BF52A3">
        <w:rPr>
          <w:rFonts w:ascii="Century Schoolbook" w:hAnsi="Century Schoolbook"/>
        </w:rPr>
        <w:t>have to</w:t>
      </w:r>
      <w:proofErr w:type="gramEnd"/>
      <w:r w:rsidRPr="00BF52A3">
        <w:rPr>
          <w:rFonts w:ascii="Century Schoolbook" w:hAnsi="Century Schoolbook"/>
        </w:rPr>
        <w:t xml:space="preserve"> focus on?</w:t>
      </w:r>
    </w:p>
    <w:p w14:paraId="6F0B394F" w14:textId="77777777" w:rsidR="00F9781B" w:rsidRDefault="00F9781B" w:rsidP="008805ED">
      <w:pPr>
        <w:spacing w:after="0" w:line="240" w:lineRule="auto"/>
        <w:rPr>
          <w:rFonts w:ascii="Century Schoolbook" w:hAnsi="Century Schoolbook"/>
        </w:rPr>
      </w:pPr>
    </w:p>
    <w:p w14:paraId="0145E4DC" w14:textId="77777777" w:rsidR="008805ED" w:rsidRDefault="008805ED" w:rsidP="008805ED">
      <w:pPr>
        <w:spacing w:after="0" w:line="240" w:lineRule="auto"/>
        <w:rPr>
          <w:rFonts w:ascii="Century Schoolbook" w:hAnsi="Century Schoolbook"/>
        </w:rPr>
      </w:pPr>
      <w:r w:rsidRPr="00411636">
        <w:rPr>
          <w:rFonts w:ascii="Century Schoolbook" w:hAnsi="Century Schoolbook"/>
          <w:u w:val="single"/>
        </w:rPr>
        <w:t>Science Day</w:t>
      </w:r>
      <w:r>
        <w:rPr>
          <w:rFonts w:ascii="Century Schoolbook" w:hAnsi="Century Schoolbook"/>
        </w:rPr>
        <w:t xml:space="preserve"> -- </w:t>
      </w:r>
      <w:r w:rsidRPr="00BF52A3">
        <w:rPr>
          <w:rFonts w:ascii="Century Schoolbook" w:hAnsi="Century Schoolbook"/>
        </w:rPr>
        <w:t>So, one practice that I have found incredibly effective is what I call the science day, and I think</w:t>
      </w:r>
      <w:r>
        <w:rPr>
          <w:rFonts w:ascii="Century Schoolbook" w:hAnsi="Century Schoolbook"/>
        </w:rPr>
        <w:t xml:space="preserve"> </w:t>
      </w:r>
      <w:r w:rsidRPr="00BF52A3">
        <w:rPr>
          <w:rFonts w:ascii="Century Schoolbook" w:hAnsi="Century Schoolbook"/>
        </w:rPr>
        <w:t>to some extent it</w:t>
      </w:r>
      <w:r>
        <w:rPr>
          <w:rFonts w:ascii="Century Schoolbook" w:hAnsi="Century Schoolbook"/>
        </w:rPr>
        <w:t>’</w:t>
      </w:r>
      <w:r w:rsidRPr="00BF52A3">
        <w:rPr>
          <w:rFonts w:ascii="Century Schoolbook" w:hAnsi="Century Schoolbook"/>
        </w:rPr>
        <w:t>s almost injustice to call it a science day. I would call it a fact day because the</w:t>
      </w:r>
      <w:r>
        <w:rPr>
          <w:rFonts w:ascii="Century Schoolbook" w:hAnsi="Century Schoolbook"/>
        </w:rPr>
        <w:t xml:space="preserve"> </w:t>
      </w:r>
      <w:r w:rsidRPr="00BF52A3">
        <w:rPr>
          <w:rFonts w:ascii="Century Schoolbook" w:hAnsi="Century Schoolbook"/>
        </w:rPr>
        <w:t xml:space="preserve">problem is the people that are going to have to make </w:t>
      </w:r>
      <w:proofErr w:type="gramStart"/>
      <w:r w:rsidRPr="00BF52A3">
        <w:rPr>
          <w:rFonts w:ascii="Century Schoolbook" w:hAnsi="Century Schoolbook"/>
        </w:rPr>
        <w:t>the decisions</w:t>
      </w:r>
      <w:proofErr w:type="gramEnd"/>
      <w:r w:rsidRPr="00BF52A3">
        <w:rPr>
          <w:rFonts w:ascii="Century Schoolbook" w:hAnsi="Century Schoolbook"/>
        </w:rPr>
        <w:t xml:space="preserve"> around the scope of discovery</w:t>
      </w:r>
      <w:r>
        <w:rPr>
          <w:rFonts w:ascii="Century Schoolbook" w:hAnsi="Century Schoolbook"/>
        </w:rPr>
        <w:t xml:space="preserve"> </w:t>
      </w:r>
      <w:r w:rsidRPr="00BF52A3">
        <w:rPr>
          <w:rFonts w:ascii="Century Schoolbook" w:hAnsi="Century Schoolbook"/>
        </w:rPr>
        <w:t>in the case— the judge, the Magistrate Judge, the special master— are busy people. </w:t>
      </w:r>
    </w:p>
    <w:p w14:paraId="7169835E" w14:textId="77777777" w:rsidR="008805ED" w:rsidRDefault="008805ED" w:rsidP="008805ED">
      <w:pPr>
        <w:spacing w:after="0" w:line="240" w:lineRule="auto"/>
        <w:rPr>
          <w:rFonts w:ascii="Century Schoolbook" w:hAnsi="Century Schoolbook"/>
        </w:rPr>
      </w:pPr>
    </w:p>
    <w:p w14:paraId="77E196DF" w14:textId="77777777" w:rsidR="008805ED" w:rsidRDefault="008805ED" w:rsidP="008805ED">
      <w:pPr>
        <w:spacing w:after="0" w:line="240" w:lineRule="auto"/>
        <w:rPr>
          <w:rFonts w:ascii="Century Schoolbook" w:hAnsi="Century Schoolbook"/>
        </w:rPr>
      </w:pPr>
      <w:r w:rsidRPr="00411636">
        <w:rPr>
          <w:rFonts w:ascii="Century Schoolbook" w:hAnsi="Century Schoolbook"/>
          <w:u w:val="single"/>
        </w:rPr>
        <w:t>General Causation</w:t>
      </w:r>
      <w:r>
        <w:rPr>
          <w:rFonts w:ascii="Century Schoolbook" w:hAnsi="Century Schoolbook"/>
        </w:rPr>
        <w:t xml:space="preserve"> -- </w:t>
      </w:r>
      <w:r w:rsidRPr="004F6FC7">
        <w:rPr>
          <w:rFonts w:ascii="Century Schoolbook" w:hAnsi="Century Schoolbook"/>
        </w:rPr>
        <w:t xml:space="preserve">My general thought is in mass tort </w:t>
      </w:r>
      <w:proofErr w:type="gramStart"/>
      <w:r w:rsidRPr="004F6FC7">
        <w:rPr>
          <w:rFonts w:ascii="Century Schoolbook" w:hAnsi="Century Schoolbook"/>
        </w:rPr>
        <w:t>MDL</w:t>
      </w:r>
      <w:r>
        <w:rPr>
          <w:rFonts w:ascii="Century Schoolbook" w:hAnsi="Century Schoolbook"/>
        </w:rPr>
        <w:t>’</w:t>
      </w:r>
      <w:r w:rsidRPr="004F6FC7">
        <w:rPr>
          <w:rFonts w:ascii="Century Schoolbook" w:hAnsi="Century Schoolbook"/>
        </w:rPr>
        <w:t>s,</w:t>
      </w:r>
      <w:proofErr w:type="gramEnd"/>
      <w:r w:rsidRPr="004F6FC7">
        <w:rPr>
          <w:rFonts w:ascii="Century Schoolbook" w:hAnsi="Century Schoolbook"/>
        </w:rPr>
        <w:t xml:space="preserve"> I</w:t>
      </w:r>
      <w:r>
        <w:rPr>
          <w:rFonts w:ascii="Century Schoolbook" w:hAnsi="Century Schoolbook"/>
        </w:rPr>
        <w:t xml:space="preserve"> </w:t>
      </w:r>
      <w:r w:rsidRPr="004F6FC7">
        <w:rPr>
          <w:rFonts w:ascii="Century Schoolbook" w:hAnsi="Century Schoolbook"/>
        </w:rPr>
        <w:t>think general causation is one of the threshold issues. So, it makes more sense, in more cases</w:t>
      </w:r>
      <w:r>
        <w:rPr>
          <w:rFonts w:ascii="Century Schoolbook" w:hAnsi="Century Schoolbook"/>
        </w:rPr>
        <w:t xml:space="preserve"> </w:t>
      </w:r>
      <w:r w:rsidRPr="004F6FC7">
        <w:rPr>
          <w:rFonts w:ascii="Century Schoolbook" w:hAnsi="Century Schoolbook"/>
        </w:rPr>
        <w:t>than not, to bifurcate discovery and to begin with begin with general causation rather than</w:t>
      </w:r>
      <w:r>
        <w:rPr>
          <w:rFonts w:ascii="Century Schoolbook" w:hAnsi="Century Schoolbook"/>
        </w:rPr>
        <w:t xml:space="preserve"> </w:t>
      </w:r>
      <w:r w:rsidRPr="004F6FC7">
        <w:rPr>
          <w:rFonts w:ascii="Century Schoolbook" w:hAnsi="Century Schoolbook"/>
        </w:rPr>
        <w:t xml:space="preserve">marketing materials. There are sometimes disadvantages </w:t>
      </w:r>
      <w:proofErr w:type="gramStart"/>
      <w:r w:rsidRPr="004F6FC7">
        <w:rPr>
          <w:rFonts w:ascii="Century Schoolbook" w:hAnsi="Century Schoolbook"/>
        </w:rPr>
        <w:t>with</w:t>
      </w:r>
      <w:proofErr w:type="gramEnd"/>
      <w:r w:rsidRPr="004F6FC7">
        <w:rPr>
          <w:rFonts w:ascii="Century Schoolbook" w:hAnsi="Century Schoolbook"/>
        </w:rPr>
        <w:t xml:space="preserve"> that. I think that</w:t>
      </w:r>
      <w:r>
        <w:rPr>
          <w:rFonts w:ascii="Century Schoolbook" w:hAnsi="Century Schoolbook"/>
        </w:rPr>
        <w:t>’</w:t>
      </w:r>
      <w:r w:rsidRPr="004F6FC7">
        <w:rPr>
          <w:rFonts w:ascii="Century Schoolbook" w:hAnsi="Century Schoolbook"/>
        </w:rPr>
        <w:t>s in general</w:t>
      </w:r>
      <w:r>
        <w:rPr>
          <w:rFonts w:ascii="Century Schoolbook" w:hAnsi="Century Schoolbook"/>
        </w:rPr>
        <w:t xml:space="preserve"> the </w:t>
      </w:r>
      <w:r w:rsidRPr="004F6FC7">
        <w:rPr>
          <w:rFonts w:ascii="Century Schoolbook" w:hAnsi="Century Schoolbook"/>
        </w:rPr>
        <w:t>best approach</w:t>
      </w:r>
      <w:r>
        <w:rPr>
          <w:rFonts w:ascii="Century Schoolbook" w:hAnsi="Century Schoolbook"/>
        </w:rPr>
        <w:t>.</w:t>
      </w:r>
    </w:p>
    <w:p w14:paraId="2465D9C8" w14:textId="77777777" w:rsidR="008805ED" w:rsidRDefault="008805ED" w:rsidP="008805ED">
      <w:pPr>
        <w:spacing w:after="0" w:line="240" w:lineRule="auto"/>
        <w:rPr>
          <w:rFonts w:ascii="Century Schoolbook" w:hAnsi="Century Schoolbook"/>
        </w:rPr>
      </w:pPr>
      <w:r w:rsidRPr="004F6FC7">
        <w:rPr>
          <w:rFonts w:ascii="Century Schoolbook" w:hAnsi="Century Schoolbook"/>
        </w:rPr>
        <w:t>I think the question is not what the factors are, but what are the case</w:t>
      </w:r>
      <w:r>
        <w:rPr>
          <w:rFonts w:ascii="Century Schoolbook" w:hAnsi="Century Schoolbook"/>
        </w:rPr>
        <w:t xml:space="preserve"> </w:t>
      </w:r>
      <w:r w:rsidRPr="004F6FC7">
        <w:rPr>
          <w:rFonts w:ascii="Century Schoolbook" w:hAnsi="Century Schoolbook"/>
        </w:rPr>
        <w:t>determinative or case dispositive issues. And if the parties and the court can agree on that or can</w:t>
      </w:r>
      <w:r>
        <w:rPr>
          <w:rFonts w:ascii="Century Schoolbook" w:hAnsi="Century Schoolbook"/>
        </w:rPr>
        <w:t xml:space="preserve"> </w:t>
      </w:r>
      <w:r w:rsidRPr="004F6FC7">
        <w:rPr>
          <w:rFonts w:ascii="Century Schoolbook" w:hAnsi="Century Schoolbook"/>
        </w:rPr>
        <w:t xml:space="preserve">narrow the list, then you </w:t>
      </w:r>
      <w:proofErr w:type="gramStart"/>
      <w:r w:rsidRPr="004F6FC7">
        <w:rPr>
          <w:rFonts w:ascii="Century Schoolbook" w:hAnsi="Century Schoolbook"/>
        </w:rPr>
        <w:t>focus discovery</w:t>
      </w:r>
      <w:proofErr w:type="gramEnd"/>
      <w:r w:rsidRPr="004F6FC7">
        <w:rPr>
          <w:rFonts w:ascii="Century Schoolbook" w:hAnsi="Century Schoolbook"/>
        </w:rPr>
        <w:t xml:space="preserve"> on those </w:t>
      </w:r>
      <w:proofErr w:type="gramStart"/>
      <w:r w:rsidRPr="004F6FC7">
        <w:rPr>
          <w:rFonts w:ascii="Century Schoolbook" w:hAnsi="Century Schoolbook"/>
        </w:rPr>
        <w:t>particular issues</w:t>
      </w:r>
      <w:proofErr w:type="gramEnd"/>
      <w:r w:rsidRPr="004F6FC7">
        <w:rPr>
          <w:rFonts w:ascii="Century Schoolbook" w:hAnsi="Century Schoolbook"/>
        </w:rPr>
        <w:t>. </w:t>
      </w:r>
    </w:p>
    <w:p w14:paraId="72608F5E" w14:textId="77777777" w:rsidR="008805ED" w:rsidRDefault="008805ED" w:rsidP="008805ED">
      <w:pPr>
        <w:spacing w:after="0" w:line="240" w:lineRule="auto"/>
        <w:rPr>
          <w:rFonts w:ascii="Century Schoolbook" w:hAnsi="Century Schoolbook"/>
        </w:rPr>
      </w:pPr>
    </w:p>
    <w:p w14:paraId="7D68EE73"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4F0BAC">
        <w:rPr>
          <w:rFonts w:ascii="Times New Roman" w:eastAsia="Times New Roman" w:hAnsi="Times New Roman" w:cs="Times New Roman"/>
          <w:sz w:val="24"/>
          <w:szCs w:val="24"/>
          <w:u w:val="single"/>
        </w:rPr>
        <w:t>Discovery Costs</w:t>
      </w:r>
      <w:r>
        <w:rPr>
          <w:rFonts w:ascii="Times New Roman" w:eastAsia="Times New Roman" w:hAnsi="Times New Roman" w:cs="Times New Roman"/>
          <w:sz w:val="24"/>
          <w:szCs w:val="24"/>
        </w:rPr>
        <w:t xml:space="preserve"> -- The other thing that I think we've lost sight of is the massive amount of work and expense that goes into a complex MDL</w:t>
      </w:r>
      <w:r w:rsidRPr="00F9781B">
        <w:rPr>
          <w:rFonts w:ascii="Times New Roman" w:eastAsia="Times New Roman" w:hAnsi="Times New Roman" w:cs="Times New Roman"/>
          <w:sz w:val="24"/>
          <w:szCs w:val="24"/>
          <w:highlight w:val="yellow"/>
        </w:rPr>
        <w:t xml:space="preserve">. I'm probably talking a little bit out of school here, but in the opioid case, the plaintiff steering committee has spent over $100 million </w:t>
      </w:r>
      <w:proofErr w:type="gramStart"/>
      <w:r w:rsidRPr="00F9781B">
        <w:rPr>
          <w:rFonts w:ascii="Times New Roman" w:eastAsia="Times New Roman" w:hAnsi="Times New Roman" w:cs="Times New Roman"/>
          <w:sz w:val="24"/>
          <w:szCs w:val="24"/>
          <w:highlight w:val="yellow"/>
        </w:rPr>
        <w:t>in</w:t>
      </w:r>
      <w:proofErr w:type="gramEnd"/>
      <w:r w:rsidRPr="00F9781B">
        <w:rPr>
          <w:rFonts w:ascii="Times New Roman" w:eastAsia="Times New Roman" w:hAnsi="Times New Roman" w:cs="Times New Roman"/>
          <w:sz w:val="24"/>
          <w:szCs w:val="24"/>
          <w:highlight w:val="yellow"/>
        </w:rPr>
        <w:t xml:space="preserve"> discovery costs to date. We have a database that we </w:t>
      </w:r>
      <w:proofErr w:type="gramStart"/>
      <w:r w:rsidRPr="00F9781B">
        <w:rPr>
          <w:rFonts w:ascii="Times New Roman" w:eastAsia="Times New Roman" w:hAnsi="Times New Roman" w:cs="Times New Roman"/>
          <w:sz w:val="24"/>
          <w:szCs w:val="24"/>
          <w:highlight w:val="yellow"/>
        </w:rPr>
        <w:t>built</w:t>
      </w:r>
      <w:proofErr w:type="gramEnd"/>
      <w:r w:rsidRPr="00F9781B">
        <w:rPr>
          <w:rFonts w:ascii="Times New Roman" w:eastAsia="Times New Roman" w:hAnsi="Times New Roman" w:cs="Times New Roman"/>
          <w:sz w:val="24"/>
          <w:szCs w:val="24"/>
          <w:highlight w:val="yellow"/>
        </w:rPr>
        <w:t xml:space="preserve"> from millions and millions of documents reviewed, down to just a couple million that are necessary documents, that are the real documents. Our storage cost for that database is $235,000 a month.</w:t>
      </w:r>
      <w:r>
        <w:rPr>
          <w:rFonts w:ascii="Times New Roman" w:eastAsia="Times New Roman" w:hAnsi="Times New Roman" w:cs="Times New Roman"/>
          <w:sz w:val="24"/>
          <w:szCs w:val="24"/>
        </w:rPr>
        <w:t xml:space="preserve"> We were able to get the National Archives data from the Department of Justice which has never been produced before. I'm not a big computer guy, but I think it’s a terabyte. Something like that. A lot. </w:t>
      </w:r>
    </w:p>
    <w:p w14:paraId="3D90A1CC"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p>
    <w:p w14:paraId="709BD7DD" w14:textId="77777777" w:rsidR="008805ED" w:rsidRDefault="008805ED" w:rsidP="008805ED">
      <w:pPr>
        <w:spacing w:after="0" w:line="240" w:lineRule="auto"/>
        <w:jc w:val="both"/>
        <w:textAlignment w:val="baseline"/>
        <w:rPr>
          <w:rFonts w:ascii="Times New Roman" w:eastAsia="Times New Roman" w:hAnsi="Times New Roman" w:cs="Times New Roman"/>
          <w:sz w:val="24"/>
          <w:szCs w:val="24"/>
        </w:rPr>
      </w:pPr>
      <w:r w:rsidRPr="00F9781B">
        <w:rPr>
          <w:rFonts w:ascii="Times New Roman" w:eastAsia="Times New Roman" w:hAnsi="Times New Roman" w:cs="Times New Roman"/>
          <w:sz w:val="24"/>
          <w:szCs w:val="24"/>
          <w:highlight w:val="yellow"/>
        </w:rPr>
        <w:t>And we had to have an analytical group, a bunch of PhD's spend hundreds of hours taking and getting it into a usable model</w:t>
      </w:r>
      <w:r>
        <w:rPr>
          <w:rFonts w:ascii="Times New Roman" w:eastAsia="Times New Roman" w:hAnsi="Times New Roman" w:cs="Times New Roman"/>
          <w:sz w:val="24"/>
          <w:szCs w:val="24"/>
        </w:rPr>
        <w:t>. Now we have shared that usable model with every attorney in the United States for their litigation so that everybody didn't have to do that. I tell those things to emphasize that you need to understand what the MDL is, that you have before you stay in touch with it as it grows, change gears if necessary and simultaneously, go with your bellwether process. But don't lose sight of the necessity to build that trial package, because that's what we're here for.</w:t>
      </w:r>
    </w:p>
    <w:p w14:paraId="25B52170" w14:textId="77777777" w:rsidR="008805ED" w:rsidRDefault="008805ED" w:rsidP="008805ED">
      <w:pPr>
        <w:spacing w:after="0" w:line="240" w:lineRule="auto"/>
        <w:rPr>
          <w:rFonts w:ascii="Century Schoolbook" w:hAnsi="Century Schoolbook"/>
        </w:rPr>
      </w:pPr>
    </w:p>
    <w:sectPr w:rsidR="0088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ED"/>
    <w:rsid w:val="007213F0"/>
    <w:rsid w:val="008805ED"/>
    <w:rsid w:val="00944D7F"/>
    <w:rsid w:val="00C624D6"/>
    <w:rsid w:val="00C654FF"/>
    <w:rsid w:val="00C95781"/>
    <w:rsid w:val="00C971A6"/>
    <w:rsid w:val="00F709A6"/>
    <w:rsid w:val="00F9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EA1E"/>
  <w15:chartTrackingRefBased/>
  <w15:docId w15:val="{67E3A348-458A-40B8-9C9A-AF07CFFA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ED"/>
    <w:rPr>
      <w:rFonts w:asciiTheme="minorHAnsi" w:hAnsiTheme="minorHAnsi"/>
      <w:kern w:val="0"/>
      <w:sz w:val="22"/>
      <w14:ligatures w14:val="none"/>
    </w:rPr>
  </w:style>
  <w:style w:type="paragraph" w:styleId="Heading1">
    <w:name w:val="heading 1"/>
    <w:basedOn w:val="Normal"/>
    <w:next w:val="Normal"/>
    <w:link w:val="Heading1Char"/>
    <w:uiPriority w:val="9"/>
    <w:qFormat/>
    <w:rsid w:val="008805E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05E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05E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05ED"/>
    <w:pPr>
      <w:keepNext/>
      <w:keepLines/>
      <w:spacing w:before="80" w:after="40"/>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8805ED"/>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8805ED"/>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8805ED"/>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8805ED"/>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8805ED"/>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5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5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05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05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05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05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05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05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0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5E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05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05ED"/>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8805ED"/>
    <w:rPr>
      <w:i/>
      <w:iCs/>
      <w:color w:val="404040" w:themeColor="text1" w:themeTint="BF"/>
    </w:rPr>
  </w:style>
  <w:style w:type="paragraph" w:styleId="ListParagraph">
    <w:name w:val="List Paragraph"/>
    <w:basedOn w:val="Normal"/>
    <w:uiPriority w:val="34"/>
    <w:qFormat/>
    <w:rsid w:val="008805ED"/>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8805ED"/>
    <w:rPr>
      <w:i/>
      <w:iCs/>
      <w:color w:val="0F4761" w:themeColor="accent1" w:themeShade="BF"/>
    </w:rPr>
  </w:style>
  <w:style w:type="paragraph" w:styleId="IntenseQuote">
    <w:name w:val="Intense Quote"/>
    <w:basedOn w:val="Normal"/>
    <w:next w:val="Normal"/>
    <w:link w:val="IntenseQuoteChar"/>
    <w:uiPriority w:val="30"/>
    <w:qFormat/>
    <w:rsid w:val="008805ED"/>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8805ED"/>
    <w:rPr>
      <w:i/>
      <w:iCs/>
      <w:color w:val="0F4761" w:themeColor="accent1" w:themeShade="BF"/>
    </w:rPr>
  </w:style>
  <w:style w:type="character" w:styleId="IntenseReference">
    <w:name w:val="Intense Reference"/>
    <w:basedOn w:val="DefaultParagraphFont"/>
    <w:uiPriority w:val="32"/>
    <w:qFormat/>
    <w:rsid w:val="00880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2471</Words>
  <Characters>14088</Characters>
  <Application>Microsoft Office Word</Application>
  <DocSecurity>0</DocSecurity>
  <Lines>117</Lines>
  <Paragraphs>33</Paragraphs>
  <ScaleCrop>false</ScaleCrop>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2025-01-04T20:31:00Z</dcterms:created>
  <dcterms:modified xsi:type="dcterms:W3CDTF">2025-01-04T20:49:00Z</dcterms:modified>
</cp:coreProperties>
</file>