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A4E31" w14:textId="77777777" w:rsidR="009964D4" w:rsidRPr="00AC5BC0" w:rsidRDefault="009964D4" w:rsidP="009964D4">
      <w:pPr>
        <w:jc w:val="center"/>
        <w:rPr>
          <w:rFonts w:ascii="Times New Roman Bold" w:hAnsi="Times New Roman Bold"/>
          <w:b/>
          <w:sz w:val="28"/>
          <w:szCs w:val="28"/>
        </w:rPr>
      </w:pPr>
    </w:p>
    <w:p w14:paraId="74E66F2C" w14:textId="77777777" w:rsidR="009964D4" w:rsidRDefault="009964D4" w:rsidP="009964D4">
      <w:pPr>
        <w:jc w:val="center"/>
        <w:rPr>
          <w:b/>
          <w:sz w:val="28"/>
          <w:szCs w:val="28"/>
        </w:rPr>
      </w:pPr>
      <w:r>
        <w:rPr>
          <w:noProof/>
        </w:rPr>
        <w:drawing>
          <wp:inline distT="0" distB="0" distL="0" distR="0" wp14:anchorId="517EC611" wp14:editId="078160FB">
            <wp:extent cx="5943600" cy="828675"/>
            <wp:effectExtent l="0" t="0" r="0" b="9525"/>
            <wp:docPr id="5" name="Picture 5" descr="Graphical user interface, 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imeline&#10;&#10;Description automatically generated with medium confidence"/>
                    <pic:cNvPicPr>
                      <a:picLocks noChangeAspect="1" noChangeArrowheads="1"/>
                    </pic:cNvPicPr>
                  </pic:nvPicPr>
                  <pic:blipFill rotWithShape="1">
                    <a:blip r:embed="rId7">
                      <a:extLst>
                        <a:ext uri="{28A0092B-C50C-407E-A947-70E740481C1C}">
                          <a14:useLocalDpi xmlns:a14="http://schemas.microsoft.com/office/drawing/2010/main" val="0"/>
                        </a:ext>
                      </a:extLst>
                    </a:blip>
                    <a:srcRect l="-481" t="18882" r="481" b="63826"/>
                    <a:stretch/>
                  </pic:blipFill>
                  <pic:spPr bwMode="auto">
                    <a:xfrm>
                      <a:off x="0" y="0"/>
                      <a:ext cx="5943600" cy="828675"/>
                    </a:xfrm>
                    <a:prstGeom prst="rect">
                      <a:avLst/>
                    </a:prstGeom>
                    <a:noFill/>
                    <a:ln>
                      <a:noFill/>
                    </a:ln>
                    <a:extLst>
                      <a:ext uri="{53640926-AAD7-44D8-BBD7-CCE9431645EC}">
                        <a14:shadowObscured xmlns:a14="http://schemas.microsoft.com/office/drawing/2010/main"/>
                      </a:ext>
                    </a:extLst>
                  </pic:spPr>
                </pic:pic>
              </a:graphicData>
            </a:graphic>
          </wp:inline>
        </w:drawing>
      </w:r>
    </w:p>
    <w:p w14:paraId="4743EA7A" w14:textId="77777777" w:rsidR="009964D4" w:rsidRDefault="009964D4" w:rsidP="009964D4">
      <w:pPr>
        <w:jc w:val="center"/>
        <w:rPr>
          <w:b/>
          <w:sz w:val="28"/>
          <w:szCs w:val="28"/>
        </w:rPr>
      </w:pPr>
      <w:r>
        <w:rPr>
          <w:b/>
          <w:sz w:val="28"/>
          <w:szCs w:val="28"/>
        </w:rPr>
        <w:t xml:space="preserve">MASS-TORT MDL </w:t>
      </w:r>
      <w:r w:rsidRPr="0082520E">
        <w:rPr>
          <w:b/>
          <w:sz w:val="28"/>
          <w:szCs w:val="28"/>
        </w:rPr>
        <w:t xml:space="preserve">COMPENDIUM </w:t>
      </w:r>
      <w:r>
        <w:rPr>
          <w:b/>
          <w:sz w:val="28"/>
          <w:szCs w:val="28"/>
        </w:rPr>
        <w:t xml:space="preserve">OF </w:t>
      </w:r>
    </w:p>
    <w:p w14:paraId="13871361" w14:textId="77777777" w:rsidR="009964D4" w:rsidRPr="0082520E" w:rsidRDefault="009964D4" w:rsidP="009964D4">
      <w:pPr>
        <w:jc w:val="center"/>
        <w:rPr>
          <w:rFonts w:cs="Times New Roman"/>
          <w:b/>
          <w:sz w:val="28"/>
          <w:szCs w:val="28"/>
        </w:rPr>
      </w:pPr>
      <w:r w:rsidRPr="0082520E">
        <w:rPr>
          <w:b/>
          <w:sz w:val="28"/>
          <w:szCs w:val="28"/>
        </w:rPr>
        <w:t>GUIDELINES AND BEST PRACTICES</w:t>
      </w:r>
      <w:r w:rsidRPr="0082520E">
        <w:rPr>
          <w:rFonts w:cs="Times New Roman"/>
          <w:b/>
          <w:sz w:val="28"/>
          <w:szCs w:val="28"/>
        </w:rPr>
        <w:t>*</w:t>
      </w:r>
    </w:p>
    <w:p w14:paraId="3FFF2789" w14:textId="77777777" w:rsidR="009964D4" w:rsidRPr="0082520E" w:rsidRDefault="009964D4" w:rsidP="009964D4">
      <w:pPr>
        <w:jc w:val="center"/>
        <w:rPr>
          <w:rFonts w:cs="Times New Roman"/>
          <w:b/>
          <w:sz w:val="28"/>
          <w:szCs w:val="28"/>
        </w:rPr>
      </w:pPr>
      <w:r>
        <w:rPr>
          <w:rFonts w:cs="Times New Roman"/>
          <w:b/>
          <w:sz w:val="28"/>
          <w:szCs w:val="28"/>
        </w:rPr>
        <w:t xml:space="preserve">October 29, </w:t>
      </w:r>
      <w:r w:rsidRPr="0082520E">
        <w:rPr>
          <w:rFonts w:cs="Times New Roman"/>
          <w:b/>
          <w:sz w:val="28"/>
          <w:szCs w:val="28"/>
        </w:rPr>
        <w:t>202</w:t>
      </w:r>
      <w:r>
        <w:rPr>
          <w:rFonts w:cs="Times New Roman"/>
          <w:b/>
          <w:sz w:val="28"/>
          <w:szCs w:val="28"/>
        </w:rPr>
        <w:t>4</w:t>
      </w:r>
    </w:p>
    <w:p w14:paraId="1618E085" w14:textId="77777777" w:rsidR="009964D4" w:rsidRPr="0082520E" w:rsidRDefault="009964D4" w:rsidP="009964D4">
      <w:pPr>
        <w:spacing w:line="360" w:lineRule="auto"/>
        <w:ind w:firstLine="720"/>
        <w:jc w:val="both"/>
      </w:pPr>
      <w:r w:rsidRPr="0082520E">
        <w:t xml:space="preserve">The </w:t>
      </w:r>
      <w:r w:rsidRPr="0082520E">
        <w:rPr>
          <w:rFonts w:cs="Times New Roman"/>
          <w:bCs/>
        </w:rPr>
        <w:t xml:space="preserve">Rabiej Litigation Law </w:t>
      </w:r>
      <w:r w:rsidRPr="0082520E">
        <w:t xml:space="preserve">Center </w:t>
      </w:r>
      <w:r w:rsidRPr="0082520E">
        <w:rPr>
          <w:rFonts w:cs="Times New Roman"/>
          <w:bCs/>
        </w:rPr>
        <w:t xml:space="preserve">continues the work begun at the Center for Judicial Studies, Duke Law School, and at the Complex Litigation Center, George Washington Law School, </w:t>
      </w:r>
      <w:r w:rsidRPr="0082520E">
        <w:t xml:space="preserve">holding annual bench-bar conferences on class actions, mass-tort MDLs, and </w:t>
      </w:r>
      <w:proofErr w:type="spellStart"/>
      <w:r w:rsidRPr="0082520E">
        <w:t>ediscovery</w:t>
      </w:r>
      <w:proofErr w:type="spellEnd"/>
      <w:r w:rsidRPr="0082520E">
        <w:t xml:space="preserve"> in collaboration with law schools around the country. The Center forms teams of volunteer lawyers and other experts to draft </w:t>
      </w:r>
      <w:r>
        <w:t xml:space="preserve">the </w:t>
      </w:r>
      <w:r w:rsidRPr="000507C5">
        <w:rPr>
          <w:smallCaps/>
        </w:rPr>
        <w:t>Complex litigation</w:t>
      </w:r>
      <w:r w:rsidRPr="0082520E">
        <w:t xml:space="preserve"> </w:t>
      </w:r>
      <w:r w:rsidRPr="0082520E">
        <w:rPr>
          <w:rFonts w:cs="Times New Roman"/>
          <w:bCs/>
          <w:smallCaps/>
        </w:rPr>
        <w:t xml:space="preserve">Compendium </w:t>
      </w:r>
      <w:r>
        <w:rPr>
          <w:rFonts w:cs="Times New Roman"/>
          <w:bCs/>
          <w:smallCaps/>
        </w:rPr>
        <w:t xml:space="preserve">of </w:t>
      </w:r>
      <w:r w:rsidRPr="0082520E">
        <w:rPr>
          <w:rFonts w:cs="Times New Roman"/>
          <w:bCs/>
          <w:smallCaps/>
        </w:rPr>
        <w:t>Guidelines and Best Practices</w:t>
      </w:r>
      <w:r w:rsidRPr="0082520E">
        <w:t xml:space="preserve">, addressing issues identified at its annual conferences.  </w:t>
      </w:r>
    </w:p>
    <w:p w14:paraId="248BBDA7" w14:textId="77777777" w:rsidR="009964D4" w:rsidRDefault="009964D4" w:rsidP="009964D4">
      <w:pPr>
        <w:spacing w:line="360" w:lineRule="auto"/>
        <w:ind w:firstLine="720"/>
        <w:jc w:val="both"/>
      </w:pPr>
      <w:r w:rsidRPr="0082520E">
        <w:t xml:space="preserve">The </w:t>
      </w:r>
      <w:r w:rsidRPr="0082520E">
        <w:rPr>
          <w:smallCaps/>
        </w:rPr>
        <w:t>Compendium</w:t>
      </w:r>
      <w:r w:rsidRPr="0082520E">
        <w:t xml:space="preserve"> </w:t>
      </w:r>
      <w:r>
        <w:t>is continually</w:t>
      </w:r>
      <w:r w:rsidRPr="0082520E">
        <w:t xml:space="preserve"> updated and supplemented. The alternative “</w:t>
      </w:r>
      <w:r>
        <w:t>Permanent</w:t>
      </w:r>
      <w:r w:rsidRPr="0082520E">
        <w:t xml:space="preserve"> No.” assigned to each numbered guideline and best practice is necessary to account for future reorganizations of subject matter and additions of new guidelines and best practices.  </w:t>
      </w:r>
      <w:r>
        <w:t xml:space="preserve">Center sponsors and </w:t>
      </w:r>
      <w:r w:rsidRPr="0082520E">
        <w:t>acknowledgments of team leaders</w:t>
      </w:r>
      <w:r>
        <w:t xml:space="preserve"> </w:t>
      </w:r>
      <w:r w:rsidRPr="0082520E">
        <w:t>and contributors for every set of guidelines and best practices</w:t>
      </w:r>
      <w:r>
        <w:t xml:space="preserve"> are placed at the end of the compendium</w:t>
      </w:r>
      <w:r w:rsidRPr="0082520E">
        <w:t>.</w:t>
      </w:r>
    </w:p>
    <w:p w14:paraId="1FF77CFF" w14:textId="77777777" w:rsidR="009964D4" w:rsidRDefault="009964D4" w:rsidP="009964D4">
      <w:pPr>
        <w:spacing w:line="360" w:lineRule="auto"/>
        <w:ind w:firstLine="720"/>
        <w:jc w:val="both"/>
      </w:pPr>
    </w:p>
    <w:p w14:paraId="61C36A34" w14:textId="77777777" w:rsidR="009964D4" w:rsidRDefault="009964D4" w:rsidP="009964D4">
      <w:pPr>
        <w:spacing w:line="360" w:lineRule="auto"/>
        <w:ind w:firstLine="720"/>
        <w:jc w:val="both"/>
      </w:pPr>
    </w:p>
    <w:p w14:paraId="20CE296E" w14:textId="77777777" w:rsidR="009964D4" w:rsidRPr="0082520E" w:rsidRDefault="009964D4" w:rsidP="009964D4">
      <w:pPr>
        <w:spacing w:line="360" w:lineRule="auto"/>
        <w:ind w:firstLine="720"/>
        <w:jc w:val="both"/>
        <w:rPr>
          <w:rFonts w:eastAsia="Times New Roman" w:cs="Times New Roman"/>
        </w:rPr>
      </w:pPr>
    </w:p>
    <w:p w14:paraId="201820F4" w14:textId="77777777" w:rsidR="009964D4" w:rsidRPr="0082520E" w:rsidRDefault="009964D4" w:rsidP="009964D4">
      <w:pPr>
        <w:pBdr>
          <w:bottom w:val="single" w:sz="12" w:space="1" w:color="auto"/>
        </w:pBdr>
        <w:shd w:val="clear" w:color="auto" w:fill="FFFFFF"/>
        <w:spacing w:line="235" w:lineRule="atLeast"/>
        <w:ind w:right="720"/>
        <w:jc w:val="both"/>
        <w:rPr>
          <w:rFonts w:eastAsia="Times New Roman" w:cs="Times New Roman"/>
        </w:rPr>
      </w:pPr>
    </w:p>
    <w:p w14:paraId="58B4E8C3" w14:textId="77777777" w:rsidR="009964D4" w:rsidRDefault="009964D4" w:rsidP="009964D4">
      <w:pPr>
        <w:jc w:val="center"/>
        <w:rPr>
          <w:b/>
          <w:sz w:val="28"/>
          <w:szCs w:val="28"/>
        </w:rPr>
      </w:pPr>
    </w:p>
    <w:p w14:paraId="2F525C8E" w14:textId="77777777" w:rsidR="009964D4" w:rsidRDefault="009964D4" w:rsidP="009964D4">
      <w:pPr>
        <w:spacing w:after="120" w:line="276" w:lineRule="auto"/>
        <w:jc w:val="both"/>
        <w:rPr>
          <w:sz w:val="20"/>
          <w:szCs w:val="20"/>
        </w:rPr>
      </w:pPr>
      <w:r w:rsidRPr="0082520E">
        <w:rPr>
          <w:rFonts w:cs="Times New Roman"/>
          <w:sz w:val="20"/>
          <w:szCs w:val="20"/>
        </w:rPr>
        <w:t>*</w:t>
      </w:r>
      <w:r w:rsidRPr="0082520E">
        <w:rPr>
          <w:sz w:val="20"/>
          <w:szCs w:val="20"/>
        </w:rPr>
        <w:t>Copyright © 202</w:t>
      </w:r>
      <w:r>
        <w:rPr>
          <w:sz w:val="20"/>
          <w:szCs w:val="20"/>
        </w:rPr>
        <w:t>3</w:t>
      </w:r>
      <w:r w:rsidRPr="0082520E">
        <w:rPr>
          <w:sz w:val="20"/>
          <w:szCs w:val="20"/>
        </w:rPr>
        <w:t xml:space="preserve">, Rabiej Litigation Law Center All Rights Reserved. </w:t>
      </w:r>
      <w:r w:rsidRPr="0082520E">
        <w:rPr>
          <w:rFonts w:cs="Times New Roman"/>
          <w:sz w:val="20"/>
          <w:szCs w:val="20"/>
        </w:rPr>
        <w:t>Reprints authorized but only if attributed to the Rabiej Litigation Law Center.</w:t>
      </w:r>
      <w:r w:rsidRPr="0082520E">
        <w:rPr>
          <w:rFonts w:asciiTheme="minorHAnsi" w:hAnsiTheme="minorHAnsi" w:cs="Times New Roman"/>
          <w:sz w:val="20"/>
          <w:szCs w:val="20"/>
        </w:rPr>
        <w:t xml:space="preserve"> </w:t>
      </w:r>
      <w:r w:rsidRPr="0082520E">
        <w:rPr>
          <w:sz w:val="20"/>
          <w:szCs w:val="20"/>
        </w:rPr>
        <w:t xml:space="preserve">The </w:t>
      </w:r>
      <w:r>
        <w:rPr>
          <w:smallCaps/>
          <w:sz w:val="20"/>
          <w:szCs w:val="20"/>
        </w:rPr>
        <w:t>compendium</w:t>
      </w:r>
      <w:r w:rsidRPr="0082520E">
        <w:rPr>
          <w:sz w:val="20"/>
          <w:szCs w:val="20"/>
        </w:rPr>
        <w:t xml:space="preserve"> is a document reflecting the consensus views of the contributors, who may not agree with every statement. </w:t>
      </w:r>
      <w:r w:rsidRPr="0082520E">
        <w:rPr>
          <w:sz w:val="16"/>
          <w:szCs w:val="16"/>
        </w:rPr>
        <w:t xml:space="preserve"> </w:t>
      </w:r>
      <w:r w:rsidRPr="0082520E">
        <w:rPr>
          <w:sz w:val="20"/>
          <w:szCs w:val="20"/>
        </w:rPr>
        <w:t xml:space="preserve">This document does not necessarily reflect the views of any law school or its faculty, the Rabiej Litigation Law Center, or any other organization including the Judicial Conference of the United States or any other government unit. </w:t>
      </w:r>
    </w:p>
    <w:p w14:paraId="05B573A7" w14:textId="77777777" w:rsidR="009964D4" w:rsidRDefault="009964D4" w:rsidP="009964D4">
      <w:pPr>
        <w:jc w:val="center"/>
        <w:rPr>
          <w:b/>
          <w:sz w:val="28"/>
          <w:szCs w:val="28"/>
        </w:rPr>
      </w:pPr>
    </w:p>
    <w:p w14:paraId="1D228CC3" w14:textId="77777777" w:rsidR="009964D4" w:rsidRDefault="009964D4" w:rsidP="009964D4">
      <w:pPr>
        <w:jc w:val="center"/>
        <w:rPr>
          <w:b/>
          <w:sz w:val="28"/>
          <w:szCs w:val="28"/>
        </w:rPr>
      </w:pPr>
    </w:p>
    <w:p w14:paraId="59F0E689" w14:textId="77777777" w:rsidR="009964D4" w:rsidRDefault="009964D4" w:rsidP="009964D4">
      <w:pPr>
        <w:spacing w:after="0" w:line="240" w:lineRule="auto"/>
        <w:ind w:left="720" w:right="720"/>
        <w:jc w:val="center"/>
        <w:rPr>
          <w:b/>
          <w:bCs/>
          <w:kern w:val="0"/>
          <w14:ligatures w14:val="none"/>
        </w:rPr>
      </w:pPr>
    </w:p>
    <w:p w14:paraId="7BD98E22" w14:textId="77777777" w:rsidR="009964D4" w:rsidRDefault="009964D4" w:rsidP="009964D4">
      <w:pPr>
        <w:spacing w:after="0" w:line="240" w:lineRule="auto"/>
        <w:ind w:left="720" w:right="720"/>
        <w:jc w:val="center"/>
        <w:rPr>
          <w:b/>
          <w:bCs/>
          <w:kern w:val="0"/>
          <w14:ligatures w14:val="none"/>
        </w:rPr>
      </w:pPr>
    </w:p>
    <w:p w14:paraId="6F9A7BEE" w14:textId="77777777" w:rsidR="009964D4" w:rsidRDefault="009964D4" w:rsidP="009964D4">
      <w:pPr>
        <w:spacing w:after="0" w:line="240" w:lineRule="auto"/>
        <w:ind w:left="720" w:right="720"/>
        <w:jc w:val="center"/>
        <w:rPr>
          <w:b/>
          <w:bCs/>
          <w:kern w:val="0"/>
          <w14:ligatures w14:val="none"/>
        </w:rPr>
      </w:pPr>
    </w:p>
    <w:p w14:paraId="277CFCAE" w14:textId="77777777" w:rsidR="009964D4" w:rsidRDefault="009964D4" w:rsidP="009964D4">
      <w:pPr>
        <w:spacing w:after="0" w:line="240" w:lineRule="auto"/>
        <w:ind w:left="720" w:right="720"/>
        <w:jc w:val="center"/>
        <w:rPr>
          <w:b/>
          <w:bCs/>
          <w:kern w:val="0"/>
          <w14:ligatures w14:val="none"/>
        </w:rPr>
      </w:pPr>
    </w:p>
    <w:p w14:paraId="09D3E1CE" w14:textId="77777777" w:rsidR="009964D4" w:rsidRDefault="009964D4" w:rsidP="009964D4">
      <w:pPr>
        <w:spacing w:after="0" w:line="240" w:lineRule="auto"/>
        <w:ind w:left="720" w:right="720"/>
        <w:jc w:val="center"/>
        <w:rPr>
          <w:b/>
          <w:bCs/>
          <w:kern w:val="0"/>
          <w14:ligatures w14:val="none"/>
        </w:rPr>
      </w:pPr>
    </w:p>
    <w:p w14:paraId="547B7CE8" w14:textId="00F6742F" w:rsidR="009964D4" w:rsidRPr="009964D4" w:rsidRDefault="009964D4" w:rsidP="009964D4">
      <w:pPr>
        <w:spacing w:after="0" w:line="240" w:lineRule="auto"/>
        <w:ind w:left="720" w:right="720"/>
        <w:jc w:val="center"/>
        <w:rPr>
          <w:b/>
          <w:bCs/>
          <w:kern w:val="0"/>
          <w14:ligatures w14:val="none"/>
        </w:rPr>
      </w:pPr>
      <w:r w:rsidRPr="009964D4">
        <w:rPr>
          <w:b/>
          <w:bCs/>
          <w:kern w:val="0"/>
          <w14:ligatures w14:val="none"/>
        </w:rPr>
        <w:t>*</w:t>
      </w:r>
      <w:r>
        <w:rPr>
          <w:b/>
          <w:bCs/>
          <w:kern w:val="0"/>
          <w14:ligatures w14:val="none"/>
        </w:rPr>
        <w:t xml:space="preserve"> </w:t>
      </w:r>
      <w:r w:rsidRPr="009964D4">
        <w:rPr>
          <w:b/>
          <w:bCs/>
          <w:kern w:val="0"/>
          <w14:ligatures w14:val="none"/>
        </w:rPr>
        <w:t xml:space="preserve">* * </w:t>
      </w:r>
      <w:proofErr w:type="gramStart"/>
      <w:r w:rsidRPr="009964D4">
        <w:rPr>
          <w:b/>
          <w:bCs/>
          <w:kern w:val="0"/>
          <w14:ligatures w14:val="none"/>
        </w:rPr>
        <w:t>*  *</w:t>
      </w:r>
      <w:proofErr w:type="gramEnd"/>
    </w:p>
    <w:p w14:paraId="1396B34E" w14:textId="77777777" w:rsidR="009964D4" w:rsidRDefault="009964D4" w:rsidP="009964D4">
      <w:pPr>
        <w:spacing w:after="0" w:line="240" w:lineRule="auto"/>
        <w:ind w:left="720" w:right="720"/>
        <w:jc w:val="both"/>
        <w:rPr>
          <w:b/>
          <w:bCs/>
          <w:kern w:val="0"/>
          <w14:ligatures w14:val="none"/>
        </w:rPr>
      </w:pPr>
    </w:p>
    <w:p w14:paraId="3E6DE4AC" w14:textId="2073BFED" w:rsidR="009964D4" w:rsidRPr="009964D4" w:rsidRDefault="009964D4" w:rsidP="009964D4">
      <w:pPr>
        <w:spacing w:after="0" w:line="240" w:lineRule="auto"/>
        <w:ind w:left="720" w:right="720"/>
        <w:jc w:val="both"/>
        <w:rPr>
          <w:kern w:val="0"/>
          <w14:ligatures w14:val="none"/>
        </w:rPr>
      </w:pPr>
      <w:r w:rsidRPr="009964D4">
        <w:rPr>
          <w:b/>
          <w:bCs/>
          <w:kern w:val="0"/>
          <w14:ligatures w14:val="none"/>
        </w:rPr>
        <w:t xml:space="preserve">Best Practice </w:t>
      </w:r>
      <w:r w:rsidRPr="009964D4">
        <w:rPr>
          <w:rFonts w:cs="Times New Roman"/>
          <w:b/>
          <w:bCs/>
          <w:kern w:val="0"/>
          <w:szCs w:val="24"/>
          <w14:ligatures w14:val="none"/>
        </w:rPr>
        <w:t>MDL-§ 8</w:t>
      </w:r>
      <w:r w:rsidRPr="009964D4">
        <w:rPr>
          <w:b/>
          <w:bCs/>
          <w:kern w:val="0"/>
          <w14:ligatures w14:val="none"/>
        </w:rPr>
        <w:t>(d):</w:t>
      </w:r>
      <w:r w:rsidRPr="009964D4">
        <w:rPr>
          <w:kern w:val="0"/>
          <w14:ligatures w14:val="none"/>
        </w:rPr>
        <w:t xml:space="preserve"> </w:t>
      </w:r>
      <w:r w:rsidRPr="009964D4">
        <w:rPr>
          <w:rFonts w:cs="Times New Roman"/>
          <w:kern w:val="0"/>
          <w:szCs w:val="24"/>
          <w14:ligatures w14:val="none"/>
        </w:rPr>
        <w:t xml:space="preserve">Unless the court orders otherwise, </w:t>
      </w:r>
      <w:r w:rsidRPr="009964D4">
        <w:rPr>
          <w:kern w:val="0"/>
          <w14:ligatures w14:val="none"/>
        </w:rPr>
        <w:t xml:space="preserve">the parties must </w:t>
      </w:r>
      <w:r w:rsidRPr="009964D4">
        <w:rPr>
          <w:rFonts w:cs="Times New Roman"/>
          <w:kern w:val="0"/>
          <w:szCs w:val="24"/>
          <w14:ligatures w14:val="none"/>
        </w:rPr>
        <w:t xml:space="preserve">address their initial views on and suggest </w:t>
      </w:r>
      <w:r w:rsidRPr="009964D4">
        <w:rPr>
          <w:kern w:val="0"/>
          <w14:ligatures w14:val="none"/>
        </w:rPr>
        <w:t xml:space="preserve">procedures regarding discovery and any difficult issues anticipated. </w:t>
      </w:r>
      <w:bookmarkStart w:id="0" w:name="_Hlk167727078"/>
      <w:r w:rsidRPr="009964D4">
        <w:rPr>
          <w:kern w:val="0"/>
          <w14:ligatures w14:val="none"/>
        </w:rPr>
        <w:t xml:space="preserve">Permanent No. </w:t>
      </w:r>
      <w:r w:rsidRPr="009964D4">
        <w:rPr>
          <w:rFonts w:cs="Times New Roman"/>
          <w:kern w:val="0"/>
          <w:szCs w:val="24"/>
          <w14:ligatures w14:val="none"/>
        </w:rPr>
        <w:t>MDL-§ 15</w:t>
      </w:r>
      <w:r w:rsidRPr="009964D4">
        <w:rPr>
          <w:kern w:val="0"/>
          <w14:ligatures w14:val="none"/>
        </w:rPr>
        <w:t>(c).</w:t>
      </w:r>
      <w:bookmarkEnd w:id="0"/>
    </w:p>
    <w:p w14:paraId="18EA7B25" w14:textId="77777777" w:rsidR="009964D4" w:rsidRPr="009964D4" w:rsidRDefault="009964D4" w:rsidP="009964D4">
      <w:pPr>
        <w:spacing w:after="0" w:line="240" w:lineRule="auto"/>
        <w:ind w:left="720" w:right="720"/>
        <w:jc w:val="both"/>
        <w:rPr>
          <w:kern w:val="0"/>
          <w14:ligatures w14:val="none"/>
        </w:rPr>
      </w:pPr>
    </w:p>
    <w:p w14:paraId="7682FA0D" w14:textId="77777777" w:rsidR="009964D4" w:rsidRPr="009964D4" w:rsidRDefault="009964D4" w:rsidP="009964D4">
      <w:pPr>
        <w:spacing w:after="0" w:line="360" w:lineRule="auto"/>
        <w:ind w:firstLine="720"/>
        <w:jc w:val="both"/>
        <w:rPr>
          <w:rFonts w:cs="Times New Roman"/>
          <w:color w:val="000000" w:themeColor="text1"/>
          <w:kern w:val="0"/>
          <w:szCs w:val="24"/>
          <w14:ligatures w14:val="none"/>
        </w:rPr>
      </w:pPr>
      <w:r w:rsidRPr="009964D4">
        <w:rPr>
          <w:rFonts w:cs="Times New Roman"/>
          <w:color w:val="000000" w:themeColor="text1"/>
          <w:kern w:val="0"/>
          <w:szCs w:val="24"/>
          <w14:ligatures w14:val="none"/>
        </w:rPr>
        <w:t>Under Rule 16.1(b)(3)(C), the parties must address their views on and suggest procedures regarding discovery and any difficult issues anticipated in their report to the court.  To many eyes, consolidated discovery is the primary purpose for MDLs.  Yet, the spartan Committee Note says only that a “major task for the MDL transferee judge is to supervise discovery in an efficient manner.”</w:t>
      </w:r>
    </w:p>
    <w:p w14:paraId="19BFCD18" w14:textId="77777777" w:rsidR="009964D4" w:rsidRPr="009964D4" w:rsidRDefault="009964D4" w:rsidP="009964D4">
      <w:pPr>
        <w:spacing w:after="0" w:line="360" w:lineRule="auto"/>
        <w:ind w:firstLine="720"/>
        <w:jc w:val="both"/>
        <w:rPr>
          <w:rFonts w:cs="Times New Roman"/>
          <w:color w:val="000000" w:themeColor="text1"/>
          <w:kern w:val="0"/>
          <w:szCs w:val="24"/>
          <w14:ligatures w14:val="none"/>
        </w:rPr>
      </w:pPr>
      <w:r w:rsidRPr="009964D4">
        <w:rPr>
          <w:rFonts w:cs="Times New Roman"/>
          <w:color w:val="000000" w:themeColor="text1"/>
          <w:kern w:val="0"/>
          <w:szCs w:val="24"/>
          <w14:ligatures w14:val="none"/>
        </w:rPr>
        <w:t xml:space="preserve">The parties and court should collaboratively develop a discovery plan. At the outset of a mass-tort MDL, a court usually </w:t>
      </w:r>
      <w:proofErr w:type="gramStart"/>
      <w:r w:rsidRPr="009964D4">
        <w:rPr>
          <w:rFonts w:cs="Times New Roman"/>
          <w:color w:val="000000" w:themeColor="text1"/>
          <w:kern w:val="0"/>
          <w:szCs w:val="24"/>
          <w14:ligatures w14:val="none"/>
        </w:rPr>
        <w:t>is able to</w:t>
      </w:r>
      <w:proofErr w:type="gramEnd"/>
      <w:r w:rsidRPr="009964D4">
        <w:rPr>
          <w:rFonts w:cs="Times New Roman"/>
          <w:color w:val="000000" w:themeColor="text1"/>
          <w:kern w:val="0"/>
          <w:szCs w:val="24"/>
          <w14:ligatures w14:val="none"/>
        </w:rPr>
        <w:t xml:space="preserve"> issue only a skeleton-discovery plan listing categories and general procedures with the understanding that they will be fleshed out and revised as the litigation progresses. Though minimal, these skeleton-discovery plans fix the procedural paths that hundreds of lawyers in the mass-tort MDL will follow for years of litigation. </w:t>
      </w:r>
    </w:p>
    <w:p w14:paraId="6E2BDBAC" w14:textId="77777777" w:rsidR="009964D4" w:rsidRPr="009964D4" w:rsidRDefault="009964D4" w:rsidP="009964D4">
      <w:pPr>
        <w:spacing w:after="0" w:line="360" w:lineRule="auto"/>
        <w:ind w:firstLine="720"/>
        <w:jc w:val="both"/>
        <w:rPr>
          <w:rFonts w:cs="Times New Roman"/>
          <w:color w:val="000000" w:themeColor="text1"/>
          <w:kern w:val="0"/>
          <w:szCs w:val="24"/>
          <w14:ligatures w14:val="none"/>
        </w:rPr>
      </w:pPr>
      <w:r w:rsidRPr="009964D4">
        <w:rPr>
          <w:rFonts w:cs="Times New Roman"/>
          <w:color w:val="000000" w:themeColor="text1"/>
          <w:kern w:val="0"/>
          <w:szCs w:val="24"/>
          <w14:ligatures w14:val="none"/>
        </w:rPr>
        <w:t xml:space="preserve">In many MDLs, judges start by relying on standard-discovery procedures and perhaps time deadlines that the judges use in their non-MDL docket.  The parties and the court work collaboratively to refine the discovery plan throughout the course of the discovery.  </w:t>
      </w:r>
    </w:p>
    <w:p w14:paraId="23973A0A" w14:textId="77777777" w:rsidR="009964D4" w:rsidRPr="009964D4" w:rsidRDefault="009964D4" w:rsidP="009964D4">
      <w:pPr>
        <w:spacing w:after="0" w:line="360" w:lineRule="auto"/>
        <w:ind w:firstLine="720"/>
        <w:jc w:val="both"/>
        <w:rPr>
          <w:rFonts w:cs="Times New Roman"/>
          <w:color w:val="000000" w:themeColor="text1"/>
          <w:kern w:val="0"/>
          <w:szCs w:val="24"/>
          <w14:ligatures w14:val="none"/>
        </w:rPr>
      </w:pPr>
      <w:r w:rsidRPr="009964D4">
        <w:rPr>
          <w:rFonts w:cs="Times New Roman"/>
          <w:color w:val="000000" w:themeColor="text1"/>
          <w:kern w:val="0"/>
          <w:szCs w:val="24"/>
          <w14:ligatures w14:val="none"/>
        </w:rPr>
        <w:t>There are some common discovery procedures that must be addressed in the discovery plan, though the details can be added as the litigation progresses and, most importantly, after the leadership has been appointed. Some matters require immediate attention, like evidence preservation, protective orders, and privilege-and-confidentiality protocols, including Fed. R. Evid 502(d) orders.</w:t>
      </w:r>
      <w:r w:rsidRPr="009964D4">
        <w:rPr>
          <w:rFonts w:cs="Times New Roman"/>
          <w:color w:val="000000" w:themeColor="text1"/>
          <w:kern w:val="0"/>
          <w:szCs w:val="24"/>
          <w:vertAlign w:val="superscript"/>
          <w14:ligatures w14:val="none"/>
        </w:rPr>
        <w:footnoteReference w:id="1"/>
      </w:r>
      <w:r w:rsidRPr="009964D4">
        <w:rPr>
          <w:rFonts w:cs="Times New Roman"/>
          <w:color w:val="000000" w:themeColor="text1"/>
          <w:kern w:val="0"/>
          <w:szCs w:val="24"/>
          <w14:ligatures w14:val="none"/>
        </w:rPr>
        <w:t xml:space="preserve">  </w:t>
      </w:r>
    </w:p>
    <w:p w14:paraId="7B9A627A" w14:textId="77777777" w:rsidR="009964D4" w:rsidRPr="009964D4" w:rsidRDefault="009964D4" w:rsidP="009964D4">
      <w:pPr>
        <w:spacing w:after="0" w:line="360" w:lineRule="auto"/>
        <w:ind w:firstLine="720"/>
        <w:jc w:val="both"/>
        <w:rPr>
          <w:rFonts w:cs="Times New Roman"/>
          <w:color w:val="000000" w:themeColor="text1"/>
          <w:kern w:val="0"/>
          <w:szCs w:val="24"/>
          <w14:ligatures w14:val="none"/>
        </w:rPr>
      </w:pPr>
      <w:r w:rsidRPr="009964D4">
        <w:rPr>
          <w:rFonts w:cs="Times New Roman"/>
          <w:color w:val="000000" w:themeColor="text1"/>
          <w:kern w:val="0"/>
          <w:szCs w:val="24"/>
          <w14:ligatures w14:val="none"/>
        </w:rPr>
        <w:lastRenderedPageBreak/>
        <w:t xml:space="preserve">The principal issues in the MDL proceedings may help guide the discovery plan and avoid inefficiencies and unnecessary duplication. The parties should consider suggesting methods to handle </w:t>
      </w:r>
      <w:proofErr w:type="gramStart"/>
      <w:r w:rsidRPr="009964D4">
        <w:rPr>
          <w:rFonts w:cs="Times New Roman"/>
          <w:color w:val="000000" w:themeColor="text1"/>
          <w:kern w:val="0"/>
          <w:szCs w:val="24"/>
          <w14:ligatures w14:val="none"/>
        </w:rPr>
        <w:t>discovery</w:t>
      </w:r>
      <w:proofErr w:type="gramEnd"/>
      <w:r w:rsidRPr="009964D4">
        <w:rPr>
          <w:rFonts w:cs="Times New Roman"/>
          <w:color w:val="000000" w:themeColor="text1"/>
          <w:kern w:val="0"/>
          <w:szCs w:val="24"/>
          <w14:ligatures w14:val="none"/>
        </w:rPr>
        <w:t xml:space="preserve"> efficiently addressing the following: </w:t>
      </w:r>
    </w:p>
    <w:p w14:paraId="6CC0E225" w14:textId="77777777" w:rsidR="009964D4" w:rsidRPr="009964D4" w:rsidRDefault="009964D4" w:rsidP="009964D4">
      <w:pPr>
        <w:numPr>
          <w:ilvl w:val="0"/>
          <w:numId w:val="1"/>
        </w:numPr>
        <w:spacing w:after="0" w:line="240" w:lineRule="auto"/>
        <w:rPr>
          <w:rFonts w:ascii="Century Schoolbook" w:hAnsi="Century Schoolbook"/>
          <w:kern w:val="0"/>
          <w14:ligatures w14:val="none"/>
        </w:rPr>
      </w:pPr>
      <w:proofErr w:type="gramStart"/>
      <w:r w:rsidRPr="009964D4">
        <w:rPr>
          <w:kern w:val="0"/>
          <w14:ligatures w14:val="none"/>
        </w:rPr>
        <w:t>common-issue</w:t>
      </w:r>
      <w:proofErr w:type="gramEnd"/>
      <w:r w:rsidRPr="009964D4">
        <w:rPr>
          <w:kern w:val="0"/>
          <w14:ligatures w14:val="none"/>
        </w:rPr>
        <w:t xml:space="preserve"> discovery;</w:t>
      </w:r>
    </w:p>
    <w:p w14:paraId="3EB0A126" w14:textId="77777777" w:rsidR="009964D4" w:rsidRPr="009964D4" w:rsidRDefault="009964D4" w:rsidP="009964D4">
      <w:pPr>
        <w:numPr>
          <w:ilvl w:val="0"/>
          <w:numId w:val="1"/>
        </w:numPr>
        <w:spacing w:after="0" w:line="240" w:lineRule="auto"/>
        <w:rPr>
          <w:rFonts w:ascii="Century Schoolbook" w:hAnsi="Century Schoolbook"/>
          <w:kern w:val="0"/>
          <w14:ligatures w14:val="none"/>
        </w:rPr>
      </w:pPr>
      <w:r w:rsidRPr="009964D4">
        <w:rPr>
          <w:kern w:val="0"/>
          <w14:ligatures w14:val="none"/>
        </w:rPr>
        <w:t xml:space="preserve">staging of </w:t>
      </w:r>
      <w:proofErr w:type="gramStart"/>
      <w:r w:rsidRPr="009964D4">
        <w:rPr>
          <w:kern w:val="0"/>
          <w14:ligatures w14:val="none"/>
        </w:rPr>
        <w:t>discovery;</w:t>
      </w:r>
      <w:proofErr w:type="gramEnd"/>
    </w:p>
    <w:p w14:paraId="19230473" w14:textId="77777777" w:rsidR="009964D4" w:rsidRPr="009964D4" w:rsidRDefault="009964D4" w:rsidP="009964D4">
      <w:pPr>
        <w:numPr>
          <w:ilvl w:val="0"/>
          <w:numId w:val="1"/>
        </w:numPr>
        <w:spacing w:after="0" w:line="240" w:lineRule="auto"/>
        <w:rPr>
          <w:rFonts w:ascii="Century Schoolbook" w:hAnsi="Century Schoolbook"/>
          <w:kern w:val="0"/>
          <w14:ligatures w14:val="none"/>
        </w:rPr>
      </w:pPr>
      <w:r w:rsidRPr="009964D4">
        <w:rPr>
          <w:kern w:val="0"/>
          <w14:ligatures w14:val="none"/>
        </w:rPr>
        <w:t xml:space="preserve">procedures for handling already-completed common-issue discovery in pre-MDL </w:t>
      </w:r>
      <w:proofErr w:type="gramStart"/>
      <w:r w:rsidRPr="009964D4">
        <w:rPr>
          <w:kern w:val="0"/>
          <w14:ligatures w14:val="none"/>
        </w:rPr>
        <w:t>cases;</w:t>
      </w:r>
      <w:proofErr w:type="gramEnd"/>
    </w:p>
    <w:p w14:paraId="6F6E7ADA" w14:textId="77777777" w:rsidR="009964D4" w:rsidRPr="009964D4" w:rsidRDefault="009964D4" w:rsidP="009964D4">
      <w:pPr>
        <w:numPr>
          <w:ilvl w:val="0"/>
          <w:numId w:val="1"/>
        </w:numPr>
        <w:spacing w:after="0" w:line="240" w:lineRule="auto"/>
        <w:rPr>
          <w:rFonts w:ascii="Century Schoolbook" w:hAnsi="Century Schoolbook"/>
          <w:kern w:val="0"/>
          <w14:ligatures w14:val="none"/>
        </w:rPr>
      </w:pPr>
      <w:r w:rsidRPr="009964D4">
        <w:rPr>
          <w:kern w:val="0"/>
          <w14:ligatures w14:val="none"/>
        </w:rPr>
        <w:t xml:space="preserve">establishment of early ESI </w:t>
      </w:r>
      <w:proofErr w:type="gramStart"/>
      <w:r w:rsidRPr="009964D4">
        <w:rPr>
          <w:kern w:val="0"/>
          <w14:ligatures w14:val="none"/>
        </w:rPr>
        <w:t>protocols;</w:t>
      </w:r>
      <w:proofErr w:type="gramEnd"/>
    </w:p>
    <w:p w14:paraId="7C6BFD8B" w14:textId="77777777" w:rsidR="009964D4" w:rsidRPr="009964D4" w:rsidRDefault="009964D4" w:rsidP="009964D4">
      <w:pPr>
        <w:numPr>
          <w:ilvl w:val="0"/>
          <w:numId w:val="1"/>
        </w:numPr>
        <w:spacing w:after="0" w:line="240" w:lineRule="auto"/>
        <w:rPr>
          <w:kern w:val="0"/>
          <w14:ligatures w14:val="none"/>
        </w:rPr>
      </w:pPr>
      <w:r w:rsidRPr="009964D4">
        <w:rPr>
          <w:kern w:val="0"/>
          <w14:ligatures w14:val="none"/>
        </w:rPr>
        <w:t xml:space="preserve">overall time limits on each side’s number of deposition </w:t>
      </w:r>
      <w:proofErr w:type="gramStart"/>
      <w:r w:rsidRPr="009964D4">
        <w:rPr>
          <w:kern w:val="0"/>
          <w14:ligatures w14:val="none"/>
        </w:rPr>
        <w:t>hours;</w:t>
      </w:r>
      <w:proofErr w:type="gramEnd"/>
    </w:p>
    <w:p w14:paraId="55EAC38B" w14:textId="77777777" w:rsidR="009964D4" w:rsidRPr="009964D4" w:rsidRDefault="009964D4" w:rsidP="009964D4">
      <w:pPr>
        <w:numPr>
          <w:ilvl w:val="0"/>
          <w:numId w:val="1"/>
        </w:numPr>
        <w:spacing w:after="0" w:line="240" w:lineRule="auto"/>
        <w:rPr>
          <w:kern w:val="0"/>
          <w14:ligatures w14:val="none"/>
        </w:rPr>
      </w:pPr>
      <w:r w:rsidRPr="009964D4">
        <w:rPr>
          <w:kern w:val="0"/>
          <w14:ligatures w14:val="none"/>
        </w:rPr>
        <w:t xml:space="preserve">benefits of forbidding written discovery </w:t>
      </w:r>
      <w:proofErr w:type="gramStart"/>
      <w:r w:rsidRPr="009964D4">
        <w:rPr>
          <w:kern w:val="0"/>
          <w14:ligatures w14:val="none"/>
        </w:rPr>
        <w:t>motions;</w:t>
      </w:r>
      <w:proofErr w:type="gramEnd"/>
      <w:r w:rsidRPr="009964D4">
        <w:rPr>
          <w:kern w:val="0"/>
          <w14:ligatures w14:val="none"/>
        </w:rPr>
        <w:t xml:space="preserve"> </w:t>
      </w:r>
    </w:p>
    <w:p w14:paraId="2A5C83B0" w14:textId="77777777" w:rsidR="009964D4" w:rsidRPr="009964D4" w:rsidRDefault="009964D4" w:rsidP="009964D4">
      <w:pPr>
        <w:numPr>
          <w:ilvl w:val="0"/>
          <w:numId w:val="1"/>
        </w:numPr>
        <w:spacing w:after="0" w:line="240" w:lineRule="auto"/>
        <w:rPr>
          <w:kern w:val="0"/>
          <w14:ligatures w14:val="none"/>
        </w:rPr>
      </w:pPr>
      <w:r w:rsidRPr="009964D4">
        <w:rPr>
          <w:kern w:val="0"/>
          <w14:ligatures w14:val="none"/>
        </w:rPr>
        <w:t>early protective orders; and</w:t>
      </w:r>
    </w:p>
    <w:p w14:paraId="3A34C8C3" w14:textId="77777777" w:rsidR="009964D4" w:rsidRPr="009964D4" w:rsidRDefault="009964D4" w:rsidP="009964D4">
      <w:pPr>
        <w:numPr>
          <w:ilvl w:val="0"/>
          <w:numId w:val="1"/>
        </w:numPr>
        <w:spacing w:after="0" w:line="240" w:lineRule="auto"/>
        <w:rPr>
          <w:kern w:val="0"/>
          <w14:ligatures w14:val="none"/>
        </w:rPr>
      </w:pPr>
      <w:r w:rsidRPr="009964D4">
        <w:rPr>
          <w:kern w:val="0"/>
          <w14:ligatures w14:val="none"/>
        </w:rPr>
        <w:t>procedures to handle privilege disputes.</w:t>
      </w:r>
      <w:r w:rsidRPr="009964D4">
        <w:rPr>
          <w:kern w:val="0"/>
          <w:sz w:val="20"/>
          <w:szCs w:val="20"/>
          <w:vertAlign w:val="superscript"/>
          <w14:ligatures w14:val="none"/>
        </w:rPr>
        <w:footnoteReference w:id="2"/>
      </w:r>
      <w:r w:rsidRPr="009964D4">
        <w:rPr>
          <w:kern w:val="0"/>
          <w:sz w:val="20"/>
          <w:szCs w:val="20"/>
          <w:vertAlign w:val="superscript"/>
          <w14:ligatures w14:val="none"/>
        </w:rPr>
        <w:t xml:space="preserve">  </w:t>
      </w:r>
    </w:p>
    <w:p w14:paraId="1606A1CE" w14:textId="77777777" w:rsidR="009964D4" w:rsidRPr="009964D4" w:rsidRDefault="009964D4" w:rsidP="009964D4">
      <w:pPr>
        <w:spacing w:after="0" w:line="240" w:lineRule="auto"/>
        <w:ind w:left="1440"/>
        <w:rPr>
          <w:kern w:val="0"/>
          <w14:ligatures w14:val="none"/>
        </w:rPr>
      </w:pPr>
    </w:p>
    <w:p w14:paraId="177A21D2" w14:textId="77777777" w:rsidR="009964D4" w:rsidRPr="009964D4" w:rsidRDefault="009964D4" w:rsidP="009964D4">
      <w:pPr>
        <w:spacing w:after="0" w:line="240" w:lineRule="auto"/>
        <w:ind w:left="720" w:right="720"/>
        <w:jc w:val="both"/>
        <w:rPr>
          <w:kern w:val="0"/>
          <w14:ligatures w14:val="none"/>
        </w:rPr>
      </w:pPr>
      <w:r w:rsidRPr="009964D4">
        <w:rPr>
          <w:b/>
          <w:bCs/>
          <w:color w:val="333333"/>
          <w:kern w:val="0"/>
          <w14:ligatures w14:val="none"/>
        </w:rPr>
        <w:t xml:space="preserve">Best Practice </w:t>
      </w:r>
      <w:r w:rsidRPr="009964D4">
        <w:rPr>
          <w:b/>
          <w:bCs/>
          <w:kern w:val="0"/>
          <w14:ligatures w14:val="none"/>
        </w:rPr>
        <w:t>MDL-§ 8(d)(</w:t>
      </w:r>
      <w:proofErr w:type="spellStart"/>
      <w:r w:rsidRPr="009964D4">
        <w:rPr>
          <w:b/>
          <w:bCs/>
          <w:kern w:val="0"/>
          <w14:ligatures w14:val="none"/>
        </w:rPr>
        <w:t>i</w:t>
      </w:r>
      <w:proofErr w:type="spellEnd"/>
      <w:r w:rsidRPr="009964D4">
        <w:rPr>
          <w:b/>
          <w:bCs/>
          <w:kern w:val="0"/>
          <w14:ligatures w14:val="none"/>
        </w:rPr>
        <w:t>):</w:t>
      </w:r>
      <w:r w:rsidRPr="009964D4">
        <w:rPr>
          <w:kern w:val="0"/>
          <w14:ligatures w14:val="none"/>
        </w:rPr>
        <w:t xml:space="preserve"> As part of their affirmative duty under Rule 1, the parties should suggest cost-saving procedures that “avoid inefficiencies and unnecessary duplication” in discovery.</w:t>
      </w:r>
      <w:r w:rsidRPr="009964D4">
        <w:rPr>
          <w:rFonts w:cs="Times New Roman"/>
          <w:kern w:val="0"/>
          <w:szCs w:val="24"/>
          <w:vertAlign w:val="superscript"/>
          <w14:ligatures w14:val="none"/>
        </w:rPr>
        <w:footnoteReference w:id="3"/>
      </w:r>
      <w:r w:rsidRPr="009964D4">
        <w:rPr>
          <w:kern w:val="0"/>
          <w14:ligatures w14:val="none"/>
        </w:rPr>
        <w:t xml:space="preserve"> Permanent No. </w:t>
      </w:r>
      <w:r w:rsidRPr="009964D4">
        <w:rPr>
          <w:rFonts w:cs="Times New Roman"/>
          <w:kern w:val="0"/>
          <w:szCs w:val="24"/>
          <w14:ligatures w14:val="none"/>
        </w:rPr>
        <w:t>MDL-§ 15</w:t>
      </w:r>
      <w:r w:rsidRPr="009964D4">
        <w:rPr>
          <w:kern w:val="0"/>
          <w14:ligatures w14:val="none"/>
        </w:rPr>
        <w:t>(c)(</w:t>
      </w:r>
      <w:proofErr w:type="spellStart"/>
      <w:r w:rsidRPr="009964D4">
        <w:rPr>
          <w:kern w:val="0"/>
          <w14:ligatures w14:val="none"/>
        </w:rPr>
        <w:t>i</w:t>
      </w:r>
      <w:proofErr w:type="spellEnd"/>
      <w:r w:rsidRPr="009964D4">
        <w:rPr>
          <w:kern w:val="0"/>
          <w14:ligatures w14:val="none"/>
        </w:rPr>
        <w:t>).</w:t>
      </w:r>
    </w:p>
    <w:p w14:paraId="437041CA" w14:textId="77777777" w:rsidR="009964D4" w:rsidRPr="009964D4" w:rsidRDefault="009964D4" w:rsidP="009964D4">
      <w:pPr>
        <w:spacing w:after="0" w:line="240" w:lineRule="auto"/>
        <w:ind w:left="720" w:right="720"/>
        <w:rPr>
          <w:kern w:val="0"/>
          <w14:ligatures w14:val="none"/>
        </w:rPr>
      </w:pPr>
    </w:p>
    <w:p w14:paraId="4498CDAE" w14:textId="77777777" w:rsidR="009964D4" w:rsidRPr="009964D4" w:rsidRDefault="009964D4" w:rsidP="009964D4">
      <w:pPr>
        <w:spacing w:after="0" w:line="360" w:lineRule="auto"/>
        <w:ind w:firstLine="720"/>
        <w:jc w:val="both"/>
        <w:rPr>
          <w:rFonts w:cs="Times New Roman"/>
          <w:color w:val="000000" w:themeColor="text1"/>
          <w:kern w:val="0"/>
          <w:szCs w:val="24"/>
          <w14:ligatures w14:val="none"/>
        </w:rPr>
      </w:pPr>
      <w:r w:rsidRPr="009964D4">
        <w:rPr>
          <w:rFonts w:cs="Times New Roman"/>
          <w:color w:val="000000" w:themeColor="text1"/>
          <w:kern w:val="0"/>
          <w:szCs w:val="24"/>
          <w14:ligatures w14:val="none"/>
        </w:rPr>
        <w:t xml:space="preserve">ESI that is subject to discovery in mass-tort </w:t>
      </w:r>
      <w:proofErr w:type="gramStart"/>
      <w:r w:rsidRPr="009964D4">
        <w:rPr>
          <w:rFonts w:cs="Times New Roman"/>
          <w:color w:val="000000" w:themeColor="text1"/>
          <w:kern w:val="0"/>
          <w:szCs w:val="24"/>
          <w14:ligatures w14:val="none"/>
        </w:rPr>
        <w:t>MDLs</w:t>
      </w:r>
      <w:proofErr w:type="gramEnd"/>
      <w:r w:rsidRPr="009964D4">
        <w:rPr>
          <w:rFonts w:cs="Times New Roman"/>
          <w:color w:val="000000" w:themeColor="text1"/>
          <w:kern w:val="0"/>
          <w:szCs w:val="24"/>
          <w14:ligatures w14:val="none"/>
        </w:rPr>
        <w:t xml:space="preserve"> usually involves an enormous volume of data from multiple data sources.</w:t>
      </w:r>
      <w:r w:rsidRPr="009964D4">
        <w:rPr>
          <w:rFonts w:cs="Times New Roman"/>
          <w:color w:val="000000" w:themeColor="text1"/>
          <w:kern w:val="0"/>
          <w:szCs w:val="24"/>
          <w:vertAlign w:val="superscript"/>
          <w14:ligatures w14:val="none"/>
        </w:rPr>
        <w:footnoteReference w:id="4"/>
      </w:r>
      <w:r w:rsidRPr="009964D4">
        <w:rPr>
          <w:rFonts w:cs="Times New Roman"/>
          <w:color w:val="000000" w:themeColor="text1"/>
          <w:kern w:val="0"/>
          <w:szCs w:val="24"/>
          <w14:ligatures w14:val="none"/>
        </w:rPr>
        <w:t xml:space="preserve">  In many mass-tort MDLs, parties spend tens of millions of dollars collecting and processing terabytes of data and reviewing and producing millions of pages of </w:t>
      </w:r>
      <w:proofErr w:type="spellStart"/>
      <w:r w:rsidRPr="009964D4">
        <w:rPr>
          <w:rFonts w:cs="Times New Roman"/>
          <w:color w:val="000000" w:themeColor="text1"/>
          <w:kern w:val="0"/>
          <w:szCs w:val="24"/>
          <w14:ligatures w14:val="none"/>
        </w:rPr>
        <w:t>ediscovery</w:t>
      </w:r>
      <w:proofErr w:type="spellEnd"/>
      <w:r w:rsidRPr="009964D4">
        <w:rPr>
          <w:rFonts w:cs="Times New Roman"/>
          <w:color w:val="000000" w:themeColor="text1"/>
          <w:kern w:val="0"/>
          <w:szCs w:val="24"/>
          <w14:ligatures w14:val="none"/>
        </w:rPr>
        <w:t xml:space="preserve">, the vast majority of which is virtually useless. Absent appropriate and efficient procedures and methods, unnecessary </w:t>
      </w:r>
      <w:proofErr w:type="spellStart"/>
      <w:r w:rsidRPr="009964D4">
        <w:rPr>
          <w:rFonts w:cs="Times New Roman"/>
          <w:color w:val="000000" w:themeColor="text1"/>
          <w:kern w:val="0"/>
          <w:szCs w:val="24"/>
          <w14:ligatures w14:val="none"/>
        </w:rPr>
        <w:t>ediscovery</w:t>
      </w:r>
      <w:proofErr w:type="spellEnd"/>
      <w:r w:rsidRPr="009964D4">
        <w:rPr>
          <w:rFonts w:cs="Times New Roman"/>
          <w:color w:val="000000" w:themeColor="text1"/>
          <w:kern w:val="0"/>
          <w:szCs w:val="24"/>
          <w14:ligatures w14:val="none"/>
        </w:rPr>
        <w:t xml:space="preserve"> will continue to spin out of control.  The judge </w:t>
      </w:r>
      <w:r w:rsidRPr="009964D4">
        <w:rPr>
          <w:rFonts w:cs="Times New Roman"/>
          <w:color w:val="000000" w:themeColor="text1"/>
          <w:kern w:val="0"/>
          <w:szCs w:val="24"/>
          <w14:ligatures w14:val="none"/>
        </w:rPr>
        <w:lastRenderedPageBreak/>
        <w:t>and both parties share the responsibility to develop procedures and practices that stay true to the first rule.</w:t>
      </w:r>
      <w:r w:rsidRPr="009964D4">
        <w:rPr>
          <w:rFonts w:cs="Times New Roman"/>
          <w:color w:val="000000" w:themeColor="text1"/>
          <w:kern w:val="0"/>
          <w:szCs w:val="24"/>
          <w:vertAlign w:val="superscript"/>
          <w14:ligatures w14:val="none"/>
        </w:rPr>
        <w:t xml:space="preserve"> </w:t>
      </w:r>
      <w:r w:rsidRPr="009964D4">
        <w:rPr>
          <w:rFonts w:cs="Times New Roman"/>
          <w:color w:val="000000" w:themeColor="text1"/>
          <w:kern w:val="0"/>
          <w:szCs w:val="24"/>
          <w:vertAlign w:val="superscript"/>
          <w14:ligatures w14:val="none"/>
        </w:rPr>
        <w:footnoteReference w:id="5"/>
      </w:r>
      <w:r w:rsidRPr="009964D4">
        <w:rPr>
          <w:rFonts w:cs="Times New Roman"/>
          <w:color w:val="000000" w:themeColor="text1"/>
          <w:kern w:val="0"/>
          <w:szCs w:val="24"/>
          <w14:ligatures w14:val="none"/>
        </w:rPr>
        <w:t xml:space="preserve">  </w:t>
      </w:r>
    </w:p>
    <w:p w14:paraId="35176A3F" w14:textId="77777777" w:rsidR="009964D4" w:rsidRPr="009964D4" w:rsidRDefault="009964D4" w:rsidP="009964D4">
      <w:pPr>
        <w:spacing w:after="0" w:line="240" w:lineRule="auto"/>
        <w:ind w:left="720" w:right="720"/>
        <w:rPr>
          <w:kern w:val="0"/>
          <w14:ligatures w14:val="none"/>
        </w:rPr>
      </w:pPr>
      <w:r w:rsidRPr="009964D4">
        <w:rPr>
          <w:b/>
          <w:bCs/>
          <w:color w:val="333333"/>
          <w:kern w:val="0"/>
          <w14:ligatures w14:val="none"/>
        </w:rPr>
        <w:t xml:space="preserve">Best Practice </w:t>
      </w:r>
      <w:r w:rsidRPr="009964D4">
        <w:rPr>
          <w:b/>
          <w:bCs/>
          <w:kern w:val="0"/>
          <w14:ligatures w14:val="none"/>
        </w:rPr>
        <w:t>MDL-§ 8(d)(</w:t>
      </w:r>
      <w:proofErr w:type="spellStart"/>
      <w:r w:rsidRPr="009964D4">
        <w:rPr>
          <w:b/>
          <w:bCs/>
          <w:kern w:val="0"/>
          <w14:ligatures w14:val="none"/>
        </w:rPr>
        <w:t>i</w:t>
      </w:r>
      <w:proofErr w:type="spellEnd"/>
      <w:r w:rsidRPr="009964D4">
        <w:rPr>
          <w:b/>
          <w:bCs/>
          <w:kern w:val="0"/>
          <w14:ligatures w14:val="none"/>
        </w:rPr>
        <w:t>)(A):</w:t>
      </w:r>
      <w:r w:rsidRPr="009964D4">
        <w:rPr>
          <w:kern w:val="0"/>
          <w14:ligatures w14:val="none"/>
        </w:rPr>
        <w:t xml:space="preserve"> The court should encourage, and defendant and plaintiff lawyers should agree to respond </w:t>
      </w:r>
      <w:proofErr w:type="gramStart"/>
      <w:r w:rsidRPr="009964D4">
        <w:rPr>
          <w:kern w:val="0"/>
          <w14:ligatures w14:val="none"/>
        </w:rPr>
        <w:t>to,</w:t>
      </w:r>
      <w:proofErr w:type="gramEnd"/>
      <w:r w:rsidRPr="009964D4">
        <w:rPr>
          <w:kern w:val="0"/>
          <w14:ligatures w14:val="none"/>
        </w:rPr>
        <w:t xml:space="preserve"> early Rule 34 discovery requests for matter that is obviously relevant. Permanent No. </w:t>
      </w:r>
      <w:r w:rsidRPr="009964D4">
        <w:rPr>
          <w:rFonts w:cs="Times New Roman"/>
          <w:kern w:val="0"/>
          <w:szCs w:val="24"/>
          <w14:ligatures w14:val="none"/>
        </w:rPr>
        <w:t>MDL-§ 15</w:t>
      </w:r>
      <w:r w:rsidRPr="009964D4">
        <w:rPr>
          <w:kern w:val="0"/>
          <w14:ligatures w14:val="none"/>
        </w:rPr>
        <w:t>(c)(</w:t>
      </w:r>
      <w:proofErr w:type="spellStart"/>
      <w:r w:rsidRPr="009964D4">
        <w:rPr>
          <w:kern w:val="0"/>
          <w14:ligatures w14:val="none"/>
        </w:rPr>
        <w:t>i</w:t>
      </w:r>
      <w:proofErr w:type="spellEnd"/>
      <w:r w:rsidRPr="009964D4">
        <w:rPr>
          <w:kern w:val="0"/>
          <w14:ligatures w14:val="none"/>
        </w:rPr>
        <w:t>)(A).</w:t>
      </w:r>
    </w:p>
    <w:p w14:paraId="5E53CB27" w14:textId="77777777" w:rsidR="009964D4" w:rsidRPr="009964D4" w:rsidRDefault="009964D4" w:rsidP="009964D4">
      <w:pPr>
        <w:spacing w:after="0" w:line="240" w:lineRule="auto"/>
        <w:ind w:left="720" w:right="720"/>
        <w:rPr>
          <w:rFonts w:cs="Times New Roman"/>
          <w:kern w:val="0"/>
          <w:szCs w:val="24"/>
          <w14:ligatures w14:val="none"/>
        </w:rPr>
      </w:pPr>
    </w:p>
    <w:p w14:paraId="4FA56FF5" w14:textId="77777777" w:rsidR="009964D4" w:rsidRPr="009964D4" w:rsidRDefault="009964D4" w:rsidP="009964D4">
      <w:pPr>
        <w:spacing w:after="0" w:line="360" w:lineRule="auto"/>
        <w:ind w:firstLine="720"/>
        <w:jc w:val="both"/>
        <w:rPr>
          <w:rFonts w:cs="Times New Roman"/>
          <w:color w:val="000000" w:themeColor="text1"/>
          <w:kern w:val="0"/>
          <w:szCs w:val="24"/>
          <w14:ligatures w14:val="none"/>
        </w:rPr>
      </w:pPr>
      <w:r w:rsidRPr="009964D4">
        <w:rPr>
          <w:rFonts w:cs="Times New Roman"/>
          <w:color w:val="000000" w:themeColor="text1"/>
          <w:kern w:val="0"/>
          <w:szCs w:val="24"/>
          <w14:ligatures w14:val="none"/>
        </w:rPr>
        <w:t>Production of discovery begins as late as 6 to 12 months after actions have been centralized in a mass-tort MDL.  In some cases, discovery production is delayed until the court rules on a dispositive motion, while in other cases delay occurs until the parties agree on the terms of a protective order and various protocols.</w:t>
      </w:r>
      <w:r w:rsidRPr="009964D4">
        <w:rPr>
          <w:rFonts w:cs="Times New Roman"/>
          <w:color w:val="000000" w:themeColor="text1"/>
          <w:kern w:val="0"/>
          <w:szCs w:val="24"/>
          <w:vertAlign w:val="superscript"/>
          <w14:ligatures w14:val="none"/>
        </w:rPr>
        <w:footnoteReference w:id="6"/>
      </w:r>
      <w:r w:rsidRPr="009964D4">
        <w:rPr>
          <w:rFonts w:cs="Times New Roman"/>
          <w:color w:val="000000" w:themeColor="text1"/>
          <w:kern w:val="0"/>
          <w:szCs w:val="24"/>
          <w14:ligatures w14:val="none"/>
        </w:rPr>
        <w:t xml:space="preserve"> In the meantime, production of obviously relevant matter is stalled, and months are added to the disposition time of the litigation.  </w:t>
      </w:r>
    </w:p>
    <w:p w14:paraId="18C4ED36" w14:textId="77777777" w:rsidR="009964D4" w:rsidRPr="009964D4" w:rsidRDefault="009964D4" w:rsidP="009964D4">
      <w:pPr>
        <w:spacing w:after="0" w:line="360" w:lineRule="auto"/>
        <w:ind w:firstLine="720"/>
        <w:jc w:val="both"/>
        <w:rPr>
          <w:rFonts w:cs="Times New Roman"/>
          <w:color w:val="000000" w:themeColor="text1"/>
          <w:kern w:val="0"/>
          <w:szCs w:val="24"/>
          <w14:ligatures w14:val="none"/>
        </w:rPr>
      </w:pPr>
      <w:r w:rsidRPr="009964D4">
        <w:rPr>
          <w:rFonts w:cs="Times New Roman"/>
          <w:color w:val="000000" w:themeColor="text1"/>
          <w:kern w:val="0"/>
          <w:szCs w:val="24"/>
          <w14:ligatures w14:val="none"/>
        </w:rPr>
        <w:t xml:space="preserve">Millions of pages are produced in discovery in mass-tort MDLs, often only after time-consuming litigation and multiple motions and hearings.  There is no good reason to delay production of obviously relevant discovery and very good reasons to jump-start discovery, so that the parties can begin to focus on </w:t>
      </w:r>
      <w:proofErr w:type="gramStart"/>
      <w:r w:rsidRPr="009964D4">
        <w:rPr>
          <w:rFonts w:cs="Times New Roman"/>
          <w:color w:val="000000" w:themeColor="text1"/>
          <w:kern w:val="0"/>
          <w:szCs w:val="24"/>
          <w14:ligatures w14:val="none"/>
        </w:rPr>
        <w:t>matter</w:t>
      </w:r>
      <w:proofErr w:type="gramEnd"/>
      <w:r w:rsidRPr="009964D4">
        <w:rPr>
          <w:rFonts w:cs="Times New Roman"/>
          <w:color w:val="000000" w:themeColor="text1"/>
          <w:kern w:val="0"/>
          <w:szCs w:val="24"/>
          <w14:ligatures w14:val="none"/>
        </w:rPr>
        <w:t xml:space="preserve"> that is important in resolving the issues.  For example, early production of Federal Drug Administration reports and studies, in-house testing results, NDA agreements, and limited discovery of significant matter previously produced in selected related litigation could expedite litigation as well as help to direct discovery to matter that is important in resolving the issues instead of a shot-gun approach.</w:t>
      </w:r>
      <w:r w:rsidRPr="009964D4">
        <w:rPr>
          <w:rFonts w:cs="Times New Roman"/>
          <w:color w:val="000000" w:themeColor="text1"/>
          <w:kern w:val="0"/>
          <w:szCs w:val="24"/>
          <w:vertAlign w:val="superscript"/>
          <w14:ligatures w14:val="none"/>
        </w:rPr>
        <w:footnoteReference w:id="7"/>
      </w:r>
      <w:r w:rsidRPr="009964D4">
        <w:rPr>
          <w:rFonts w:cs="Times New Roman"/>
          <w:color w:val="000000" w:themeColor="text1"/>
          <w:kern w:val="0"/>
          <w:szCs w:val="24"/>
          <w14:ligatures w14:val="none"/>
        </w:rPr>
        <w:t xml:space="preserve"> Discovery in related state-court cases may provide an alternative source for the same relevant matter. </w:t>
      </w:r>
    </w:p>
    <w:p w14:paraId="55CCF6F9" w14:textId="77777777" w:rsidR="009964D4" w:rsidRPr="009964D4" w:rsidRDefault="009964D4" w:rsidP="009964D4">
      <w:pPr>
        <w:spacing w:after="0" w:line="360" w:lineRule="auto"/>
        <w:ind w:firstLine="720"/>
        <w:jc w:val="both"/>
        <w:rPr>
          <w:rFonts w:cs="Times New Roman"/>
          <w:color w:val="000000" w:themeColor="text1"/>
          <w:kern w:val="0"/>
          <w:szCs w:val="24"/>
          <w14:ligatures w14:val="none"/>
        </w:rPr>
      </w:pPr>
      <w:r w:rsidRPr="009964D4">
        <w:rPr>
          <w:rFonts w:cs="Times New Roman"/>
          <w:color w:val="000000" w:themeColor="text1"/>
          <w:kern w:val="0"/>
          <w:szCs w:val="24"/>
          <w14:ligatures w14:val="none"/>
        </w:rPr>
        <w:t>Fed. R. Civ. P. 26(d)(2) sets out the procedures governing early production requests under Fed. R. Civ. P. 34(b)(2)(A).  The court should encourage both parties to engage in early Rule 34 production requests without either party conceding the merits of the MDL.</w:t>
      </w:r>
    </w:p>
    <w:p w14:paraId="332B9DCD" w14:textId="77777777" w:rsidR="009964D4" w:rsidRPr="009964D4" w:rsidRDefault="009964D4" w:rsidP="009964D4">
      <w:pPr>
        <w:spacing w:after="0" w:line="240" w:lineRule="auto"/>
        <w:ind w:left="720" w:right="720"/>
        <w:rPr>
          <w:kern w:val="0"/>
          <w14:ligatures w14:val="none"/>
        </w:rPr>
      </w:pPr>
      <w:r w:rsidRPr="009964D4">
        <w:rPr>
          <w:b/>
          <w:bCs/>
          <w:color w:val="333333"/>
          <w:kern w:val="0"/>
          <w14:ligatures w14:val="none"/>
        </w:rPr>
        <w:lastRenderedPageBreak/>
        <w:t xml:space="preserve">Best Practice </w:t>
      </w:r>
      <w:r w:rsidRPr="009964D4">
        <w:rPr>
          <w:b/>
          <w:bCs/>
          <w:kern w:val="0"/>
          <w14:ligatures w14:val="none"/>
        </w:rPr>
        <w:t>MDL-§ 8(d)(</w:t>
      </w:r>
      <w:proofErr w:type="spellStart"/>
      <w:r w:rsidRPr="009964D4">
        <w:rPr>
          <w:b/>
          <w:bCs/>
          <w:kern w:val="0"/>
          <w14:ligatures w14:val="none"/>
        </w:rPr>
        <w:t>i</w:t>
      </w:r>
      <w:proofErr w:type="spellEnd"/>
      <w:r w:rsidRPr="009964D4">
        <w:rPr>
          <w:b/>
          <w:bCs/>
          <w:kern w:val="0"/>
          <w14:ligatures w14:val="none"/>
        </w:rPr>
        <w:t>)(B):</w:t>
      </w:r>
      <w:r w:rsidRPr="009964D4">
        <w:rPr>
          <w:kern w:val="0"/>
          <w14:ligatures w14:val="none"/>
        </w:rPr>
        <w:t xml:space="preserve"> The parties should consult with each other about the vendors and types of technology-assisted review (TAR) methods they plan to use. Permanent No. </w:t>
      </w:r>
      <w:r w:rsidRPr="009964D4">
        <w:rPr>
          <w:rFonts w:cs="Times New Roman"/>
          <w:kern w:val="0"/>
          <w:szCs w:val="24"/>
          <w14:ligatures w14:val="none"/>
        </w:rPr>
        <w:t>MDL-§ 15</w:t>
      </w:r>
      <w:r w:rsidRPr="009964D4">
        <w:rPr>
          <w:kern w:val="0"/>
          <w14:ligatures w14:val="none"/>
        </w:rPr>
        <w:t>(c)(</w:t>
      </w:r>
      <w:proofErr w:type="spellStart"/>
      <w:r w:rsidRPr="009964D4">
        <w:rPr>
          <w:kern w:val="0"/>
          <w14:ligatures w14:val="none"/>
        </w:rPr>
        <w:t>i</w:t>
      </w:r>
      <w:proofErr w:type="spellEnd"/>
      <w:r w:rsidRPr="009964D4">
        <w:rPr>
          <w:kern w:val="0"/>
          <w14:ligatures w14:val="none"/>
        </w:rPr>
        <w:t>)(B).</w:t>
      </w:r>
    </w:p>
    <w:p w14:paraId="2B51982B" w14:textId="77777777" w:rsidR="009964D4" w:rsidRPr="009964D4" w:rsidRDefault="009964D4" w:rsidP="009964D4">
      <w:pPr>
        <w:spacing w:after="0" w:line="240" w:lineRule="auto"/>
        <w:ind w:right="720"/>
        <w:rPr>
          <w:kern w:val="0"/>
          <w14:ligatures w14:val="none"/>
        </w:rPr>
      </w:pPr>
    </w:p>
    <w:p w14:paraId="7447632A" w14:textId="77777777" w:rsidR="009964D4" w:rsidRPr="009964D4" w:rsidRDefault="009964D4" w:rsidP="009964D4">
      <w:pPr>
        <w:spacing w:after="0" w:line="360" w:lineRule="auto"/>
        <w:ind w:right="720" w:firstLine="720"/>
        <w:jc w:val="both"/>
        <w:rPr>
          <w:color w:val="333333"/>
          <w:kern w:val="0"/>
          <w14:ligatures w14:val="none"/>
        </w:rPr>
      </w:pPr>
      <w:r w:rsidRPr="009964D4">
        <w:rPr>
          <w:color w:val="333333"/>
          <w:kern w:val="0"/>
          <w14:ligatures w14:val="none"/>
        </w:rPr>
        <w:t xml:space="preserve">Linear review of all discoverable documents is not practical, and parties most often use some form of technology-assisted review (TAR) or other AI methods to narrow the volume of documents that </w:t>
      </w:r>
      <w:proofErr w:type="gramStart"/>
      <w:r w:rsidRPr="009964D4">
        <w:rPr>
          <w:color w:val="333333"/>
          <w:kern w:val="0"/>
          <w14:ligatures w14:val="none"/>
        </w:rPr>
        <w:t>is</w:t>
      </w:r>
      <w:proofErr w:type="gramEnd"/>
      <w:r w:rsidRPr="009964D4">
        <w:rPr>
          <w:color w:val="333333"/>
          <w:kern w:val="0"/>
          <w14:ligatures w14:val="none"/>
        </w:rPr>
        <w:t xml:space="preserve"> subject to human review.  Determining which method and vendor to use, the review process, and managing the extent of consultation between the parties in applying TAR and other AI applications should be raised in the report to the court, though decisions deferred until leadership </w:t>
      </w:r>
      <w:proofErr w:type="spellStart"/>
      <w:r w:rsidRPr="009964D4">
        <w:rPr>
          <w:color w:val="333333"/>
          <w:kern w:val="0"/>
          <w14:ligatures w14:val="none"/>
        </w:rPr>
        <w:t>counsel</w:t>
      </w:r>
      <w:proofErr w:type="spellEnd"/>
      <w:r w:rsidRPr="009964D4">
        <w:rPr>
          <w:color w:val="333333"/>
          <w:kern w:val="0"/>
          <w14:ligatures w14:val="none"/>
        </w:rPr>
        <w:t xml:space="preserve"> is appointed.  </w:t>
      </w:r>
    </w:p>
    <w:p w14:paraId="71B42F47" w14:textId="77777777" w:rsidR="009964D4" w:rsidRPr="009964D4" w:rsidRDefault="009964D4" w:rsidP="009964D4">
      <w:pPr>
        <w:spacing w:after="0" w:line="360" w:lineRule="auto"/>
        <w:ind w:right="720" w:firstLine="720"/>
        <w:jc w:val="both"/>
        <w:rPr>
          <w:rFonts w:cs="Times New Roman"/>
          <w:kern w:val="0"/>
          <w:szCs w:val="24"/>
          <w14:ligatures w14:val="none"/>
        </w:rPr>
      </w:pPr>
      <w:r w:rsidRPr="009964D4">
        <w:rPr>
          <w:color w:val="333333"/>
          <w:kern w:val="0"/>
          <w14:ligatures w14:val="none"/>
        </w:rPr>
        <w:t xml:space="preserve">Courts typically encourage parties to work collaboratively in identifying the sources and types of relevant documents as well as the methods of finding them.  The parties should consider disclosing nonresponsive documents in a random </w:t>
      </w:r>
      <w:proofErr w:type="gramStart"/>
      <w:r w:rsidRPr="009964D4">
        <w:rPr>
          <w:color w:val="333333"/>
          <w:kern w:val="0"/>
          <w14:ligatures w14:val="none"/>
        </w:rPr>
        <w:t>sampling</w:t>
      </w:r>
      <w:proofErr w:type="gramEnd"/>
      <w:r w:rsidRPr="009964D4">
        <w:rPr>
          <w:color w:val="333333"/>
          <w:kern w:val="0"/>
          <w14:ligatures w14:val="none"/>
        </w:rPr>
        <w:t xml:space="preserve"> of TAR nonresponsive documents to serve as a strong validation process, which is discussed in Permanent Best Practice </w:t>
      </w:r>
      <w:r w:rsidRPr="009964D4">
        <w:rPr>
          <w:rFonts w:cs="Times New Roman"/>
          <w:kern w:val="0"/>
          <w:szCs w:val="24"/>
          <w14:ligatures w14:val="none"/>
        </w:rPr>
        <w:t>No. MDL-§ 15(c)(ii)(B).  Such disclosures</w:t>
      </w:r>
      <w:r w:rsidRPr="009964D4">
        <w:rPr>
          <w:color w:val="333333"/>
          <w:kern w:val="0"/>
          <w14:ligatures w14:val="none"/>
        </w:rPr>
        <w:t xml:space="preserve"> will expedite the development of a TAR protocol, which can otherwise delay </w:t>
      </w:r>
      <w:proofErr w:type="spellStart"/>
      <w:r w:rsidRPr="009964D4">
        <w:rPr>
          <w:color w:val="333333"/>
          <w:kern w:val="0"/>
          <w14:ligatures w14:val="none"/>
        </w:rPr>
        <w:t>ediscovery</w:t>
      </w:r>
      <w:proofErr w:type="spellEnd"/>
      <w:r w:rsidRPr="009964D4">
        <w:rPr>
          <w:color w:val="333333"/>
          <w:kern w:val="0"/>
          <w14:ligatures w14:val="none"/>
        </w:rPr>
        <w:t xml:space="preserve"> for many months, by mitigating the need for an exhaustive TAR protocol that micro-manages the process.</w:t>
      </w:r>
    </w:p>
    <w:p w14:paraId="28869BB9" w14:textId="77777777" w:rsidR="009964D4" w:rsidRPr="009964D4" w:rsidRDefault="009964D4" w:rsidP="009964D4">
      <w:pPr>
        <w:spacing w:after="0" w:line="240" w:lineRule="auto"/>
        <w:ind w:left="720" w:right="720"/>
        <w:rPr>
          <w:kern w:val="0"/>
          <w14:ligatures w14:val="none"/>
        </w:rPr>
      </w:pPr>
      <w:r w:rsidRPr="009964D4">
        <w:rPr>
          <w:b/>
          <w:bCs/>
          <w:color w:val="333333"/>
          <w:kern w:val="0"/>
          <w14:ligatures w14:val="none"/>
        </w:rPr>
        <w:t xml:space="preserve">Best Practice </w:t>
      </w:r>
      <w:r w:rsidRPr="009964D4">
        <w:rPr>
          <w:b/>
          <w:bCs/>
          <w:kern w:val="0"/>
          <w14:ligatures w14:val="none"/>
        </w:rPr>
        <w:t>MDL-§ 8(d)(ii):</w:t>
      </w:r>
      <w:r w:rsidRPr="009964D4">
        <w:rPr>
          <w:kern w:val="0"/>
          <w14:ligatures w14:val="none"/>
        </w:rPr>
        <w:t xml:space="preserve"> The court and parties should consider the Center’s Optimum Proportionality </w:t>
      </w:r>
      <w:proofErr w:type="spellStart"/>
      <w:r w:rsidRPr="009964D4">
        <w:rPr>
          <w:kern w:val="0"/>
          <w14:ligatures w14:val="none"/>
        </w:rPr>
        <w:t>Ediscovery</w:t>
      </w:r>
      <w:proofErr w:type="spellEnd"/>
      <w:r w:rsidRPr="009964D4">
        <w:rPr>
          <w:kern w:val="0"/>
          <w14:ligatures w14:val="none"/>
        </w:rPr>
        <w:t xml:space="preserve"> Standard (OPES) in developing efficient </w:t>
      </w:r>
      <w:proofErr w:type="spellStart"/>
      <w:r w:rsidRPr="009964D4">
        <w:rPr>
          <w:kern w:val="0"/>
          <w14:ligatures w14:val="none"/>
        </w:rPr>
        <w:t>ediscovery</w:t>
      </w:r>
      <w:proofErr w:type="spellEnd"/>
      <w:r w:rsidRPr="009964D4">
        <w:rPr>
          <w:kern w:val="0"/>
          <w14:ligatures w14:val="none"/>
        </w:rPr>
        <w:t xml:space="preserve"> procedures. Permanent No. </w:t>
      </w:r>
      <w:r w:rsidRPr="009964D4">
        <w:rPr>
          <w:rFonts w:cs="Times New Roman"/>
          <w:kern w:val="0"/>
          <w:szCs w:val="24"/>
          <w14:ligatures w14:val="none"/>
        </w:rPr>
        <w:t>MDL-§ 15</w:t>
      </w:r>
      <w:r w:rsidRPr="009964D4">
        <w:rPr>
          <w:kern w:val="0"/>
          <w14:ligatures w14:val="none"/>
        </w:rPr>
        <w:t>(c)(ii).</w:t>
      </w:r>
    </w:p>
    <w:p w14:paraId="4F10D575" w14:textId="77777777" w:rsidR="009964D4" w:rsidRPr="009964D4" w:rsidRDefault="009964D4" w:rsidP="009964D4">
      <w:pPr>
        <w:spacing w:after="0" w:line="240" w:lineRule="auto"/>
        <w:ind w:left="720" w:right="720"/>
        <w:rPr>
          <w:kern w:val="0"/>
          <w14:ligatures w14:val="none"/>
        </w:rPr>
      </w:pPr>
    </w:p>
    <w:p w14:paraId="53D9CDC2" w14:textId="77777777" w:rsidR="009964D4" w:rsidRPr="009964D4" w:rsidRDefault="009964D4" w:rsidP="009964D4">
      <w:pPr>
        <w:spacing w:after="0" w:line="360" w:lineRule="auto"/>
        <w:ind w:firstLine="720"/>
        <w:jc w:val="both"/>
        <w:rPr>
          <w:rFonts w:cs="Times New Roman"/>
          <w:color w:val="000000" w:themeColor="text1"/>
          <w:kern w:val="0"/>
          <w:szCs w:val="24"/>
          <w14:ligatures w14:val="none"/>
        </w:rPr>
      </w:pPr>
      <w:proofErr w:type="spellStart"/>
      <w:r w:rsidRPr="009964D4">
        <w:rPr>
          <w:rFonts w:cs="Times New Roman"/>
          <w:color w:val="000000" w:themeColor="text1"/>
          <w:kern w:val="0"/>
          <w:szCs w:val="24"/>
          <w14:ligatures w14:val="none"/>
        </w:rPr>
        <w:t>Ediscovery</w:t>
      </w:r>
      <w:proofErr w:type="spellEnd"/>
      <w:r w:rsidRPr="009964D4">
        <w:rPr>
          <w:rFonts w:cs="Times New Roman"/>
          <w:color w:val="000000" w:themeColor="text1"/>
          <w:kern w:val="0"/>
          <w:szCs w:val="24"/>
          <w14:ligatures w14:val="none"/>
        </w:rPr>
        <w:t xml:space="preserve"> practice in mass-tort MDLs is moving inexorably toward identifying all possibly relevant information on all conceivably relevant data sources.</w:t>
      </w:r>
      <w:r w:rsidRPr="009964D4">
        <w:rPr>
          <w:rFonts w:cs="Times New Roman"/>
          <w:color w:val="000000" w:themeColor="text1"/>
          <w:kern w:val="0"/>
          <w:szCs w:val="24"/>
          <w:vertAlign w:val="superscript"/>
          <w14:ligatures w14:val="none"/>
        </w:rPr>
        <w:footnoteReference w:id="8"/>
      </w:r>
      <w:r w:rsidRPr="009964D4">
        <w:rPr>
          <w:rFonts w:cs="Times New Roman"/>
          <w:color w:val="000000" w:themeColor="text1"/>
          <w:kern w:val="0"/>
          <w:szCs w:val="24"/>
          <w14:ligatures w14:val="none"/>
        </w:rPr>
        <w:t xml:space="preserve">  Technology may make such  “recall” attainable, but it also sweeps in massive amounts of unimportant information, which only obfuscates identifying information that is important in resolving the issues.</w:t>
      </w:r>
      <w:r w:rsidRPr="009964D4">
        <w:rPr>
          <w:rFonts w:cs="Times New Roman"/>
          <w:color w:val="000000" w:themeColor="text1"/>
          <w:kern w:val="0"/>
          <w:szCs w:val="24"/>
          <w:vertAlign w:val="superscript"/>
          <w14:ligatures w14:val="none"/>
        </w:rPr>
        <w:footnoteReference w:id="9"/>
      </w:r>
      <w:r w:rsidRPr="009964D4">
        <w:rPr>
          <w:rFonts w:cs="Times New Roman"/>
          <w:color w:val="000000" w:themeColor="text1"/>
          <w:kern w:val="0"/>
          <w:szCs w:val="24"/>
          <w14:ligatures w14:val="none"/>
        </w:rPr>
        <w:t xml:space="preserve">  Both sides and the court lose when </w:t>
      </w:r>
      <w:proofErr w:type="spellStart"/>
      <w:r w:rsidRPr="009964D4">
        <w:rPr>
          <w:rFonts w:cs="Times New Roman"/>
          <w:color w:val="000000" w:themeColor="text1"/>
          <w:kern w:val="0"/>
          <w:szCs w:val="24"/>
          <w14:ligatures w14:val="none"/>
        </w:rPr>
        <w:t>ediscovery</w:t>
      </w:r>
      <w:proofErr w:type="spellEnd"/>
      <w:r w:rsidRPr="009964D4">
        <w:rPr>
          <w:rFonts w:cs="Times New Roman"/>
          <w:color w:val="000000" w:themeColor="text1"/>
          <w:kern w:val="0"/>
          <w:szCs w:val="24"/>
          <w14:ligatures w14:val="none"/>
        </w:rPr>
        <w:t xml:space="preserve"> produces millions of inconsequential pages.</w:t>
      </w:r>
      <w:r w:rsidRPr="009964D4">
        <w:rPr>
          <w:rFonts w:cs="Times New Roman"/>
          <w:color w:val="000000" w:themeColor="text1"/>
          <w:kern w:val="0"/>
          <w:szCs w:val="24"/>
          <w:vertAlign w:val="superscript"/>
          <w14:ligatures w14:val="none"/>
        </w:rPr>
        <w:footnoteReference w:id="10"/>
      </w:r>
      <w:r w:rsidRPr="009964D4">
        <w:rPr>
          <w:rFonts w:cs="Times New Roman"/>
          <w:color w:val="000000" w:themeColor="text1"/>
          <w:kern w:val="0"/>
          <w:szCs w:val="24"/>
          <w14:ligatures w14:val="none"/>
        </w:rPr>
        <w:t xml:space="preserve">  And both sides and </w:t>
      </w:r>
      <w:r w:rsidRPr="009964D4">
        <w:rPr>
          <w:rFonts w:cs="Times New Roman"/>
          <w:color w:val="000000" w:themeColor="text1"/>
          <w:kern w:val="0"/>
          <w:szCs w:val="24"/>
          <w14:ligatures w14:val="none"/>
        </w:rPr>
        <w:lastRenderedPageBreak/>
        <w:t xml:space="preserve">the courts win when the practices move from emphasizing “recall” of all possibly relevant information to identifying “significant” information.  </w:t>
      </w:r>
    </w:p>
    <w:p w14:paraId="65B766AA" w14:textId="77777777" w:rsidR="009964D4" w:rsidRPr="009964D4" w:rsidRDefault="009964D4" w:rsidP="009964D4">
      <w:pPr>
        <w:spacing w:after="0" w:line="360" w:lineRule="auto"/>
        <w:ind w:firstLine="720"/>
        <w:jc w:val="both"/>
        <w:rPr>
          <w:rFonts w:cs="Times New Roman"/>
          <w:color w:val="000000" w:themeColor="text1"/>
          <w:kern w:val="0"/>
          <w:szCs w:val="24"/>
          <w14:ligatures w14:val="none"/>
        </w:rPr>
      </w:pPr>
      <w:r w:rsidRPr="009964D4">
        <w:rPr>
          <w:rFonts w:cs="Times New Roman"/>
          <w:color w:val="000000" w:themeColor="text1"/>
          <w:kern w:val="0"/>
          <w:szCs w:val="24"/>
          <w14:ligatures w14:val="none"/>
        </w:rPr>
        <w:t xml:space="preserve">Limitless </w:t>
      </w:r>
      <w:proofErr w:type="spellStart"/>
      <w:r w:rsidRPr="009964D4">
        <w:rPr>
          <w:rFonts w:cs="Times New Roman"/>
          <w:color w:val="000000" w:themeColor="text1"/>
          <w:kern w:val="0"/>
          <w:szCs w:val="24"/>
          <w14:ligatures w14:val="none"/>
        </w:rPr>
        <w:t>ediscovery</w:t>
      </w:r>
      <w:proofErr w:type="spellEnd"/>
      <w:r w:rsidRPr="009964D4">
        <w:rPr>
          <w:rFonts w:cs="Times New Roman"/>
          <w:color w:val="000000" w:themeColor="text1"/>
          <w:kern w:val="0"/>
          <w:szCs w:val="24"/>
          <w14:ligatures w14:val="none"/>
        </w:rPr>
        <w:t xml:space="preserve"> is mistakenly justified </w:t>
      </w:r>
      <w:proofErr w:type="gramStart"/>
      <w:r w:rsidRPr="009964D4">
        <w:rPr>
          <w:rFonts w:cs="Times New Roman"/>
          <w:color w:val="000000" w:themeColor="text1"/>
          <w:kern w:val="0"/>
          <w:szCs w:val="24"/>
          <w14:ligatures w14:val="none"/>
        </w:rPr>
        <w:t>on the basis of</w:t>
      </w:r>
      <w:proofErr w:type="gramEnd"/>
      <w:r w:rsidRPr="009964D4">
        <w:rPr>
          <w:rFonts w:cs="Times New Roman"/>
          <w:color w:val="000000" w:themeColor="text1"/>
          <w:kern w:val="0"/>
          <w:szCs w:val="24"/>
          <w14:ligatures w14:val="none"/>
        </w:rPr>
        <w:t xml:space="preserve"> Rule 26(b)(1) proportionality grounds and flies in the face of Rule 1’s admonition to apply the rules to “secure the just, speedy, and inexpensive determination of every action and proceeding.” </w:t>
      </w:r>
    </w:p>
    <w:p w14:paraId="47EA63C5" w14:textId="77777777" w:rsidR="009964D4" w:rsidRPr="009964D4" w:rsidRDefault="009964D4" w:rsidP="009964D4">
      <w:pPr>
        <w:spacing w:after="0" w:line="360" w:lineRule="auto"/>
        <w:ind w:firstLine="720"/>
        <w:jc w:val="both"/>
        <w:rPr>
          <w:rFonts w:eastAsia="Times New Roman" w:cs="Times New Roman"/>
          <w:color w:val="222222"/>
          <w:kern w:val="0"/>
          <w:szCs w:val="24"/>
          <w14:ligatures w14:val="none"/>
        </w:rPr>
      </w:pPr>
      <w:r w:rsidRPr="009964D4">
        <w:rPr>
          <w:rFonts w:eastAsia="Times New Roman" w:cs="Times New Roman"/>
          <w:color w:val="222222"/>
          <w:kern w:val="0"/>
          <w:szCs w:val="24"/>
          <w14:ligatures w14:val="none"/>
        </w:rPr>
        <w:t xml:space="preserve">The Center’s “Optimum Proportionality </w:t>
      </w:r>
      <w:proofErr w:type="spellStart"/>
      <w:r w:rsidRPr="009964D4">
        <w:rPr>
          <w:rFonts w:eastAsia="Times New Roman" w:cs="Times New Roman"/>
          <w:color w:val="222222"/>
          <w:kern w:val="0"/>
          <w:szCs w:val="24"/>
          <w14:ligatures w14:val="none"/>
        </w:rPr>
        <w:t>Ediscovery</w:t>
      </w:r>
      <w:proofErr w:type="spellEnd"/>
      <w:r w:rsidRPr="009964D4">
        <w:rPr>
          <w:rFonts w:eastAsia="Times New Roman" w:cs="Times New Roman"/>
          <w:color w:val="222222"/>
          <w:kern w:val="0"/>
          <w:szCs w:val="24"/>
          <w14:ligatures w14:val="none"/>
        </w:rPr>
        <w:t xml:space="preserve"> Standard” (OPES) is a set of guidelines and best practices that feature two steps, which narrow </w:t>
      </w:r>
      <w:proofErr w:type="spellStart"/>
      <w:r w:rsidRPr="009964D4">
        <w:rPr>
          <w:rFonts w:eastAsia="Times New Roman" w:cs="Times New Roman"/>
          <w:color w:val="222222"/>
          <w:kern w:val="0"/>
          <w:szCs w:val="24"/>
          <w14:ligatures w14:val="none"/>
        </w:rPr>
        <w:t>ediscovery</w:t>
      </w:r>
      <w:proofErr w:type="spellEnd"/>
      <w:r w:rsidRPr="009964D4">
        <w:rPr>
          <w:rFonts w:eastAsia="Times New Roman" w:cs="Times New Roman"/>
          <w:color w:val="222222"/>
          <w:kern w:val="0"/>
          <w:szCs w:val="24"/>
          <w14:ligatures w14:val="none"/>
        </w:rPr>
        <w:t xml:space="preserve"> while at the same time strengthen the confidence of both parties that information important in resolving the issues is produced.</w:t>
      </w:r>
      <w:r w:rsidRPr="009964D4">
        <w:rPr>
          <w:rFonts w:eastAsia="Times New Roman" w:cs="Times New Roman"/>
          <w:color w:val="222222"/>
          <w:kern w:val="0"/>
          <w:szCs w:val="24"/>
          <w:vertAlign w:val="superscript"/>
          <w14:ligatures w14:val="none"/>
        </w:rPr>
        <w:footnoteReference w:id="11"/>
      </w:r>
      <w:r w:rsidRPr="009964D4">
        <w:rPr>
          <w:rFonts w:eastAsia="Times New Roman" w:cs="Times New Roman"/>
          <w:color w:val="222222"/>
          <w:kern w:val="0"/>
          <w:szCs w:val="24"/>
          <w14:ligatures w14:val="none"/>
        </w:rPr>
        <w:t xml:space="preserve"> OPES Guideline 1 restructures the Rule 26(b)(1) factors and highlights the “importance of the requested discovery in resolving the issues” as the presumptively predominant factor in assessing whether the requested discovery is proportional to the needs of the case.</w:t>
      </w:r>
      <w:r w:rsidRPr="009964D4">
        <w:rPr>
          <w:rFonts w:cs="Times New Roman"/>
          <w:color w:val="000000" w:themeColor="text1"/>
          <w:kern w:val="0"/>
          <w:szCs w:val="24"/>
          <w:vertAlign w:val="superscript"/>
          <w14:ligatures w14:val="none"/>
        </w:rPr>
        <w:footnoteReference w:id="12"/>
      </w:r>
      <w:r w:rsidRPr="009964D4">
        <w:rPr>
          <w:rFonts w:eastAsia="Times New Roman" w:cs="Times New Roman"/>
          <w:color w:val="222222"/>
          <w:kern w:val="0"/>
          <w:szCs w:val="24"/>
          <w14:ligatures w14:val="none"/>
        </w:rPr>
        <w:t xml:space="preserve">  The restructured factors reflect the practices of a growing number of judges.  It is also consistent with the spirit of the Rule 26(b)(1) amendments, which provide the judge with the discretion to determine which factors are most important </w:t>
      </w:r>
      <w:proofErr w:type="gramStart"/>
      <w:r w:rsidRPr="009964D4">
        <w:rPr>
          <w:rFonts w:eastAsia="Times New Roman" w:cs="Times New Roman"/>
          <w:color w:val="222222"/>
          <w:kern w:val="0"/>
          <w:szCs w:val="24"/>
          <w14:ligatures w14:val="none"/>
        </w:rPr>
        <w:t>in a given</w:t>
      </w:r>
      <w:proofErr w:type="gramEnd"/>
      <w:r w:rsidRPr="009964D4">
        <w:rPr>
          <w:rFonts w:eastAsia="Times New Roman" w:cs="Times New Roman"/>
          <w:color w:val="222222"/>
          <w:kern w:val="0"/>
          <w:szCs w:val="24"/>
          <w14:ligatures w14:val="none"/>
        </w:rPr>
        <w:t xml:space="preserve"> case.</w:t>
      </w:r>
      <w:r w:rsidRPr="009964D4">
        <w:rPr>
          <w:rFonts w:eastAsia="Times New Roman" w:cs="Times New Roman"/>
          <w:color w:val="222222"/>
          <w:kern w:val="0"/>
          <w:szCs w:val="24"/>
          <w:vertAlign w:val="superscript"/>
          <w14:ligatures w14:val="none"/>
        </w:rPr>
        <w:footnoteReference w:id="13"/>
      </w:r>
      <w:r w:rsidRPr="009964D4">
        <w:rPr>
          <w:rFonts w:eastAsia="Times New Roman" w:cs="Times New Roman"/>
          <w:color w:val="222222"/>
          <w:kern w:val="0"/>
          <w:szCs w:val="24"/>
          <w14:ligatures w14:val="none"/>
        </w:rPr>
        <w:t xml:space="preserve"> Narrowing unlimited </w:t>
      </w:r>
      <w:proofErr w:type="spellStart"/>
      <w:r w:rsidRPr="009964D4">
        <w:rPr>
          <w:rFonts w:eastAsia="Times New Roman" w:cs="Times New Roman"/>
          <w:color w:val="222222"/>
          <w:kern w:val="0"/>
          <w:szCs w:val="24"/>
          <w14:ligatures w14:val="none"/>
        </w:rPr>
        <w:t>ediscovery</w:t>
      </w:r>
      <w:proofErr w:type="spellEnd"/>
      <w:r w:rsidRPr="009964D4">
        <w:rPr>
          <w:rFonts w:eastAsia="Times New Roman" w:cs="Times New Roman"/>
          <w:color w:val="222222"/>
          <w:kern w:val="0"/>
          <w:szCs w:val="24"/>
          <w14:ligatures w14:val="none"/>
        </w:rPr>
        <w:t xml:space="preserve"> is balanced by strengthening the </w:t>
      </w:r>
      <w:proofErr w:type="spellStart"/>
      <w:r w:rsidRPr="009964D4">
        <w:rPr>
          <w:rFonts w:eastAsia="Times New Roman" w:cs="Times New Roman"/>
          <w:color w:val="222222"/>
          <w:kern w:val="0"/>
          <w:szCs w:val="24"/>
          <w14:ligatures w14:val="none"/>
        </w:rPr>
        <w:t>ediscovery</w:t>
      </w:r>
      <w:proofErr w:type="spellEnd"/>
      <w:r w:rsidRPr="009964D4">
        <w:rPr>
          <w:rFonts w:eastAsia="Times New Roman" w:cs="Times New Roman"/>
          <w:color w:val="222222"/>
          <w:kern w:val="0"/>
          <w:szCs w:val="24"/>
          <w14:ligatures w14:val="none"/>
        </w:rPr>
        <w:t xml:space="preserve"> validation process, which ensures that no matter that is important in resolving the issues is omitted in the process. </w:t>
      </w:r>
    </w:p>
    <w:p w14:paraId="06025882" w14:textId="77777777" w:rsidR="009964D4" w:rsidRPr="009964D4" w:rsidRDefault="009964D4" w:rsidP="009964D4">
      <w:pPr>
        <w:spacing w:after="0" w:line="360" w:lineRule="auto"/>
        <w:ind w:firstLine="720"/>
        <w:jc w:val="both"/>
        <w:rPr>
          <w:rFonts w:eastAsia="Times New Roman" w:cs="Times New Roman"/>
          <w:color w:val="222222"/>
          <w:kern w:val="0"/>
          <w:szCs w:val="24"/>
          <w14:ligatures w14:val="none"/>
        </w:rPr>
      </w:pPr>
      <w:r w:rsidRPr="009964D4">
        <w:rPr>
          <w:rFonts w:eastAsia="Times New Roman" w:cs="Times New Roman"/>
          <w:color w:val="222222"/>
          <w:kern w:val="0"/>
          <w:szCs w:val="24"/>
          <w14:ligatures w14:val="none"/>
        </w:rPr>
        <w:t xml:space="preserve">In accordance with OPES, the parties should consider suggesting to the court in their report on discovery that </w:t>
      </w:r>
      <w:proofErr w:type="spellStart"/>
      <w:r w:rsidRPr="009964D4">
        <w:rPr>
          <w:rFonts w:eastAsia="Times New Roman" w:cs="Times New Roman"/>
          <w:color w:val="222222"/>
          <w:kern w:val="0"/>
          <w:szCs w:val="24"/>
          <w14:ligatures w14:val="none"/>
        </w:rPr>
        <w:t>ediscovery</w:t>
      </w:r>
      <w:proofErr w:type="spellEnd"/>
      <w:r w:rsidRPr="009964D4">
        <w:rPr>
          <w:rFonts w:eastAsia="Times New Roman" w:cs="Times New Roman"/>
          <w:color w:val="222222"/>
          <w:kern w:val="0"/>
          <w:szCs w:val="24"/>
          <w14:ligatures w14:val="none"/>
        </w:rPr>
        <w:t xml:space="preserve"> be limited to matter that is important in resolving the issues and nonresponsive documents found in a random sample of nonresponsive documents be disclosed to the other party, subject to an </w:t>
      </w:r>
      <w:r w:rsidRPr="009964D4">
        <w:rPr>
          <w:rFonts w:eastAsia="Times New Roman" w:cs="Times New Roman"/>
          <w:i/>
          <w:iCs/>
          <w:color w:val="222222"/>
          <w:kern w:val="0"/>
          <w:szCs w:val="24"/>
          <w14:ligatures w14:val="none"/>
        </w:rPr>
        <w:t>in camera</w:t>
      </w:r>
      <w:r w:rsidRPr="009964D4">
        <w:rPr>
          <w:rFonts w:eastAsia="Times New Roman" w:cs="Times New Roman"/>
          <w:color w:val="222222"/>
          <w:kern w:val="0"/>
          <w:szCs w:val="24"/>
          <w14:ligatures w14:val="none"/>
        </w:rPr>
        <w:t xml:space="preserve"> inspection by a magistrate judge or special master of documents withheld by the responding party.</w:t>
      </w:r>
    </w:p>
    <w:p w14:paraId="230A21D6" w14:textId="77777777" w:rsidR="009964D4" w:rsidRPr="009964D4" w:rsidRDefault="009964D4" w:rsidP="009964D4">
      <w:pPr>
        <w:spacing w:after="0" w:line="240" w:lineRule="auto"/>
        <w:ind w:left="720" w:right="720"/>
        <w:jc w:val="both"/>
        <w:rPr>
          <w:kern w:val="0"/>
          <w14:ligatures w14:val="none"/>
        </w:rPr>
      </w:pPr>
      <w:r w:rsidRPr="009964D4">
        <w:rPr>
          <w:b/>
          <w:bCs/>
          <w:color w:val="333333"/>
          <w:kern w:val="0"/>
          <w14:ligatures w14:val="none"/>
        </w:rPr>
        <w:t xml:space="preserve">Best Practice </w:t>
      </w:r>
      <w:r w:rsidRPr="009964D4">
        <w:rPr>
          <w:b/>
          <w:bCs/>
          <w:kern w:val="0"/>
          <w14:ligatures w14:val="none"/>
        </w:rPr>
        <w:t>MDL-§ 8(d)(ii)(A):</w:t>
      </w:r>
      <w:r w:rsidRPr="009964D4">
        <w:rPr>
          <w:kern w:val="0"/>
          <w14:ligatures w14:val="none"/>
        </w:rPr>
        <w:t xml:space="preserve"> The parties should consider suggesting that the court advise the parties early in the litigation that in the event a dispute for more </w:t>
      </w:r>
      <w:proofErr w:type="spellStart"/>
      <w:r w:rsidRPr="009964D4">
        <w:rPr>
          <w:kern w:val="0"/>
          <w14:ligatures w14:val="none"/>
        </w:rPr>
        <w:t>ediscovery</w:t>
      </w:r>
      <w:proofErr w:type="spellEnd"/>
      <w:r w:rsidRPr="009964D4">
        <w:rPr>
          <w:kern w:val="0"/>
          <w14:ligatures w14:val="none"/>
        </w:rPr>
        <w:t xml:space="preserve"> arises it will focus either on the importance of the sought-after discovery </w:t>
      </w:r>
      <w:r w:rsidRPr="009964D4">
        <w:rPr>
          <w:kern w:val="0"/>
          <w14:ligatures w14:val="none"/>
        </w:rPr>
        <w:lastRenderedPageBreak/>
        <w:t xml:space="preserve">in resolving the issues or alternatively will expect the parties to explain how the sought-after discovery bears on each of the six Rule 26(b)(1) factors in assessing proportionality. Permanent No. </w:t>
      </w:r>
      <w:r w:rsidRPr="009964D4">
        <w:rPr>
          <w:rFonts w:cs="Times New Roman"/>
          <w:kern w:val="0"/>
          <w:szCs w:val="24"/>
          <w14:ligatures w14:val="none"/>
        </w:rPr>
        <w:t>MDL-§ 15</w:t>
      </w:r>
      <w:r w:rsidRPr="009964D4">
        <w:rPr>
          <w:kern w:val="0"/>
          <w14:ligatures w14:val="none"/>
        </w:rPr>
        <w:t>(c)(ii)(A).</w:t>
      </w:r>
    </w:p>
    <w:p w14:paraId="56C0C178" w14:textId="77777777" w:rsidR="009964D4" w:rsidRPr="009964D4" w:rsidRDefault="009964D4" w:rsidP="009964D4">
      <w:pPr>
        <w:spacing w:after="0" w:line="240" w:lineRule="auto"/>
        <w:ind w:left="720" w:right="720"/>
        <w:rPr>
          <w:rFonts w:eastAsia="Times New Roman" w:cs="Times New Roman"/>
          <w:color w:val="222222"/>
          <w:kern w:val="0"/>
          <w:szCs w:val="24"/>
          <w14:ligatures w14:val="none"/>
        </w:rPr>
      </w:pPr>
    </w:p>
    <w:p w14:paraId="3BCAF14F" w14:textId="77777777" w:rsidR="009964D4" w:rsidRPr="009964D4" w:rsidRDefault="009964D4" w:rsidP="009964D4">
      <w:pPr>
        <w:spacing w:after="0" w:line="360" w:lineRule="auto"/>
        <w:ind w:firstLine="720"/>
        <w:jc w:val="both"/>
        <w:rPr>
          <w:rFonts w:cs="Times New Roman"/>
          <w:color w:val="000000" w:themeColor="text1"/>
          <w:kern w:val="0"/>
          <w:szCs w:val="24"/>
          <w14:ligatures w14:val="none"/>
        </w:rPr>
      </w:pPr>
      <w:r w:rsidRPr="009964D4">
        <w:rPr>
          <w:rFonts w:cs="Times New Roman"/>
          <w:color w:val="000000" w:themeColor="text1"/>
          <w:kern w:val="0"/>
          <w:szCs w:val="24"/>
          <w14:ligatures w14:val="none"/>
        </w:rPr>
        <w:t xml:space="preserve">Many courts look </w:t>
      </w:r>
      <w:proofErr w:type="gramStart"/>
      <w:r w:rsidRPr="009964D4">
        <w:rPr>
          <w:rFonts w:cs="Times New Roman"/>
          <w:color w:val="000000" w:themeColor="text1"/>
          <w:kern w:val="0"/>
          <w:szCs w:val="24"/>
          <w14:ligatures w14:val="none"/>
        </w:rPr>
        <w:t>to</w:t>
      </w:r>
      <w:proofErr w:type="gramEnd"/>
      <w:r w:rsidRPr="009964D4">
        <w:rPr>
          <w:rFonts w:cs="Times New Roman"/>
          <w:color w:val="000000" w:themeColor="text1"/>
          <w:kern w:val="0"/>
          <w:szCs w:val="24"/>
          <w14:ligatures w14:val="none"/>
        </w:rPr>
        <w:t xml:space="preserve"> the importance of requested discovery, while others painstakingly apply the six-proportionality factor test under Rule 26(b)(2).</w:t>
      </w:r>
      <w:r w:rsidRPr="009964D4">
        <w:rPr>
          <w:rFonts w:cs="Times New Roman"/>
          <w:color w:val="000000" w:themeColor="text1"/>
          <w:kern w:val="0"/>
          <w:szCs w:val="24"/>
          <w:vertAlign w:val="superscript"/>
          <w14:ligatures w14:val="none"/>
        </w:rPr>
        <w:footnoteReference w:id="14"/>
      </w:r>
      <w:r w:rsidRPr="009964D4">
        <w:rPr>
          <w:rFonts w:cs="Times New Roman"/>
          <w:color w:val="000000" w:themeColor="text1"/>
          <w:kern w:val="0"/>
          <w:szCs w:val="24"/>
          <w14:ligatures w14:val="none"/>
        </w:rPr>
        <w:t xml:space="preserve"> The parties’ measures and methods obtaining discoverable matter is heavily influenced by the analysis it expects the court to take in ruling on </w:t>
      </w:r>
      <w:proofErr w:type="spellStart"/>
      <w:r w:rsidRPr="009964D4">
        <w:rPr>
          <w:rFonts w:cs="Times New Roman"/>
          <w:color w:val="000000" w:themeColor="text1"/>
          <w:kern w:val="0"/>
          <w:szCs w:val="24"/>
          <w14:ligatures w14:val="none"/>
        </w:rPr>
        <w:t>ediscovery</w:t>
      </w:r>
      <w:proofErr w:type="spellEnd"/>
      <w:r w:rsidRPr="009964D4">
        <w:rPr>
          <w:rFonts w:cs="Times New Roman"/>
          <w:color w:val="000000" w:themeColor="text1"/>
          <w:kern w:val="0"/>
          <w:szCs w:val="24"/>
          <w14:ligatures w14:val="none"/>
        </w:rPr>
        <w:t xml:space="preserve"> requests. </w:t>
      </w:r>
    </w:p>
    <w:p w14:paraId="73983FEF" w14:textId="77777777" w:rsidR="009964D4" w:rsidRPr="009964D4" w:rsidRDefault="009964D4" w:rsidP="009964D4">
      <w:pPr>
        <w:spacing w:after="0" w:line="360" w:lineRule="auto"/>
        <w:ind w:firstLine="720"/>
        <w:jc w:val="both"/>
        <w:rPr>
          <w:rFonts w:cs="Times New Roman"/>
          <w:color w:val="000000" w:themeColor="text1"/>
          <w:kern w:val="0"/>
          <w:szCs w:val="24"/>
          <w14:ligatures w14:val="none"/>
        </w:rPr>
      </w:pPr>
      <w:r w:rsidRPr="009964D4">
        <w:rPr>
          <w:rFonts w:cs="Times New Roman"/>
          <w:color w:val="000000" w:themeColor="text1"/>
          <w:kern w:val="0"/>
          <w:szCs w:val="24"/>
          <w14:ligatures w14:val="none"/>
        </w:rPr>
        <w:t xml:space="preserve">The court should inform the parties early in the litigation whether it intends to apply the six proportionality Rule 26(b)(2) factors to </w:t>
      </w:r>
      <w:proofErr w:type="spellStart"/>
      <w:r w:rsidRPr="009964D4">
        <w:rPr>
          <w:rFonts w:cs="Times New Roman"/>
          <w:color w:val="000000" w:themeColor="text1"/>
          <w:kern w:val="0"/>
          <w:szCs w:val="24"/>
          <w14:ligatures w14:val="none"/>
        </w:rPr>
        <w:t>ediscovery</w:t>
      </w:r>
      <w:proofErr w:type="spellEnd"/>
      <w:r w:rsidRPr="009964D4">
        <w:rPr>
          <w:rFonts w:cs="Times New Roman"/>
          <w:color w:val="000000" w:themeColor="text1"/>
          <w:kern w:val="0"/>
          <w:szCs w:val="24"/>
          <w14:ligatures w14:val="none"/>
        </w:rPr>
        <w:t xml:space="preserve"> disputes or whether it will focus its analysis on whether the requested </w:t>
      </w:r>
      <w:proofErr w:type="spellStart"/>
      <w:r w:rsidRPr="009964D4">
        <w:rPr>
          <w:rFonts w:cs="Times New Roman"/>
          <w:color w:val="000000" w:themeColor="text1"/>
          <w:kern w:val="0"/>
          <w:szCs w:val="24"/>
          <w14:ligatures w14:val="none"/>
        </w:rPr>
        <w:t>ediscovery</w:t>
      </w:r>
      <w:proofErr w:type="spellEnd"/>
      <w:r w:rsidRPr="009964D4">
        <w:rPr>
          <w:rFonts w:cs="Times New Roman"/>
          <w:color w:val="000000" w:themeColor="text1"/>
          <w:kern w:val="0"/>
          <w:szCs w:val="24"/>
          <w14:ligatures w14:val="none"/>
        </w:rPr>
        <w:t xml:space="preserve"> is important in resolving the issues. Alerting the parties to the court’s expectations will minimize unnecessary confusion and the number of serious </w:t>
      </w:r>
      <w:proofErr w:type="spellStart"/>
      <w:r w:rsidRPr="009964D4">
        <w:rPr>
          <w:rFonts w:cs="Times New Roman"/>
          <w:color w:val="000000" w:themeColor="text1"/>
          <w:kern w:val="0"/>
          <w:szCs w:val="24"/>
          <w14:ligatures w14:val="none"/>
        </w:rPr>
        <w:t>ediscovery</w:t>
      </w:r>
      <w:proofErr w:type="spellEnd"/>
      <w:r w:rsidRPr="009964D4">
        <w:rPr>
          <w:rFonts w:cs="Times New Roman"/>
          <w:color w:val="000000" w:themeColor="text1"/>
          <w:kern w:val="0"/>
          <w:szCs w:val="24"/>
          <w14:ligatures w14:val="none"/>
        </w:rPr>
        <w:t xml:space="preserve"> </w:t>
      </w:r>
      <w:proofErr w:type="gramStart"/>
      <w:r w:rsidRPr="009964D4">
        <w:rPr>
          <w:rFonts w:cs="Times New Roman"/>
          <w:color w:val="000000" w:themeColor="text1"/>
          <w:kern w:val="0"/>
          <w:szCs w:val="24"/>
          <w14:ligatures w14:val="none"/>
        </w:rPr>
        <w:t>problems from</w:t>
      </w:r>
      <w:proofErr w:type="gramEnd"/>
      <w:r w:rsidRPr="009964D4">
        <w:rPr>
          <w:rFonts w:cs="Times New Roman"/>
          <w:color w:val="000000" w:themeColor="text1"/>
          <w:kern w:val="0"/>
          <w:szCs w:val="24"/>
          <w14:ligatures w14:val="none"/>
        </w:rPr>
        <w:t xml:space="preserve"> arising. </w:t>
      </w:r>
    </w:p>
    <w:p w14:paraId="32D9A4AB" w14:textId="77777777" w:rsidR="009964D4" w:rsidRPr="009964D4" w:rsidRDefault="009964D4" w:rsidP="009964D4">
      <w:pPr>
        <w:spacing w:after="0" w:line="240" w:lineRule="auto"/>
        <w:ind w:left="720" w:right="720"/>
        <w:jc w:val="both"/>
        <w:rPr>
          <w:rFonts w:cs="Times New Roman"/>
          <w:color w:val="333333"/>
          <w:kern w:val="0"/>
          <w:szCs w:val="24"/>
          <w14:ligatures w14:val="none"/>
        </w:rPr>
      </w:pPr>
      <w:r w:rsidRPr="009964D4">
        <w:rPr>
          <w:rFonts w:cs="Times New Roman"/>
          <w:b/>
          <w:bCs/>
          <w:color w:val="333333"/>
          <w:kern w:val="0"/>
          <w:szCs w:val="24"/>
          <w14:ligatures w14:val="none"/>
        </w:rPr>
        <w:t xml:space="preserve">Best Practice </w:t>
      </w:r>
      <w:r w:rsidRPr="009964D4">
        <w:rPr>
          <w:rFonts w:cs="Times New Roman"/>
          <w:b/>
          <w:bCs/>
          <w:color w:val="000000" w:themeColor="text1"/>
          <w:kern w:val="0"/>
          <w:szCs w:val="24"/>
          <w14:ligatures w14:val="none"/>
        </w:rPr>
        <w:t>MDL-§ 8(d)(ii)(B):</w:t>
      </w:r>
      <w:r w:rsidRPr="009964D4">
        <w:rPr>
          <w:rFonts w:cs="Times New Roman"/>
          <w:color w:val="000000" w:themeColor="text1"/>
          <w:kern w:val="0"/>
          <w:szCs w:val="24"/>
          <w14:ligatures w14:val="none"/>
        </w:rPr>
        <w:t xml:space="preserve"> In furtherance of Rule 1, a</w:t>
      </w:r>
      <w:r w:rsidRPr="009964D4">
        <w:rPr>
          <w:rFonts w:cs="Times New Roman"/>
          <w:color w:val="333333"/>
          <w:kern w:val="0"/>
          <w:szCs w:val="24"/>
          <w14:ligatures w14:val="none"/>
        </w:rPr>
        <w:t xml:space="preserve"> court should consider encouraging or ordering the responding party in </w:t>
      </w:r>
      <w:proofErr w:type="spellStart"/>
      <w:r w:rsidRPr="009964D4">
        <w:rPr>
          <w:rFonts w:cs="Times New Roman"/>
          <w:color w:val="333333"/>
          <w:kern w:val="0"/>
          <w:szCs w:val="24"/>
          <w14:ligatures w14:val="none"/>
        </w:rPr>
        <w:t>ediscovery</w:t>
      </w:r>
      <w:proofErr w:type="spellEnd"/>
      <w:r w:rsidRPr="009964D4">
        <w:rPr>
          <w:rFonts w:cs="Times New Roman"/>
          <w:color w:val="333333"/>
          <w:kern w:val="0"/>
          <w:szCs w:val="24"/>
          <w14:ligatures w14:val="none"/>
        </w:rPr>
        <w:t xml:space="preserve"> to conduct simple random sampling of nonresponsive documents, disclosing all non-privileged documents to the requesting party, but entitle the responding party to withhold up to a maximum of 100 documents that it has concerns with, subject to an </w:t>
      </w:r>
      <w:r w:rsidRPr="009964D4">
        <w:rPr>
          <w:rFonts w:cs="Times New Roman"/>
          <w:i/>
          <w:iCs/>
          <w:color w:val="333333"/>
          <w:kern w:val="0"/>
          <w:szCs w:val="24"/>
          <w14:ligatures w14:val="none"/>
        </w:rPr>
        <w:t>in camera</w:t>
      </w:r>
      <w:r w:rsidRPr="009964D4">
        <w:rPr>
          <w:rFonts w:cs="Times New Roman"/>
          <w:color w:val="333333"/>
          <w:kern w:val="0"/>
          <w:szCs w:val="24"/>
          <w14:ligatures w14:val="none"/>
        </w:rPr>
        <w:t xml:space="preserve"> examination by the judge to determine whether the documents are relevant and responsive. </w:t>
      </w:r>
      <w:r w:rsidRPr="009964D4">
        <w:rPr>
          <w:rFonts w:cs="Times New Roman"/>
          <w:color w:val="000000" w:themeColor="text1"/>
          <w:kern w:val="0"/>
          <w:szCs w:val="24"/>
          <w14:ligatures w14:val="none"/>
        </w:rPr>
        <w:t>Permanent No. MDL-§ 15(c)(ii)(B).</w:t>
      </w:r>
    </w:p>
    <w:p w14:paraId="628EFCE0" w14:textId="77777777" w:rsidR="009964D4" w:rsidRPr="009964D4" w:rsidRDefault="009964D4" w:rsidP="009964D4">
      <w:pPr>
        <w:spacing w:after="0" w:line="240" w:lineRule="auto"/>
        <w:ind w:left="720"/>
        <w:jc w:val="both"/>
        <w:rPr>
          <w:rFonts w:cs="Times New Roman"/>
          <w:color w:val="333333"/>
          <w:kern w:val="0"/>
          <w:szCs w:val="24"/>
          <w14:ligatures w14:val="none"/>
        </w:rPr>
      </w:pPr>
    </w:p>
    <w:p w14:paraId="22880587" w14:textId="77777777" w:rsidR="009964D4" w:rsidRPr="009964D4" w:rsidRDefault="009964D4" w:rsidP="009964D4">
      <w:pPr>
        <w:shd w:val="clear" w:color="auto" w:fill="FFFFFF"/>
        <w:spacing w:after="0" w:line="360" w:lineRule="auto"/>
        <w:ind w:firstLine="720"/>
        <w:jc w:val="both"/>
        <w:rPr>
          <w:rFonts w:cs="Times New Roman"/>
          <w:color w:val="333333"/>
          <w:kern w:val="0"/>
          <w:szCs w:val="24"/>
          <w14:ligatures w14:val="none"/>
        </w:rPr>
      </w:pPr>
      <w:r w:rsidRPr="009964D4">
        <w:rPr>
          <w:rFonts w:cs="Times New Roman"/>
          <w:color w:val="333333"/>
          <w:kern w:val="0"/>
          <w:szCs w:val="24"/>
          <w14:ligatures w14:val="none"/>
        </w:rPr>
        <w:t xml:space="preserve">Under Fed. R. Civ. P.  1, a court should “construe, administer, and employ the rules to secure the just, speedy, and inexpensive determination of </w:t>
      </w:r>
      <w:r w:rsidRPr="009964D4">
        <w:rPr>
          <w:rFonts w:cs="Times New Roman"/>
          <w:i/>
          <w:iCs/>
          <w:color w:val="333333"/>
          <w:kern w:val="0"/>
          <w:szCs w:val="24"/>
          <w14:ligatures w14:val="none"/>
        </w:rPr>
        <w:t>every</w:t>
      </w:r>
      <w:r w:rsidRPr="009964D4">
        <w:rPr>
          <w:rFonts w:cs="Times New Roman"/>
          <w:color w:val="333333"/>
          <w:kern w:val="0"/>
          <w:szCs w:val="24"/>
          <w14:ligatures w14:val="none"/>
        </w:rPr>
        <w:t xml:space="preserve"> action and proceeding,” including mass-tort MDLs. Although incurring tens of millions of dollars of expense in </w:t>
      </w:r>
      <w:proofErr w:type="spellStart"/>
      <w:r w:rsidRPr="009964D4">
        <w:rPr>
          <w:rFonts w:cs="Times New Roman"/>
          <w:color w:val="333333"/>
          <w:kern w:val="0"/>
          <w:szCs w:val="24"/>
          <w14:ligatures w14:val="none"/>
        </w:rPr>
        <w:t>ediscovery</w:t>
      </w:r>
      <w:proofErr w:type="spellEnd"/>
      <w:r w:rsidRPr="009964D4">
        <w:rPr>
          <w:rFonts w:cs="Times New Roman"/>
          <w:color w:val="333333"/>
          <w:kern w:val="0"/>
          <w:szCs w:val="24"/>
          <w14:ligatures w14:val="none"/>
        </w:rPr>
        <w:t xml:space="preserve"> might arguably be acceptable under Rule 26 as proportional to the needs of the case, it is not “inexpensive.”  Nor does it facilitate “speedy” determinations. And it is difficult to justify reviewing millions of inconsequential documents as “just.”</w:t>
      </w:r>
      <w:r w:rsidRPr="009964D4">
        <w:rPr>
          <w:rFonts w:cs="Times New Roman"/>
          <w:color w:val="333333"/>
          <w:kern w:val="0"/>
          <w:szCs w:val="24"/>
          <w:vertAlign w:val="superscript"/>
          <w14:ligatures w14:val="none"/>
        </w:rPr>
        <w:footnoteReference w:id="15"/>
      </w:r>
      <w:r w:rsidRPr="009964D4">
        <w:rPr>
          <w:rFonts w:cs="Times New Roman"/>
          <w:color w:val="333333"/>
          <w:kern w:val="0"/>
          <w:szCs w:val="24"/>
          <w14:ligatures w14:val="none"/>
        </w:rPr>
        <w:t xml:space="preserve"> Disclosure of random sampling of nonresponsive documents is an effective tool that can substantially mitigate the need and justification to review hundreds of thousands or millions of inconsequential documents. This validation process is featured in OPES.</w:t>
      </w:r>
    </w:p>
    <w:p w14:paraId="5748D1F3" w14:textId="77777777" w:rsidR="009964D4" w:rsidRPr="009964D4" w:rsidRDefault="009964D4" w:rsidP="009964D4">
      <w:pPr>
        <w:shd w:val="clear" w:color="auto" w:fill="FFFFFF"/>
        <w:spacing w:after="0" w:line="360" w:lineRule="auto"/>
        <w:jc w:val="both"/>
        <w:rPr>
          <w:rFonts w:eastAsia="Times New Roman" w:cs="Times New Roman"/>
          <w:color w:val="222222"/>
          <w:kern w:val="0"/>
          <w:szCs w:val="24"/>
          <w14:ligatures w14:val="none"/>
        </w:rPr>
      </w:pPr>
      <w:r w:rsidRPr="009964D4">
        <w:rPr>
          <w:rFonts w:cs="Times New Roman"/>
          <w:color w:val="333333"/>
          <w:kern w:val="0"/>
          <w:szCs w:val="24"/>
          <w14:ligatures w14:val="none"/>
        </w:rPr>
        <w:lastRenderedPageBreak/>
        <w:t xml:space="preserve"> </w:t>
      </w:r>
      <w:r w:rsidRPr="009964D4">
        <w:rPr>
          <w:rFonts w:cs="Times New Roman"/>
          <w:color w:val="333333"/>
          <w:kern w:val="0"/>
          <w:szCs w:val="24"/>
          <w14:ligatures w14:val="none"/>
        </w:rPr>
        <w:tab/>
      </w:r>
      <w:proofErr w:type="gramStart"/>
      <w:r w:rsidRPr="009964D4">
        <w:rPr>
          <w:rFonts w:cs="Times New Roman"/>
          <w:color w:val="333333"/>
          <w:kern w:val="0"/>
          <w:szCs w:val="24"/>
          <w14:ligatures w14:val="none"/>
        </w:rPr>
        <w:t>Lawyers on opposing</w:t>
      </w:r>
      <w:proofErr w:type="gramEnd"/>
      <w:r w:rsidRPr="009964D4">
        <w:rPr>
          <w:rFonts w:cs="Times New Roman"/>
          <w:color w:val="333333"/>
          <w:kern w:val="0"/>
          <w:szCs w:val="24"/>
          <w14:ligatures w14:val="none"/>
        </w:rPr>
        <w:t xml:space="preserve"> and even on the same side disagree on whether individual documents are relevant or important in resolving the issues. A requesting party remains entirely in the dark about the responding party’s relevancy decisions regarding documents not produced. A transparent random-sampling validation process, which discloses all non-privileged documents from a random sample of non-responsive documents, addresses the root cause of the </w:t>
      </w:r>
      <w:proofErr w:type="spellStart"/>
      <w:r w:rsidRPr="009964D4">
        <w:rPr>
          <w:rFonts w:cs="Times New Roman"/>
          <w:color w:val="333333"/>
          <w:kern w:val="0"/>
          <w:szCs w:val="24"/>
          <w14:ligatures w14:val="none"/>
        </w:rPr>
        <w:t>ediscovery</w:t>
      </w:r>
      <w:proofErr w:type="spellEnd"/>
      <w:r w:rsidRPr="009964D4">
        <w:rPr>
          <w:rFonts w:cs="Times New Roman"/>
          <w:color w:val="333333"/>
          <w:kern w:val="0"/>
          <w:szCs w:val="24"/>
          <w14:ligatures w14:val="none"/>
        </w:rPr>
        <w:t xml:space="preserve"> problem.</w:t>
      </w:r>
      <w:r w:rsidRPr="009964D4">
        <w:rPr>
          <w:rFonts w:cs="Times New Roman"/>
          <w:color w:val="333333"/>
          <w:kern w:val="0"/>
          <w:szCs w:val="24"/>
          <w:vertAlign w:val="superscript"/>
          <w14:ligatures w14:val="none"/>
        </w:rPr>
        <w:footnoteReference w:id="16"/>
      </w:r>
      <w:r w:rsidRPr="009964D4">
        <w:rPr>
          <w:rFonts w:cs="Times New Roman"/>
          <w:color w:val="333333"/>
          <w:kern w:val="0"/>
          <w:szCs w:val="24"/>
          <w14:ligatures w14:val="none"/>
        </w:rPr>
        <w:t xml:space="preserve"> </w:t>
      </w:r>
      <w:r w:rsidRPr="009964D4">
        <w:rPr>
          <w:rFonts w:eastAsia="Times New Roman" w:cs="Times New Roman"/>
          <w:color w:val="222222"/>
          <w:kern w:val="0"/>
          <w:szCs w:val="24"/>
          <w14:ligatures w14:val="none"/>
        </w:rPr>
        <w:t xml:space="preserve">But (and here is the key point) absent disclosure of the nonresponsive documents in the validation process, the requesting party will not accept at face value the responding party’s assertions that no document important in resolving the issues was found in the sample based solely on the responding party’s </w:t>
      </w:r>
      <w:proofErr w:type="spellStart"/>
      <w:r w:rsidRPr="009964D4">
        <w:rPr>
          <w:rFonts w:eastAsia="Times New Roman" w:cs="Times New Roman"/>
          <w:color w:val="222222"/>
          <w:kern w:val="0"/>
          <w:szCs w:val="24"/>
          <w14:ligatures w14:val="none"/>
        </w:rPr>
        <w:t>decisionmaking</w:t>
      </w:r>
      <w:proofErr w:type="spellEnd"/>
      <w:r w:rsidRPr="009964D4">
        <w:rPr>
          <w:rFonts w:eastAsia="Times New Roman" w:cs="Times New Roman"/>
          <w:color w:val="222222"/>
          <w:kern w:val="0"/>
          <w:szCs w:val="24"/>
          <w14:ligatures w14:val="none"/>
        </w:rPr>
        <w:t>.</w:t>
      </w:r>
      <w:r w:rsidRPr="009964D4">
        <w:rPr>
          <w:rFonts w:eastAsia="Times New Roman" w:cs="Times New Roman"/>
          <w:color w:val="222222"/>
          <w:kern w:val="0"/>
          <w:szCs w:val="24"/>
          <w:vertAlign w:val="superscript"/>
          <w14:ligatures w14:val="none"/>
        </w:rPr>
        <w:footnoteReference w:id="17"/>
      </w:r>
      <w:r w:rsidRPr="009964D4">
        <w:rPr>
          <w:rFonts w:eastAsia="Times New Roman" w:cs="Times New Roman"/>
          <w:color w:val="222222"/>
          <w:kern w:val="0"/>
          <w:szCs w:val="24"/>
          <w14:ligatures w14:val="none"/>
        </w:rPr>
        <w:t xml:space="preserve">  </w:t>
      </w:r>
    </w:p>
    <w:p w14:paraId="1FAB432D" w14:textId="77777777" w:rsidR="009964D4" w:rsidRPr="009964D4" w:rsidRDefault="009964D4" w:rsidP="009964D4">
      <w:pPr>
        <w:shd w:val="clear" w:color="auto" w:fill="FFFFFF"/>
        <w:spacing w:after="0" w:line="360" w:lineRule="auto"/>
        <w:ind w:firstLine="720"/>
        <w:jc w:val="both"/>
        <w:rPr>
          <w:rFonts w:eastAsia="Times New Roman" w:cs="Times New Roman"/>
          <w:color w:val="222222"/>
          <w:kern w:val="0"/>
          <w:szCs w:val="24"/>
          <w14:ligatures w14:val="none"/>
        </w:rPr>
      </w:pPr>
      <w:r w:rsidRPr="009964D4">
        <w:rPr>
          <w:rFonts w:eastAsia="Times New Roman" w:cs="Times New Roman"/>
          <w:color w:val="222222"/>
          <w:kern w:val="0"/>
          <w:szCs w:val="24"/>
          <w14:ligatures w14:val="none"/>
        </w:rPr>
        <w:t xml:space="preserve">So long as the responding party unilaterally decides which documents are responsive or relevant, the requesting party will continue to demand production of all possibly relevant </w:t>
      </w:r>
      <w:proofErr w:type="gramStart"/>
      <w:r w:rsidRPr="009964D4">
        <w:rPr>
          <w:rFonts w:eastAsia="Times New Roman" w:cs="Times New Roman"/>
          <w:color w:val="222222"/>
          <w:kern w:val="0"/>
          <w:szCs w:val="24"/>
          <w14:ligatures w14:val="none"/>
        </w:rPr>
        <w:t>matter</w:t>
      </w:r>
      <w:proofErr w:type="gramEnd"/>
      <w:r w:rsidRPr="009964D4">
        <w:rPr>
          <w:rFonts w:eastAsia="Times New Roman" w:cs="Times New Roman"/>
          <w:color w:val="222222"/>
          <w:kern w:val="0"/>
          <w:szCs w:val="24"/>
          <w14:ligatures w14:val="none"/>
        </w:rPr>
        <w:t xml:space="preserve"> on all conceivable data sources, or as many as the court will permit, so that they can verify for themselves the responding party’s classifications and decide whether the information is important in resolving the issues. And the requesting party will likely continue to challenge every aspect of the responding party’s search methodology, identifying deficiencies in failing to identify all possibly relevant information that the requesting party was entitled to.</w:t>
      </w:r>
      <w:r w:rsidRPr="009964D4">
        <w:rPr>
          <w:rFonts w:eastAsia="Times New Roman" w:cs="Times New Roman"/>
          <w:color w:val="222222"/>
          <w:kern w:val="0"/>
          <w:szCs w:val="24"/>
          <w:vertAlign w:val="superscript"/>
          <w14:ligatures w14:val="none"/>
        </w:rPr>
        <w:footnoteReference w:id="18"/>
      </w:r>
    </w:p>
    <w:p w14:paraId="083CDE68" w14:textId="77777777" w:rsidR="009964D4" w:rsidRPr="009964D4" w:rsidRDefault="009964D4" w:rsidP="009964D4">
      <w:pPr>
        <w:spacing w:after="0" w:line="360" w:lineRule="auto"/>
        <w:ind w:firstLine="720"/>
        <w:jc w:val="both"/>
        <w:rPr>
          <w:rFonts w:eastAsia="Times New Roman" w:cs="Times New Roman"/>
          <w:color w:val="222222"/>
          <w:kern w:val="0"/>
          <w:szCs w:val="24"/>
          <w14:ligatures w14:val="none"/>
        </w:rPr>
      </w:pPr>
      <w:r w:rsidRPr="009964D4">
        <w:rPr>
          <w:rFonts w:cs="Times New Roman"/>
          <w:color w:val="000000" w:themeColor="text1"/>
          <w:kern w:val="0"/>
          <w:szCs w:val="24"/>
          <w14:ligatures w14:val="none"/>
        </w:rPr>
        <w:t xml:space="preserve">The bench and bar in three major mass-tort MDLs as well as the Department of Justice Antitrust Division and the Federal Trade Commission addressed the root-cause of the </w:t>
      </w:r>
      <w:proofErr w:type="spellStart"/>
      <w:r w:rsidRPr="009964D4">
        <w:rPr>
          <w:rFonts w:cs="Times New Roman"/>
          <w:color w:val="000000" w:themeColor="text1"/>
          <w:kern w:val="0"/>
          <w:szCs w:val="24"/>
          <w14:ligatures w14:val="none"/>
        </w:rPr>
        <w:t>ediscovery</w:t>
      </w:r>
      <w:proofErr w:type="spellEnd"/>
      <w:r w:rsidRPr="009964D4">
        <w:rPr>
          <w:rFonts w:cs="Times New Roman"/>
          <w:color w:val="000000" w:themeColor="text1"/>
          <w:kern w:val="0"/>
          <w:szCs w:val="24"/>
          <w14:ligatures w14:val="none"/>
        </w:rPr>
        <w:t xml:space="preserve"> problem and required disclosure of all documents drawn from a random sample of nonresponsive documents as a validation process.</w:t>
      </w:r>
      <w:r w:rsidRPr="009964D4">
        <w:rPr>
          <w:rFonts w:cs="Times New Roman"/>
          <w:color w:val="000000" w:themeColor="text1"/>
          <w:kern w:val="0"/>
          <w:szCs w:val="24"/>
          <w:vertAlign w:val="superscript"/>
          <w14:ligatures w14:val="none"/>
        </w:rPr>
        <w:footnoteReference w:id="19"/>
      </w:r>
      <w:r w:rsidRPr="009964D4">
        <w:rPr>
          <w:rFonts w:cs="Times New Roman"/>
          <w:color w:val="000000" w:themeColor="text1"/>
          <w:kern w:val="0"/>
          <w:szCs w:val="24"/>
          <w14:ligatures w14:val="none"/>
        </w:rPr>
        <w:t xml:space="preserve">  To meet the defendant’s concerns, a</w:t>
      </w:r>
      <w:r w:rsidRPr="009964D4">
        <w:rPr>
          <w:rFonts w:cs="Times New Roman"/>
          <w:color w:val="333333"/>
          <w:kern w:val="0"/>
          <w:szCs w:val="24"/>
          <w14:ligatures w14:val="none"/>
        </w:rPr>
        <w:t xml:space="preserve">n order in one of these </w:t>
      </w:r>
      <w:r w:rsidRPr="009964D4">
        <w:rPr>
          <w:rFonts w:cs="Times New Roman"/>
          <w:color w:val="333333"/>
          <w:kern w:val="0"/>
          <w:szCs w:val="24"/>
          <w14:ligatures w14:val="none"/>
        </w:rPr>
        <w:lastRenderedPageBreak/>
        <w:t>mass-tort MDLs (</w:t>
      </w:r>
      <w:r w:rsidRPr="009964D4">
        <w:rPr>
          <w:rFonts w:cs="Times New Roman"/>
          <w:i/>
          <w:iCs/>
          <w:color w:val="333333"/>
          <w:kern w:val="0"/>
          <w:szCs w:val="24"/>
          <w14:ligatures w14:val="none"/>
        </w:rPr>
        <w:t>Allergan</w:t>
      </w:r>
      <w:r w:rsidRPr="009964D4">
        <w:rPr>
          <w:rFonts w:cs="Times New Roman"/>
          <w:color w:val="333333"/>
          <w:kern w:val="0"/>
          <w:szCs w:val="24"/>
          <w14:ligatures w14:val="none"/>
        </w:rPr>
        <w:t xml:space="preserve"> MDL) provided the responding party an opportunity to withhold documents from the random sampling for reasons other than nonrelevance, if it determined in good faith that they should be reviewed by the court.</w:t>
      </w:r>
      <w:r w:rsidRPr="009964D4">
        <w:rPr>
          <w:rFonts w:cs="Times New Roman"/>
          <w:color w:val="333333"/>
          <w:kern w:val="0"/>
          <w:szCs w:val="24"/>
          <w:vertAlign w:val="superscript"/>
          <w14:ligatures w14:val="none"/>
        </w:rPr>
        <w:footnoteReference w:id="20"/>
      </w:r>
      <w:r w:rsidRPr="009964D4">
        <w:rPr>
          <w:rFonts w:cs="Times New Roman"/>
          <w:color w:val="333333"/>
          <w:kern w:val="0"/>
          <w:szCs w:val="24"/>
          <w14:ligatures w14:val="none"/>
        </w:rPr>
        <w:t xml:space="preserve"> A similar provision is contained in OPES, but it provides the responding party the absolute right to withhold any document that it has concerns with. </w:t>
      </w:r>
      <w:r w:rsidRPr="009964D4">
        <w:rPr>
          <w:rFonts w:eastAsia="Times New Roman" w:cs="Times New Roman"/>
          <w:color w:val="222222"/>
          <w:kern w:val="0"/>
          <w:szCs w:val="24"/>
          <w14:ligatures w14:val="none"/>
        </w:rPr>
        <w:t xml:space="preserve">Providing the responding </w:t>
      </w:r>
      <w:proofErr w:type="gramStart"/>
      <w:r w:rsidRPr="009964D4">
        <w:rPr>
          <w:rFonts w:eastAsia="Times New Roman" w:cs="Times New Roman"/>
          <w:color w:val="222222"/>
          <w:kern w:val="0"/>
          <w:szCs w:val="24"/>
          <w14:ligatures w14:val="none"/>
        </w:rPr>
        <w:t>party</w:t>
      </w:r>
      <w:proofErr w:type="gramEnd"/>
      <w:r w:rsidRPr="009964D4">
        <w:rPr>
          <w:rFonts w:eastAsia="Times New Roman" w:cs="Times New Roman"/>
          <w:color w:val="222222"/>
          <w:kern w:val="0"/>
          <w:szCs w:val="24"/>
          <w14:ligatures w14:val="none"/>
        </w:rPr>
        <w:t xml:space="preserve"> the right to keep selected nonresponsive documents confidential addresses their main concern about opening a can of worms and unwarranted fishing expeditions.</w:t>
      </w:r>
      <w:r w:rsidRPr="009964D4">
        <w:rPr>
          <w:rFonts w:eastAsia="Times New Roman" w:cs="Times New Roman"/>
          <w:color w:val="222222"/>
          <w:kern w:val="0"/>
          <w:szCs w:val="24"/>
          <w:vertAlign w:val="superscript"/>
          <w14:ligatures w14:val="none"/>
        </w:rPr>
        <w:footnoteReference w:id="21"/>
      </w:r>
      <w:r w:rsidRPr="009964D4">
        <w:rPr>
          <w:rFonts w:eastAsia="Times New Roman" w:cs="Times New Roman"/>
          <w:color w:val="222222"/>
          <w:kern w:val="0"/>
          <w:szCs w:val="24"/>
          <w14:ligatures w14:val="none"/>
        </w:rPr>
        <w:t xml:space="preserve">  </w:t>
      </w:r>
    </w:p>
    <w:p w14:paraId="222CF315" w14:textId="77777777" w:rsidR="009964D4" w:rsidRPr="009964D4" w:rsidRDefault="009964D4" w:rsidP="009964D4">
      <w:pPr>
        <w:spacing w:after="0" w:line="360" w:lineRule="auto"/>
        <w:ind w:firstLine="720"/>
        <w:jc w:val="both"/>
        <w:rPr>
          <w:kern w:val="0"/>
          <w14:ligatures w14:val="none"/>
        </w:rPr>
      </w:pPr>
      <w:r w:rsidRPr="009964D4">
        <w:rPr>
          <w:rFonts w:eastAsia="Times New Roman" w:cs="Times New Roman"/>
          <w:color w:val="222222"/>
          <w:kern w:val="0"/>
          <w:szCs w:val="24"/>
          <w14:ligatures w14:val="none"/>
        </w:rPr>
        <w:t xml:space="preserve">To address the requesting party’s concerns that withholding individual documents might shield important documents from disclosure and shatter their confidence in the validation process, the withheld documents would be subject to an </w:t>
      </w:r>
      <w:r w:rsidRPr="009964D4">
        <w:rPr>
          <w:rFonts w:eastAsia="Times New Roman" w:cs="Times New Roman"/>
          <w:i/>
          <w:iCs/>
          <w:color w:val="222222"/>
          <w:kern w:val="0"/>
          <w:szCs w:val="24"/>
          <w14:ligatures w14:val="none"/>
        </w:rPr>
        <w:t>in camera</w:t>
      </w:r>
      <w:r w:rsidRPr="009964D4">
        <w:rPr>
          <w:rFonts w:eastAsia="Times New Roman" w:cs="Times New Roman"/>
          <w:color w:val="222222"/>
          <w:kern w:val="0"/>
          <w:szCs w:val="24"/>
          <w14:ligatures w14:val="none"/>
        </w:rPr>
        <w:t xml:space="preserve"> examination by a judge, magistrate judge, or a special master, who would evaluate whether the documents are indeed not relevant.</w:t>
      </w:r>
      <w:r w:rsidRPr="009964D4">
        <w:rPr>
          <w:rFonts w:eastAsia="Times New Roman" w:cs="Times New Roman"/>
          <w:color w:val="222222"/>
          <w:kern w:val="0"/>
          <w:szCs w:val="24"/>
          <w:vertAlign w:val="superscript"/>
          <w14:ligatures w14:val="none"/>
        </w:rPr>
        <w:footnoteReference w:id="22"/>
      </w:r>
      <w:r w:rsidRPr="009964D4">
        <w:rPr>
          <w:rFonts w:eastAsia="Times New Roman" w:cs="Times New Roman"/>
          <w:color w:val="222222"/>
          <w:kern w:val="0"/>
          <w:szCs w:val="24"/>
          <w14:ligatures w14:val="none"/>
        </w:rPr>
        <w:t xml:space="preserve">  By addressing the requesting party’s and responding party’s concerns, both sides should be in a better position to agree on what is and is not important discovery in resolving the issues. </w:t>
      </w:r>
    </w:p>
    <w:p w14:paraId="3176220E" w14:textId="77777777" w:rsidR="009964D4" w:rsidRPr="009964D4" w:rsidRDefault="009964D4" w:rsidP="009964D4">
      <w:pPr>
        <w:spacing w:after="0" w:line="240" w:lineRule="auto"/>
        <w:ind w:left="720" w:right="720"/>
        <w:jc w:val="both"/>
        <w:rPr>
          <w:kern w:val="0"/>
          <w14:ligatures w14:val="none"/>
        </w:rPr>
      </w:pPr>
      <w:r w:rsidRPr="009964D4">
        <w:rPr>
          <w:b/>
          <w:bCs/>
          <w:kern w:val="0"/>
          <w14:ligatures w14:val="none"/>
        </w:rPr>
        <w:t>Best Practice MDL-§ 8(d)(iii):</w:t>
      </w:r>
      <w:r w:rsidRPr="009964D4">
        <w:rPr>
          <w:kern w:val="0"/>
          <w14:ligatures w14:val="none"/>
        </w:rPr>
        <w:t xml:space="preserve"> As part of the report addressing discovery, the parties should also address sundry topics that often arise. Permanent No. </w:t>
      </w:r>
      <w:r w:rsidRPr="009964D4">
        <w:rPr>
          <w:rFonts w:cs="Times New Roman"/>
          <w:kern w:val="0"/>
          <w:szCs w:val="24"/>
          <w14:ligatures w14:val="none"/>
        </w:rPr>
        <w:t>MDL-§ 15</w:t>
      </w:r>
      <w:r w:rsidRPr="009964D4">
        <w:rPr>
          <w:kern w:val="0"/>
          <w14:ligatures w14:val="none"/>
        </w:rPr>
        <w:t>(c)(v).</w:t>
      </w:r>
    </w:p>
    <w:p w14:paraId="1C053A1F" w14:textId="77777777" w:rsidR="009964D4" w:rsidRPr="009964D4" w:rsidRDefault="009964D4" w:rsidP="009964D4">
      <w:pPr>
        <w:spacing w:after="0" w:line="240" w:lineRule="auto"/>
        <w:ind w:left="720" w:right="720"/>
        <w:jc w:val="both"/>
        <w:rPr>
          <w:kern w:val="0"/>
          <w14:ligatures w14:val="none"/>
        </w:rPr>
      </w:pPr>
    </w:p>
    <w:p w14:paraId="0F93723C" w14:textId="77777777" w:rsidR="009964D4" w:rsidRPr="009964D4" w:rsidRDefault="009964D4" w:rsidP="009964D4">
      <w:pPr>
        <w:spacing w:after="0" w:line="360" w:lineRule="auto"/>
        <w:ind w:firstLine="720"/>
        <w:jc w:val="both"/>
        <w:rPr>
          <w:color w:val="000000" w:themeColor="text1"/>
          <w:kern w:val="0"/>
          <w:szCs w:val="24"/>
          <w14:ligatures w14:val="none"/>
        </w:rPr>
      </w:pPr>
      <w:r w:rsidRPr="009964D4">
        <w:rPr>
          <w:rFonts w:cs="Times New Roman"/>
          <w:color w:val="000000" w:themeColor="text1"/>
          <w:kern w:val="0"/>
          <w:szCs w:val="24"/>
          <w14:ligatures w14:val="none"/>
        </w:rPr>
        <w:t>Another issue that may be raised in the report to the court is whether discovery should be limited to general-causation issues instead of individual-fact discovery.</w:t>
      </w:r>
      <w:r w:rsidRPr="009964D4">
        <w:rPr>
          <w:rFonts w:cs="Times New Roman"/>
          <w:color w:val="000000" w:themeColor="text1"/>
          <w:kern w:val="0"/>
          <w:szCs w:val="24"/>
          <w:vertAlign w:val="superscript"/>
          <w14:ligatures w14:val="none"/>
        </w:rPr>
        <w:t xml:space="preserve"> </w:t>
      </w:r>
      <w:r w:rsidRPr="009964D4">
        <w:rPr>
          <w:rFonts w:cs="Times New Roman"/>
          <w:color w:val="000000" w:themeColor="text1"/>
          <w:kern w:val="0"/>
          <w:szCs w:val="24"/>
          <w:vertAlign w:val="superscript"/>
          <w14:ligatures w14:val="none"/>
        </w:rPr>
        <w:footnoteReference w:id="23"/>
      </w:r>
      <w:r w:rsidRPr="009964D4">
        <w:rPr>
          <w:rFonts w:cs="Times New Roman"/>
          <w:color w:val="000000" w:themeColor="text1"/>
          <w:kern w:val="0"/>
          <w:szCs w:val="24"/>
          <w14:ligatures w14:val="none"/>
        </w:rPr>
        <w:t xml:space="preserve"> Some MDLs may benefit from staying all discovery at the outset of the proceedings pending a decision on a threshold legal issue that could lead to the speedy and efficient resolution of large groups of cases within the MDL, </w:t>
      </w:r>
      <w:r w:rsidRPr="009964D4">
        <w:rPr>
          <w:rFonts w:cs="Times New Roman"/>
          <w:color w:val="000000" w:themeColor="text1"/>
          <w:kern w:val="0"/>
          <w:szCs w:val="24"/>
          <w14:ligatures w14:val="none"/>
        </w:rPr>
        <w:lastRenderedPageBreak/>
        <w:t>if not the entire litigation.</w:t>
      </w:r>
      <w:r w:rsidRPr="009964D4">
        <w:rPr>
          <w:rFonts w:cs="Times New Roman"/>
          <w:color w:val="000000" w:themeColor="text1"/>
          <w:kern w:val="0"/>
          <w:szCs w:val="24"/>
          <w:vertAlign w:val="superscript"/>
          <w14:ligatures w14:val="none"/>
        </w:rPr>
        <w:footnoteReference w:id="24"/>
      </w:r>
      <w:r w:rsidRPr="009964D4">
        <w:rPr>
          <w:rFonts w:cs="Times New Roman"/>
          <w:color w:val="000000" w:themeColor="text1"/>
          <w:kern w:val="0"/>
          <w:szCs w:val="24"/>
          <w14:ligatures w14:val="none"/>
        </w:rPr>
        <w:t xml:space="preserve"> </w:t>
      </w:r>
      <w:r w:rsidRPr="009964D4">
        <w:rPr>
          <w:rFonts w:ascii="Century Schoolbook" w:hAnsi="Century Schoolbook"/>
          <w:color w:val="000000" w:themeColor="text1"/>
          <w:kern w:val="0"/>
          <w:szCs w:val="24"/>
          <w14:ligatures w14:val="none"/>
        </w:rPr>
        <w:t>Other MDLs may benefit from staged or bifurcated discovery designed to address common issues, such as general causation, before getting to more case-specific issues usually reserved for bellwether trials.</w:t>
      </w:r>
      <w:r w:rsidRPr="009964D4">
        <w:rPr>
          <w:rFonts w:ascii="Century Schoolbook" w:hAnsi="Century Schoolbook"/>
          <w:color w:val="000000" w:themeColor="text1"/>
          <w:kern w:val="0"/>
          <w:szCs w:val="24"/>
          <w:vertAlign w:val="superscript"/>
          <w14:ligatures w14:val="none"/>
        </w:rPr>
        <w:footnoteReference w:id="25"/>
      </w:r>
      <w:r w:rsidRPr="009964D4">
        <w:rPr>
          <w:rFonts w:ascii="Century Schoolbook" w:hAnsi="Century Schoolbook"/>
          <w:color w:val="000000" w:themeColor="text1"/>
          <w:kern w:val="0"/>
          <w:szCs w:val="24"/>
          <w14:ligatures w14:val="none"/>
        </w:rPr>
        <w:t xml:space="preserve"> </w:t>
      </w:r>
    </w:p>
    <w:p w14:paraId="26921967" w14:textId="77777777" w:rsidR="009964D4" w:rsidRPr="009964D4" w:rsidRDefault="009964D4" w:rsidP="009964D4">
      <w:pPr>
        <w:spacing w:after="0" w:line="360" w:lineRule="auto"/>
        <w:ind w:firstLine="720"/>
        <w:jc w:val="both"/>
        <w:rPr>
          <w:rFonts w:cs="Times New Roman"/>
          <w:color w:val="000000" w:themeColor="text1"/>
          <w:kern w:val="0"/>
          <w:szCs w:val="24"/>
          <w14:ligatures w14:val="none"/>
        </w:rPr>
      </w:pPr>
      <w:r w:rsidRPr="009964D4">
        <w:rPr>
          <w:rFonts w:cs="Times New Roman"/>
          <w:color w:val="000000" w:themeColor="text1"/>
          <w:kern w:val="0"/>
          <w:szCs w:val="24"/>
          <w14:ligatures w14:val="none"/>
        </w:rPr>
        <w:t xml:space="preserve">Individual states and countries have enacted privacy and data-protection laws that impose obligations on litigants, which may limit disclosure of protected information in discovery. Violations can be subject to severe penalties and compliance may entail significant burdens and expense, which the parties should alert the judge to.   For example, some MDLs may involve hundreds of thousands of claimants whose individual medical condition(s) are integral to the litigation. Witnesses may reside or be located outside the United States and may or may not submit to the Hague Convention.  Plaintiffs may be represented by dozens of law firms and an even greater number of lawyers from diverse areas of the country, each of whom may have a different idea of, among other things, the signature injuries, causation, damages, and the best way to prove same. Such </w:t>
      </w:r>
      <w:proofErr w:type="gramStart"/>
      <w:r w:rsidRPr="009964D4">
        <w:rPr>
          <w:rFonts w:cs="Times New Roman"/>
          <w:color w:val="000000" w:themeColor="text1"/>
          <w:kern w:val="0"/>
          <w:szCs w:val="24"/>
          <w14:ligatures w14:val="none"/>
        </w:rPr>
        <w:t>discovery</w:t>
      </w:r>
      <w:proofErr w:type="gramEnd"/>
      <w:r w:rsidRPr="009964D4">
        <w:rPr>
          <w:rFonts w:cs="Times New Roman"/>
          <w:color w:val="000000" w:themeColor="text1"/>
          <w:kern w:val="0"/>
          <w:szCs w:val="24"/>
          <w14:ligatures w14:val="none"/>
        </w:rPr>
        <w:t xml:space="preserve"> raises difficult and complex issues that the judge may be unfamiliar with and should be raised by the parties in the report to the court.  </w:t>
      </w:r>
    </w:p>
    <w:p w14:paraId="4DE54156" w14:textId="77777777" w:rsidR="009964D4" w:rsidRPr="009964D4" w:rsidRDefault="009964D4" w:rsidP="009964D4">
      <w:pPr>
        <w:spacing w:after="0" w:line="360" w:lineRule="auto"/>
        <w:ind w:firstLine="720"/>
        <w:jc w:val="both"/>
        <w:rPr>
          <w:rFonts w:cs="Times New Roman"/>
          <w:color w:val="000000" w:themeColor="text1"/>
          <w:kern w:val="0"/>
          <w:szCs w:val="24"/>
          <w14:ligatures w14:val="none"/>
        </w:rPr>
      </w:pPr>
      <w:r w:rsidRPr="009964D4">
        <w:rPr>
          <w:rFonts w:cs="Times New Roman"/>
          <w:color w:val="000000" w:themeColor="text1"/>
          <w:kern w:val="0"/>
          <w:szCs w:val="24"/>
          <w14:ligatures w14:val="none"/>
        </w:rPr>
        <w:t>Evidence Rule 702 motion practice is often key in mass-tort MDLs.  Courts have relied on the parties’ input to manage the number of experts and their depositions and avoid duplication, facilitating an orderly process.</w:t>
      </w:r>
    </w:p>
    <w:p w14:paraId="6F084D91" w14:textId="77777777" w:rsidR="009964D4" w:rsidRPr="009964D4" w:rsidRDefault="009964D4" w:rsidP="009964D4">
      <w:pPr>
        <w:spacing w:after="0" w:line="360" w:lineRule="auto"/>
        <w:ind w:firstLine="720"/>
        <w:jc w:val="both"/>
        <w:rPr>
          <w:rFonts w:cs="Times New Roman"/>
          <w:color w:val="000000" w:themeColor="text1"/>
          <w:kern w:val="0"/>
          <w:szCs w:val="24"/>
          <w14:ligatures w14:val="none"/>
        </w:rPr>
      </w:pPr>
      <w:r w:rsidRPr="009964D4">
        <w:rPr>
          <w:rFonts w:cs="Times New Roman"/>
          <w:color w:val="000000" w:themeColor="text1"/>
          <w:kern w:val="0"/>
          <w:szCs w:val="24"/>
          <w14:ligatures w14:val="none"/>
        </w:rPr>
        <w:t xml:space="preserve">Efficient dispute-resolution methods, often involving the appointment of neutrals, are necessary to handle discovery disputes that are likely to arise and can inform decisions on limiting the overall expense of discovery proportional to the needs of the MDL. </w:t>
      </w:r>
    </w:p>
    <w:p w14:paraId="2C949EE6" w14:textId="77777777" w:rsidR="009964D4" w:rsidRPr="009964D4" w:rsidRDefault="009964D4" w:rsidP="009964D4">
      <w:pPr>
        <w:spacing w:after="0" w:line="360" w:lineRule="auto"/>
        <w:ind w:firstLine="720"/>
        <w:jc w:val="both"/>
        <w:rPr>
          <w:rFonts w:cs="Times New Roman"/>
          <w:color w:val="000000" w:themeColor="text1"/>
          <w:kern w:val="0"/>
          <w:szCs w:val="24"/>
          <w14:ligatures w14:val="none"/>
        </w:rPr>
      </w:pPr>
      <w:r w:rsidRPr="009964D4">
        <w:rPr>
          <w:rFonts w:cs="Times New Roman"/>
          <w:color w:val="000000" w:themeColor="text1"/>
          <w:kern w:val="0"/>
          <w:szCs w:val="24"/>
          <w14:ligatures w14:val="none"/>
        </w:rPr>
        <w:t>Although judges are familiar with deposition practices, the number of depositions and coordination necessary in large-scale litigation can raise unique issues that the parties should alert the judge to.</w:t>
      </w:r>
      <w:r w:rsidRPr="009964D4">
        <w:rPr>
          <w:rFonts w:cs="Times New Roman"/>
          <w:color w:val="000000" w:themeColor="text1"/>
          <w:kern w:val="0"/>
          <w:szCs w:val="24"/>
          <w:vertAlign w:val="superscript"/>
          <w14:ligatures w14:val="none"/>
        </w:rPr>
        <w:footnoteReference w:id="26"/>
      </w:r>
      <w:r w:rsidRPr="009964D4">
        <w:rPr>
          <w:rFonts w:cs="Times New Roman"/>
          <w:color w:val="000000" w:themeColor="text1"/>
          <w:kern w:val="0"/>
          <w:szCs w:val="24"/>
          <w14:ligatures w14:val="none"/>
        </w:rPr>
        <w:t xml:space="preserve"> Third-party discovery is essential in an MDL, which often, at least, touches upon proprietary secrets, privileged information that must be located, retrieved, and then subjected to multiple levels of review prior to being produced. Third-party </w:t>
      </w:r>
      <w:proofErr w:type="gramStart"/>
      <w:r w:rsidRPr="009964D4">
        <w:rPr>
          <w:rFonts w:cs="Times New Roman"/>
          <w:color w:val="000000" w:themeColor="text1"/>
          <w:kern w:val="0"/>
          <w:szCs w:val="24"/>
          <w14:ligatures w14:val="none"/>
        </w:rPr>
        <w:t>discovery</w:t>
      </w:r>
      <w:proofErr w:type="gramEnd"/>
      <w:r w:rsidRPr="009964D4">
        <w:rPr>
          <w:rFonts w:cs="Times New Roman"/>
          <w:color w:val="000000" w:themeColor="text1"/>
          <w:kern w:val="0"/>
          <w:szCs w:val="24"/>
          <w14:ligatures w14:val="none"/>
        </w:rPr>
        <w:t xml:space="preserve"> initiated in foreign jurisdictions is particularly complicated. All these issues and topics may be appropriately addressed in the report at the initial-management conference.</w:t>
      </w:r>
    </w:p>
    <w:sectPr w:rsidR="009964D4" w:rsidRPr="009964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3CD0F" w14:textId="77777777" w:rsidR="00E87985" w:rsidRDefault="00E87985" w:rsidP="009964D4">
      <w:pPr>
        <w:spacing w:after="0" w:line="240" w:lineRule="auto"/>
      </w:pPr>
      <w:r>
        <w:separator/>
      </w:r>
    </w:p>
  </w:endnote>
  <w:endnote w:type="continuationSeparator" w:id="0">
    <w:p w14:paraId="733A16C3" w14:textId="77777777" w:rsidR="00E87985" w:rsidRDefault="00E87985" w:rsidP="00996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auto"/>
    <w:notTrueType/>
    <w:pitch w:val="default"/>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62E0C" w14:textId="77777777" w:rsidR="00E87985" w:rsidRDefault="00E87985" w:rsidP="009964D4">
      <w:pPr>
        <w:spacing w:after="0" w:line="240" w:lineRule="auto"/>
      </w:pPr>
      <w:r>
        <w:separator/>
      </w:r>
    </w:p>
  </w:footnote>
  <w:footnote w:type="continuationSeparator" w:id="0">
    <w:p w14:paraId="4D6A977B" w14:textId="77777777" w:rsidR="00E87985" w:rsidRDefault="00E87985" w:rsidP="009964D4">
      <w:pPr>
        <w:spacing w:after="0" w:line="240" w:lineRule="auto"/>
      </w:pPr>
      <w:r>
        <w:continuationSeparator/>
      </w:r>
    </w:p>
  </w:footnote>
  <w:footnote w:id="1">
    <w:p w14:paraId="4B2EDB76" w14:textId="77777777" w:rsidR="009964D4" w:rsidRPr="003E680A" w:rsidRDefault="009964D4" w:rsidP="009964D4">
      <w:pPr>
        <w:pStyle w:val="FootnoteText"/>
        <w:jc w:val="both"/>
        <w:rPr>
          <w:rFonts w:cs="Times New Roman"/>
        </w:rPr>
      </w:pPr>
      <w:r>
        <w:rPr>
          <w:rStyle w:val="FootnoteReference"/>
        </w:rPr>
        <w:footnoteRef/>
      </w:r>
      <w:r>
        <w:t xml:space="preserve"> </w:t>
      </w:r>
      <w:bookmarkStart w:id="1" w:name="_Hlk171431613"/>
      <w:r w:rsidRPr="0060162F">
        <w:rPr>
          <w:rFonts w:cs="Times New Roman"/>
          <w:i/>
          <w:iCs/>
        </w:rPr>
        <w:t xml:space="preserve">See In Re: Bard Implanted </w:t>
      </w:r>
      <w:r>
        <w:rPr>
          <w:rFonts w:cs="Times New Roman"/>
          <w:i/>
          <w:iCs/>
        </w:rPr>
        <w:t>P</w:t>
      </w:r>
      <w:r w:rsidRPr="0060162F">
        <w:rPr>
          <w:rFonts w:cs="Times New Roman"/>
          <w:i/>
          <w:iCs/>
        </w:rPr>
        <w:t xml:space="preserve">ort Catheter Prod. </w:t>
      </w:r>
      <w:proofErr w:type="spellStart"/>
      <w:r w:rsidRPr="0060162F">
        <w:rPr>
          <w:rFonts w:cs="Times New Roman"/>
          <w:i/>
          <w:iCs/>
        </w:rPr>
        <w:t>Liab</w:t>
      </w:r>
      <w:proofErr w:type="spellEnd"/>
      <w:r w:rsidRPr="0060162F">
        <w:rPr>
          <w:rFonts w:cs="Times New Roman"/>
          <w:i/>
          <w:iCs/>
        </w:rPr>
        <w:t>. Litig</w:t>
      </w:r>
      <w:r>
        <w:rPr>
          <w:rFonts w:cs="Times New Roman"/>
        </w:rPr>
        <w:t xml:space="preserve">., MDL No. 3081, Case Management Order No. 2 (Sept. 19, 2023) </w:t>
      </w:r>
      <w:bookmarkEnd w:id="1"/>
      <w:r>
        <w:rPr>
          <w:rFonts w:cs="Times New Roman"/>
        </w:rPr>
        <w:t>(court ordered parties to prepare proposed protective order, including Fed. R. Evid. 502 provisions, and proposed preservation order five weeks after initial-management conference).</w:t>
      </w:r>
    </w:p>
  </w:footnote>
  <w:footnote w:id="2">
    <w:p w14:paraId="5FA6153B" w14:textId="77777777" w:rsidR="009964D4" w:rsidRPr="00867D72" w:rsidRDefault="009964D4" w:rsidP="009964D4">
      <w:pPr>
        <w:pStyle w:val="FootnoteText"/>
        <w:jc w:val="both"/>
        <w:rPr>
          <w:rFonts w:cs="Times New Roman"/>
        </w:rPr>
      </w:pPr>
      <w:r>
        <w:rPr>
          <w:rStyle w:val="FootnoteReference"/>
        </w:rPr>
        <w:footnoteRef/>
      </w:r>
      <w:r>
        <w:t xml:space="preserve"> </w:t>
      </w:r>
      <w:r w:rsidRPr="00867D72">
        <w:rPr>
          <w:rFonts w:cs="Times New Roman"/>
          <w:smallCaps/>
        </w:rPr>
        <w:t>Advice to a</w:t>
      </w:r>
      <w:r w:rsidRPr="00867D72">
        <w:rPr>
          <w:rFonts w:cs="Times New Roman"/>
        </w:rPr>
        <w:t xml:space="preserve"> </w:t>
      </w:r>
      <w:r w:rsidRPr="00867D72">
        <w:rPr>
          <w:rFonts w:cs="Times New Roman"/>
          <w:smallCaps/>
        </w:rPr>
        <w:t>New MDL Judge on Discovery management</w:t>
      </w:r>
      <w:r w:rsidRPr="00867D72">
        <w:rPr>
          <w:rFonts w:cs="Times New Roman"/>
        </w:rPr>
        <w:t xml:space="preserve">, Judge David Campbell &amp; Jeffrey </w:t>
      </w:r>
      <w:proofErr w:type="spellStart"/>
      <w:r w:rsidRPr="00867D72">
        <w:rPr>
          <w:rFonts w:cs="Times New Roman"/>
        </w:rPr>
        <w:t>Kilmark</w:t>
      </w:r>
      <w:proofErr w:type="spellEnd"/>
      <w:r w:rsidRPr="00867D72">
        <w:rPr>
          <w:rFonts w:cs="Times New Roman"/>
        </w:rPr>
        <w:t>, 89.4 UMKC Law Review 889 (2021). The items were recommended by Judge David Campbell, former chair of the Advisory Committee on Civil Rules and preeminent jurist, in a law review article</w:t>
      </w:r>
      <w:r>
        <w:rPr>
          <w:rFonts w:cs="Times New Roman"/>
        </w:rPr>
        <w:t>; s</w:t>
      </w:r>
      <w:r w:rsidRPr="0060162F">
        <w:rPr>
          <w:rFonts w:cs="Times New Roman"/>
          <w:i/>
          <w:iCs/>
        </w:rPr>
        <w:t>ee</w:t>
      </w:r>
      <w:r>
        <w:rPr>
          <w:rFonts w:cs="Times New Roman"/>
          <w:i/>
          <w:iCs/>
        </w:rPr>
        <w:t xml:space="preserve"> also</w:t>
      </w:r>
      <w:r w:rsidRPr="0060162F">
        <w:rPr>
          <w:rFonts w:cs="Times New Roman"/>
          <w:i/>
          <w:iCs/>
        </w:rPr>
        <w:t xml:space="preserve"> In Re: Bard Implanted </w:t>
      </w:r>
      <w:r>
        <w:rPr>
          <w:rFonts w:cs="Times New Roman"/>
          <w:i/>
          <w:iCs/>
        </w:rPr>
        <w:t>P</w:t>
      </w:r>
      <w:r w:rsidRPr="0060162F">
        <w:rPr>
          <w:rFonts w:cs="Times New Roman"/>
          <w:i/>
          <w:iCs/>
        </w:rPr>
        <w:t xml:space="preserve">ort Catheter Prod. </w:t>
      </w:r>
      <w:proofErr w:type="spellStart"/>
      <w:r w:rsidRPr="0060162F">
        <w:rPr>
          <w:rFonts w:cs="Times New Roman"/>
          <w:i/>
          <w:iCs/>
        </w:rPr>
        <w:t>Liab</w:t>
      </w:r>
      <w:proofErr w:type="spellEnd"/>
      <w:r w:rsidRPr="0060162F">
        <w:rPr>
          <w:rFonts w:cs="Times New Roman"/>
          <w:i/>
          <w:iCs/>
        </w:rPr>
        <w:t>. Litig</w:t>
      </w:r>
      <w:r>
        <w:rPr>
          <w:rFonts w:cs="Times New Roman"/>
        </w:rPr>
        <w:t>., MDL No. 3081, Case Management Order No. 19 (April 4, 2024) (case-management order containing privilege-log protocol).</w:t>
      </w:r>
    </w:p>
  </w:footnote>
  <w:footnote w:id="3">
    <w:p w14:paraId="018970B3" w14:textId="77777777" w:rsidR="009964D4" w:rsidRPr="00B92BB4" w:rsidRDefault="009964D4" w:rsidP="009964D4">
      <w:pPr>
        <w:pStyle w:val="FootnoteText"/>
        <w:rPr>
          <w:rFonts w:cs="Times New Roman"/>
        </w:rPr>
      </w:pPr>
      <w:r>
        <w:rPr>
          <w:rStyle w:val="FootnoteReference"/>
        </w:rPr>
        <w:footnoteRef/>
      </w:r>
      <w:r>
        <w:t xml:space="preserve"> </w:t>
      </w:r>
      <w:r>
        <w:rPr>
          <w:rFonts w:cs="Times New Roman"/>
        </w:rPr>
        <w:t>Fed. R. Civ. P. 16.1(b)(3)(B), Committee Note (December 1, 2025).</w:t>
      </w:r>
    </w:p>
  </w:footnote>
  <w:footnote w:id="4">
    <w:p w14:paraId="10B52499" w14:textId="77777777" w:rsidR="009964D4" w:rsidRPr="00EF355A" w:rsidRDefault="009964D4" w:rsidP="009964D4">
      <w:pPr>
        <w:pStyle w:val="FootnoteText"/>
        <w:jc w:val="both"/>
        <w:rPr>
          <w:rFonts w:cs="Times New Roman"/>
        </w:rPr>
      </w:pPr>
      <w:r w:rsidRPr="00B27050">
        <w:rPr>
          <w:rStyle w:val="FootnoteReference"/>
          <w:rFonts w:cs="Times New Roman"/>
        </w:rPr>
        <w:footnoteRef/>
      </w:r>
      <w:r w:rsidRPr="00B27050">
        <w:rPr>
          <w:rFonts w:cs="Times New Roman"/>
        </w:rPr>
        <w:t xml:space="preserve"> In the </w:t>
      </w:r>
      <w:r w:rsidRPr="00B27050">
        <w:rPr>
          <w:rFonts w:cs="Times New Roman"/>
          <w:i/>
          <w:iCs/>
        </w:rPr>
        <w:t>Biomet</w:t>
      </w:r>
      <w:r w:rsidRPr="00B27050">
        <w:rPr>
          <w:rFonts w:cs="Times New Roman"/>
        </w:rPr>
        <w:t xml:space="preserve"> MDL, 2.5 million documents were produced; in the </w:t>
      </w:r>
      <w:r w:rsidRPr="00B27050">
        <w:rPr>
          <w:rFonts w:cs="Times New Roman"/>
          <w:i/>
          <w:iCs/>
        </w:rPr>
        <w:t xml:space="preserve">Allergan </w:t>
      </w:r>
      <w:proofErr w:type="spellStart"/>
      <w:r w:rsidRPr="00B27050">
        <w:rPr>
          <w:rFonts w:cs="Times New Roman"/>
          <w:i/>
          <w:iCs/>
        </w:rPr>
        <w:t>Biocell</w:t>
      </w:r>
      <w:proofErr w:type="spellEnd"/>
      <w:r w:rsidRPr="00B27050">
        <w:rPr>
          <w:rFonts w:cs="Times New Roman"/>
          <w:i/>
          <w:iCs/>
        </w:rPr>
        <w:t xml:space="preserve"> </w:t>
      </w:r>
      <w:r w:rsidRPr="00B27050">
        <w:rPr>
          <w:rFonts w:cs="Times New Roman"/>
        </w:rPr>
        <w:t>MDL, 3 million documents were produced and 9 terabytes or very roughly 750 million documents were collected and processed;</w:t>
      </w:r>
      <w:r w:rsidRPr="00B27050">
        <w:rPr>
          <w:rFonts w:cs="Times New Roman"/>
          <w:i/>
          <w:iCs/>
        </w:rPr>
        <w:t xml:space="preserve"> see also, Allergan </w:t>
      </w:r>
      <w:proofErr w:type="spellStart"/>
      <w:r w:rsidRPr="00B27050">
        <w:rPr>
          <w:rFonts w:cs="Times New Roman"/>
          <w:i/>
          <w:iCs/>
        </w:rPr>
        <w:t>Biocell</w:t>
      </w:r>
      <w:proofErr w:type="spellEnd"/>
      <w:r w:rsidRPr="00B27050">
        <w:rPr>
          <w:rFonts w:cs="Times New Roman"/>
          <w:i/>
          <w:iCs/>
        </w:rPr>
        <w:t xml:space="preserve"> Textured Breast Implant Prod. </w:t>
      </w:r>
      <w:proofErr w:type="spellStart"/>
      <w:r w:rsidRPr="00B27050">
        <w:rPr>
          <w:rFonts w:cs="Times New Roman"/>
          <w:i/>
          <w:iCs/>
        </w:rPr>
        <w:t>Liab</w:t>
      </w:r>
      <w:proofErr w:type="spellEnd"/>
      <w:r w:rsidRPr="00B27050">
        <w:rPr>
          <w:rFonts w:cs="Times New Roman"/>
          <w:i/>
          <w:iCs/>
        </w:rPr>
        <w:t>. Litig</w:t>
      </w:r>
      <w:r w:rsidRPr="00B27050">
        <w:rPr>
          <w:rFonts w:cs="Times New Roman"/>
        </w:rPr>
        <w:t xml:space="preserve">., Special Master Case Management Order No. 22 (D. N.J. Oct. 25, 2022) (citing other cases and information). The </w:t>
      </w:r>
      <w:proofErr w:type="spellStart"/>
      <w:r w:rsidRPr="00B27050">
        <w:rPr>
          <w:rFonts w:cs="Times New Roman"/>
        </w:rPr>
        <w:t>ediscovery</w:t>
      </w:r>
      <w:proofErr w:type="spellEnd"/>
      <w:r w:rsidRPr="00B27050">
        <w:rPr>
          <w:rFonts w:cs="Times New Roman"/>
        </w:rPr>
        <w:t xml:space="preserve"> problem is no longer localized in a few big cases because more than 20% of all annual civil filings are in MDLs and a growing number of other complex actions are joining the group</w:t>
      </w:r>
      <w:r>
        <w:rPr>
          <w:rFonts w:cs="Times New Roman"/>
        </w:rPr>
        <w:t xml:space="preserve">. </w:t>
      </w:r>
      <w:r w:rsidRPr="00B27050">
        <w:rPr>
          <w:rFonts w:cs="Times New Roman"/>
        </w:rPr>
        <w:t>“In most discovery now, as it was then, is accomplished in reasonable proportion to the realistic needs of the case.  This conclusion has been established by repeated empirical studies…But at the same time discovery runs out of proportion in a worrisome number of cases, particularly those that are complex, involve high stakes, and generate particularly contentious adversary behavior.  The number of cases and the burdens imposed present serious problems.” Agenda Book, Advisory Committee on Civil Rules, p. 83 of 332 (April 11-12, 2013); “(L)aments are often heard that although discovery in most cases is conducted in reasonable proportion to the nature of the case, discovery runs out of control in an important fraction of all cases.” Agenda Book, Advisory Committee on Civil Rules, p. 388 of 644 (March 22-23, 2012).</w:t>
      </w:r>
      <w:r w:rsidRPr="00B27050">
        <w:rPr>
          <w:rFonts w:eastAsia="Times New Roman" w:cs="Times New Roman"/>
          <w:color w:val="222222"/>
        </w:rPr>
        <w:t xml:space="preserve"> </w:t>
      </w:r>
      <w:proofErr w:type="gramStart"/>
      <w:r w:rsidRPr="00B27050">
        <w:rPr>
          <w:rFonts w:eastAsia="Times New Roman" w:cs="Times New Roman"/>
          <w:color w:val="222222"/>
        </w:rPr>
        <w:t>In particular, mass</w:t>
      </w:r>
      <w:r w:rsidRPr="00AE570D">
        <w:rPr>
          <w:rFonts w:eastAsia="Times New Roman" w:cs="Times New Roman"/>
          <w:color w:val="222222"/>
        </w:rPr>
        <w:t>-tort</w:t>
      </w:r>
      <w:proofErr w:type="gramEnd"/>
      <w:r w:rsidRPr="00AE570D">
        <w:rPr>
          <w:rFonts w:eastAsia="Times New Roman" w:cs="Times New Roman"/>
          <w:color w:val="222222"/>
        </w:rPr>
        <w:t xml:space="preserve"> MDLs can involve hundreds of </w:t>
      </w:r>
      <w:r w:rsidRPr="00EF355A">
        <w:rPr>
          <w:rFonts w:eastAsia="Times New Roman" w:cs="Times New Roman"/>
          <w:color w:val="222222"/>
        </w:rPr>
        <w:t xml:space="preserve">thousands of documents, and </w:t>
      </w:r>
      <w:proofErr w:type="spellStart"/>
      <w:r w:rsidRPr="00EF355A">
        <w:rPr>
          <w:rFonts w:eastAsia="Times New Roman" w:cs="Times New Roman"/>
          <w:color w:val="222222"/>
        </w:rPr>
        <w:t>ediscovery</w:t>
      </w:r>
      <w:proofErr w:type="spellEnd"/>
      <w:r w:rsidRPr="00EF355A">
        <w:rPr>
          <w:rFonts w:eastAsia="Times New Roman" w:cs="Times New Roman"/>
          <w:color w:val="222222"/>
        </w:rPr>
        <w:t xml:space="preserve"> can cost more than $100 million.</w:t>
      </w:r>
    </w:p>
  </w:footnote>
  <w:footnote w:id="5">
    <w:p w14:paraId="1049C373" w14:textId="77777777" w:rsidR="009964D4" w:rsidRPr="009B0515" w:rsidRDefault="009964D4" w:rsidP="009964D4">
      <w:pPr>
        <w:pStyle w:val="FootnoteText"/>
        <w:jc w:val="both"/>
        <w:rPr>
          <w:rFonts w:cs="Times New Roman"/>
        </w:rPr>
      </w:pPr>
      <w:r>
        <w:rPr>
          <w:rStyle w:val="FootnoteReference"/>
        </w:rPr>
        <w:footnoteRef/>
      </w:r>
      <w:r>
        <w:t xml:space="preserve"> </w:t>
      </w:r>
      <w:r w:rsidRPr="0043515C">
        <w:rPr>
          <w:rFonts w:cs="Times New Roman"/>
          <w:i/>
          <w:iCs/>
        </w:rPr>
        <w:t>See</w:t>
      </w:r>
      <w:r>
        <w:rPr>
          <w:rFonts w:cs="Times New Roman"/>
        </w:rPr>
        <w:t xml:space="preserve"> Fed. R. Civ. P. 1, Committee Note (2007) (“The purpose of the revision ... is to recognize the affirmative duty of the court to exercise the authority conferred by these rules to ensure that civil litigation is resolved not only fairly, but also without undue cost or delay.  As officers of the court, attorneys share this responsibility with the judge to whom the case is assigned.”)</w:t>
      </w:r>
    </w:p>
  </w:footnote>
  <w:footnote w:id="6">
    <w:p w14:paraId="78DBC4CA" w14:textId="77777777" w:rsidR="009964D4" w:rsidRDefault="009964D4" w:rsidP="009964D4">
      <w:pPr>
        <w:pStyle w:val="FootnoteText"/>
        <w:jc w:val="both"/>
      </w:pPr>
      <w:r>
        <w:rPr>
          <w:rStyle w:val="FootnoteReference"/>
        </w:rPr>
        <w:footnoteRef/>
      </w:r>
      <w:r>
        <w:t xml:space="preserve"> </w:t>
      </w:r>
      <w:r>
        <w:rPr>
          <w:rFonts w:cs="Times New Roman"/>
        </w:rPr>
        <w:t>S</w:t>
      </w:r>
      <w:r w:rsidRPr="0060162F">
        <w:rPr>
          <w:rFonts w:cs="Times New Roman"/>
          <w:i/>
          <w:iCs/>
        </w:rPr>
        <w:t>ee</w:t>
      </w:r>
      <w:r>
        <w:rPr>
          <w:rFonts w:cs="Times New Roman"/>
          <w:i/>
          <w:iCs/>
        </w:rPr>
        <w:t xml:space="preserve"> </w:t>
      </w:r>
      <w:r w:rsidRPr="0060162F">
        <w:rPr>
          <w:rFonts w:cs="Times New Roman"/>
          <w:i/>
          <w:iCs/>
        </w:rPr>
        <w:t xml:space="preserve">In Re: Bard Implanted </w:t>
      </w:r>
      <w:r>
        <w:rPr>
          <w:rFonts w:cs="Times New Roman"/>
          <w:i/>
          <w:iCs/>
        </w:rPr>
        <w:t>P</w:t>
      </w:r>
      <w:r w:rsidRPr="0060162F">
        <w:rPr>
          <w:rFonts w:cs="Times New Roman"/>
          <w:i/>
          <w:iCs/>
        </w:rPr>
        <w:t xml:space="preserve">ort Catheter Prod. </w:t>
      </w:r>
      <w:proofErr w:type="spellStart"/>
      <w:r w:rsidRPr="0060162F">
        <w:rPr>
          <w:rFonts w:cs="Times New Roman"/>
          <w:i/>
          <w:iCs/>
        </w:rPr>
        <w:t>Liab</w:t>
      </w:r>
      <w:proofErr w:type="spellEnd"/>
      <w:r w:rsidRPr="0060162F">
        <w:rPr>
          <w:rFonts w:cs="Times New Roman"/>
          <w:i/>
          <w:iCs/>
        </w:rPr>
        <w:t>. Litig</w:t>
      </w:r>
      <w:r>
        <w:rPr>
          <w:rFonts w:cs="Times New Roman"/>
        </w:rPr>
        <w:t>., MDL No. 3081, Case Management Order No. 11 (Nov. 22, 2023) (example of protective order involving a medical-device product).</w:t>
      </w:r>
    </w:p>
  </w:footnote>
  <w:footnote w:id="7">
    <w:p w14:paraId="22196FCF" w14:textId="77777777" w:rsidR="009964D4" w:rsidRDefault="009964D4" w:rsidP="009964D4">
      <w:pPr>
        <w:pStyle w:val="FootnoteText"/>
        <w:jc w:val="both"/>
      </w:pPr>
      <w:r>
        <w:rPr>
          <w:rStyle w:val="FootnoteReference"/>
        </w:rPr>
        <w:footnoteRef/>
      </w:r>
      <w:r>
        <w:t xml:space="preserve"> </w:t>
      </w:r>
      <w:r w:rsidRPr="0060162F">
        <w:rPr>
          <w:rFonts w:cs="Times New Roman"/>
          <w:i/>
          <w:iCs/>
        </w:rPr>
        <w:t xml:space="preserve">See In Re: Bard Implanted </w:t>
      </w:r>
      <w:r>
        <w:rPr>
          <w:rFonts w:cs="Times New Roman"/>
          <w:i/>
          <w:iCs/>
        </w:rPr>
        <w:t>P</w:t>
      </w:r>
      <w:r w:rsidRPr="0060162F">
        <w:rPr>
          <w:rFonts w:cs="Times New Roman"/>
          <w:i/>
          <w:iCs/>
        </w:rPr>
        <w:t xml:space="preserve">ort Catheter Prod. </w:t>
      </w:r>
      <w:proofErr w:type="spellStart"/>
      <w:r w:rsidRPr="0060162F">
        <w:rPr>
          <w:rFonts w:cs="Times New Roman"/>
          <w:i/>
          <w:iCs/>
        </w:rPr>
        <w:t>Liab</w:t>
      </w:r>
      <w:proofErr w:type="spellEnd"/>
      <w:r w:rsidRPr="0060162F">
        <w:rPr>
          <w:rFonts w:cs="Times New Roman"/>
          <w:i/>
          <w:iCs/>
        </w:rPr>
        <w:t>. Litig</w:t>
      </w:r>
      <w:r>
        <w:rPr>
          <w:rFonts w:cs="Times New Roman"/>
        </w:rPr>
        <w:t>., MDL No. 3081, Case Management Order No. 12, pp. 15-16 (Nov. 22, 2023) (case-management order containing ESI Order – “The Parties acknowledge that prior to consolidation of this MDL, Defendants previously collected, processed and produced Documents and ESI in other Implantable Port Products liability litigation that may be of interest in this matter. The parties shall meet and confer regarding the scope of Documents or ESI Defendants will produce in this Action. Defendants shall not be required or obligated to redo or reproduce such discovery to the extent there are differences between the order governing the prior production and this Order.”)</w:t>
      </w:r>
    </w:p>
  </w:footnote>
  <w:footnote w:id="8">
    <w:p w14:paraId="44E32227" w14:textId="77777777" w:rsidR="009964D4" w:rsidRPr="00EF355A" w:rsidRDefault="009964D4" w:rsidP="009964D4">
      <w:pPr>
        <w:pStyle w:val="FootnoteText"/>
        <w:jc w:val="both"/>
        <w:rPr>
          <w:rFonts w:cs="Times New Roman"/>
        </w:rPr>
      </w:pPr>
      <w:r w:rsidRPr="00EF355A">
        <w:rPr>
          <w:rStyle w:val="FootnoteReference"/>
          <w:rFonts w:cs="Times New Roman"/>
        </w:rPr>
        <w:footnoteRef/>
      </w:r>
      <w:r w:rsidRPr="00EF355A">
        <w:rPr>
          <w:rFonts w:cs="Times New Roman"/>
        </w:rPr>
        <w:t xml:space="preserve"> The day is quickly coming when parties with large resources can effectively search the universe of data covered under a broad initial litigation-hold by artificial-intelligence advanced algorithms</w:t>
      </w:r>
      <w:r w:rsidRPr="00EF355A">
        <w:rPr>
          <w:rFonts w:cs="Times New Roman"/>
          <w:i/>
          <w:iCs/>
        </w:rPr>
        <w:t xml:space="preserve"> See </w:t>
      </w:r>
      <w:bookmarkStart w:id="2" w:name="_Hlk157943576"/>
      <w:r w:rsidRPr="00EF355A">
        <w:rPr>
          <w:rFonts w:cs="Times New Roman"/>
          <w:i/>
          <w:iCs/>
        </w:rPr>
        <w:t xml:space="preserve">Allergan </w:t>
      </w:r>
      <w:proofErr w:type="spellStart"/>
      <w:r w:rsidRPr="00EF355A">
        <w:rPr>
          <w:rFonts w:cs="Times New Roman"/>
          <w:i/>
          <w:iCs/>
        </w:rPr>
        <w:t>Biocell</w:t>
      </w:r>
      <w:proofErr w:type="spellEnd"/>
      <w:r w:rsidRPr="00EF355A">
        <w:rPr>
          <w:rFonts w:cs="Times New Roman"/>
          <w:i/>
          <w:iCs/>
        </w:rPr>
        <w:t xml:space="preserve"> Textured Breast Implant Prod. </w:t>
      </w:r>
      <w:proofErr w:type="spellStart"/>
      <w:r w:rsidRPr="00EF355A">
        <w:rPr>
          <w:rFonts w:cs="Times New Roman"/>
          <w:i/>
          <w:iCs/>
        </w:rPr>
        <w:t>Liab</w:t>
      </w:r>
      <w:proofErr w:type="spellEnd"/>
      <w:r w:rsidRPr="00EF355A">
        <w:rPr>
          <w:rFonts w:cs="Times New Roman"/>
          <w:i/>
          <w:iCs/>
        </w:rPr>
        <w:t>. Litig</w:t>
      </w:r>
      <w:r w:rsidRPr="00EF355A">
        <w:rPr>
          <w:rFonts w:cs="Times New Roman"/>
        </w:rPr>
        <w:t xml:space="preserve">., Special Master Case Management Order No. 22, p. 3 (D. N.J. Oct. 25, 2022) </w:t>
      </w:r>
      <w:bookmarkEnd w:id="2"/>
      <w:r w:rsidRPr="00EF355A">
        <w:rPr>
          <w:rFonts w:cs="Times New Roman"/>
        </w:rPr>
        <w:t>(“Defendants submit that it has collected and indexed 9.371 terabytes of data” [one terabyte of data equals roughly 80 million pages].)</w:t>
      </w:r>
    </w:p>
  </w:footnote>
  <w:footnote w:id="9">
    <w:p w14:paraId="58A216B8" w14:textId="77777777" w:rsidR="009964D4" w:rsidRPr="00EF355A" w:rsidRDefault="009964D4" w:rsidP="009964D4">
      <w:pPr>
        <w:pStyle w:val="FootnoteText"/>
        <w:jc w:val="both"/>
        <w:rPr>
          <w:rFonts w:cs="Times New Roman"/>
        </w:rPr>
      </w:pPr>
      <w:r w:rsidRPr="00EF355A">
        <w:rPr>
          <w:rStyle w:val="FootnoteReference"/>
          <w:rFonts w:cs="Times New Roman"/>
        </w:rPr>
        <w:footnoteRef/>
      </w:r>
      <w:r w:rsidRPr="00EF355A">
        <w:rPr>
          <w:rFonts w:cs="Times New Roman"/>
        </w:rPr>
        <w:t xml:space="preserve"> The term “recall” is used in its generic sense and is not limited to the TAR context.</w:t>
      </w:r>
    </w:p>
  </w:footnote>
  <w:footnote w:id="10">
    <w:p w14:paraId="5D4E87E7" w14:textId="77777777" w:rsidR="009964D4" w:rsidRPr="00EF355A" w:rsidRDefault="009964D4" w:rsidP="009964D4">
      <w:pPr>
        <w:pStyle w:val="FootnoteText"/>
        <w:jc w:val="both"/>
        <w:rPr>
          <w:rFonts w:cs="Times New Roman"/>
        </w:rPr>
      </w:pPr>
      <w:r w:rsidRPr="00EF355A">
        <w:rPr>
          <w:rStyle w:val="FootnoteReference"/>
          <w:rFonts w:cs="Times New Roman"/>
        </w:rPr>
        <w:footnoteRef/>
      </w:r>
      <w:r w:rsidRPr="00EF355A">
        <w:rPr>
          <w:rFonts w:cs="Times New Roman"/>
        </w:rPr>
        <w:t xml:space="preserve"> </w:t>
      </w:r>
      <w:r w:rsidRPr="00EF355A">
        <w:rPr>
          <w:rFonts w:cs="Times New Roman"/>
          <w:i/>
          <w:iCs/>
        </w:rPr>
        <w:t xml:space="preserve">See </w:t>
      </w:r>
      <w:r w:rsidRPr="00EF355A">
        <w:rPr>
          <w:rFonts w:cs="Times New Roman"/>
        </w:rPr>
        <w:t xml:space="preserve">Are We Insane? The Quest for Proportionality in the Discovery Rules of the Federal Rules of Civil Procedure, Hon. Paul Grimm, </w:t>
      </w:r>
      <w:r w:rsidRPr="00EF355A">
        <w:rPr>
          <w:rFonts w:cs="Times New Roman"/>
          <w:color w:val="000000"/>
          <w:shd w:val="clear" w:color="auto" w:fill="FFFFFF"/>
        </w:rPr>
        <w:t>36 </w:t>
      </w:r>
      <w:r w:rsidRPr="00EF355A">
        <w:rPr>
          <w:rStyle w:val="Emphasis"/>
          <w:rFonts w:cs="Times New Roman"/>
          <w:color w:val="000000"/>
          <w:bdr w:val="none" w:sz="0" w:space="0" w:color="auto" w:frame="1"/>
          <w:shd w:val="clear" w:color="auto" w:fill="FFFFFF"/>
        </w:rPr>
        <w:t>Review of Litigation</w:t>
      </w:r>
      <w:r w:rsidRPr="00EF355A">
        <w:rPr>
          <w:rFonts w:cs="Times New Roman"/>
          <w:color w:val="000000"/>
          <w:shd w:val="clear" w:color="auto" w:fill="FFFFFF"/>
        </w:rPr>
        <w:t> 117-192 (2017)</w:t>
      </w:r>
      <w:r w:rsidRPr="00EF355A">
        <w:rPr>
          <w:rFonts w:cs="Times New Roman"/>
        </w:rPr>
        <w:t xml:space="preserve">. The author recognizes the problems with today’s </w:t>
      </w:r>
      <w:proofErr w:type="spellStart"/>
      <w:r w:rsidRPr="00EF355A">
        <w:rPr>
          <w:rFonts w:cs="Times New Roman"/>
        </w:rPr>
        <w:t>ediscovery</w:t>
      </w:r>
      <w:proofErr w:type="spellEnd"/>
      <w:r w:rsidRPr="00EF355A">
        <w:rPr>
          <w:rFonts w:cs="Times New Roman"/>
        </w:rPr>
        <w:t xml:space="preserve"> system.  He urges courts to provide more active case-management.   https://scholarship.law.duke.edu/cgi/viewcontent.cgi?article=6920&amp;context=faculty_scholarship</w:t>
      </w:r>
    </w:p>
  </w:footnote>
  <w:footnote w:id="11">
    <w:p w14:paraId="28C09AD0" w14:textId="77777777" w:rsidR="009964D4" w:rsidRPr="00EF355A" w:rsidRDefault="009964D4" w:rsidP="009964D4">
      <w:pPr>
        <w:pStyle w:val="FootnoteText"/>
        <w:jc w:val="both"/>
        <w:rPr>
          <w:rFonts w:cs="Times New Roman"/>
        </w:rPr>
      </w:pPr>
      <w:r w:rsidRPr="00EF355A">
        <w:rPr>
          <w:rStyle w:val="FootnoteReference"/>
          <w:rFonts w:cs="Times New Roman"/>
        </w:rPr>
        <w:footnoteRef/>
      </w:r>
      <w:r w:rsidRPr="00EF355A">
        <w:rPr>
          <w:rFonts w:cs="Times New Roman"/>
        </w:rPr>
        <w:t xml:space="preserve"> Optimum Proportionality eDiscovery Standard, Rabiej Litigation Law Center (2024) at https://rabiejcenter.org/best-practices/ediscovery/.</w:t>
      </w:r>
    </w:p>
  </w:footnote>
  <w:footnote w:id="12">
    <w:p w14:paraId="7FFFD4A2" w14:textId="77777777" w:rsidR="009964D4" w:rsidRDefault="009964D4" w:rsidP="009964D4">
      <w:pPr>
        <w:pStyle w:val="NoSpacing"/>
        <w:jc w:val="both"/>
      </w:pPr>
      <w:r w:rsidRPr="00EF355A">
        <w:rPr>
          <w:rStyle w:val="FootnoteReference"/>
          <w:rFonts w:cs="Times New Roman"/>
          <w:sz w:val="20"/>
          <w:szCs w:val="20"/>
        </w:rPr>
        <w:footnoteRef/>
      </w:r>
      <w:r w:rsidRPr="00EF355A">
        <w:rPr>
          <w:rFonts w:cs="Times New Roman"/>
          <w:sz w:val="20"/>
          <w:szCs w:val="20"/>
        </w:rPr>
        <w:t xml:space="preserve"> Optimum Proportionality eDiscovery Standard, Guideline 1, Rabiej Litigation Law Center (2024) at https://rabiejcenter.org/best-practices/ediscovery/. Rule 26(b)(1) was amended more than eight years ago to reduce discovery of “matters that are otherwise proper subjects of inquiry,” while fully satisfying the parties’ needs for</w:t>
      </w:r>
      <w:r w:rsidRPr="00A21EFE">
        <w:rPr>
          <w:sz w:val="20"/>
          <w:szCs w:val="20"/>
        </w:rPr>
        <w:t xml:space="preserve"> discovery. And OPES is designed to achieve this goal by better informing the requesting party of the responding party’s decisions classifying information that is important in resolving the issues and confirming that the classifications are acceptable within a reasonable margin of error.</w:t>
      </w:r>
    </w:p>
  </w:footnote>
  <w:footnote w:id="13">
    <w:p w14:paraId="148D381A" w14:textId="77777777" w:rsidR="009964D4" w:rsidRPr="00AD7540" w:rsidRDefault="009964D4" w:rsidP="009964D4">
      <w:pPr>
        <w:pStyle w:val="FootnoteText"/>
        <w:jc w:val="both"/>
        <w:rPr>
          <w:rFonts w:cs="Times New Roman"/>
        </w:rPr>
      </w:pPr>
      <w:r w:rsidRPr="00DA64A5">
        <w:rPr>
          <w:rStyle w:val="FootnoteReference"/>
          <w:rFonts w:cs="Times New Roman"/>
        </w:rPr>
        <w:footnoteRef/>
      </w:r>
      <w:r w:rsidRPr="00DA64A5">
        <w:rPr>
          <w:rFonts w:cs="Times New Roman"/>
        </w:rPr>
        <w:t xml:space="preserve"> Three </w:t>
      </w:r>
      <w:r w:rsidRPr="00AD7540">
        <w:rPr>
          <w:rFonts w:cs="Times New Roman"/>
        </w:rPr>
        <w:t xml:space="preserve">seminal </w:t>
      </w:r>
      <w:proofErr w:type="spellStart"/>
      <w:r w:rsidRPr="00AD7540">
        <w:rPr>
          <w:rFonts w:cs="Times New Roman"/>
        </w:rPr>
        <w:t>ediscovery</w:t>
      </w:r>
      <w:proofErr w:type="spellEnd"/>
      <w:r w:rsidRPr="00AD7540">
        <w:rPr>
          <w:rFonts w:cs="Times New Roman"/>
        </w:rPr>
        <w:t xml:space="preserve"> cases focused on the value and importance of the requested </w:t>
      </w:r>
      <w:proofErr w:type="spellStart"/>
      <w:r w:rsidRPr="00AD7540">
        <w:rPr>
          <w:rFonts w:cs="Times New Roman"/>
        </w:rPr>
        <w:t>ediscovery</w:t>
      </w:r>
      <w:proofErr w:type="spellEnd"/>
      <w:r w:rsidRPr="00AD7540">
        <w:rPr>
          <w:rFonts w:cs="Times New Roman"/>
        </w:rPr>
        <w:t xml:space="preserve"> in resolving the issues as the key factor, including: </w:t>
      </w:r>
      <w:proofErr w:type="spellStart"/>
      <w:r w:rsidRPr="00AD7540">
        <w:rPr>
          <w:rFonts w:cs="Times New Roman"/>
          <w:i/>
          <w:iCs/>
        </w:rPr>
        <w:t>Zubulake</w:t>
      </w:r>
      <w:proofErr w:type="spellEnd"/>
      <w:r w:rsidRPr="00AD7540">
        <w:rPr>
          <w:rFonts w:cs="Times New Roman"/>
          <w:i/>
          <w:iCs/>
        </w:rPr>
        <w:t xml:space="preserve"> v. UBS Warburg LLC</w:t>
      </w:r>
      <w:r w:rsidRPr="00AD7540">
        <w:rPr>
          <w:rFonts w:cs="Times New Roman"/>
        </w:rPr>
        <w:t xml:space="preserve">, 217 F.R.D. 309 (S.D.N.Y. 2003); </w:t>
      </w:r>
      <w:r w:rsidRPr="00AD7540">
        <w:rPr>
          <w:rFonts w:cs="Times New Roman"/>
          <w:i/>
          <w:iCs/>
        </w:rPr>
        <w:t>Rowe Entertainment, Inc. v. William Morris Agency</w:t>
      </w:r>
      <w:r w:rsidRPr="00AD7540">
        <w:rPr>
          <w:rFonts w:cs="Times New Roman"/>
        </w:rPr>
        <w:t xml:space="preserve">, 205 F.R.D. 421 (S.D.N.Y. 2002); and </w:t>
      </w:r>
      <w:r w:rsidRPr="00AD7540">
        <w:rPr>
          <w:rFonts w:cs="Times New Roman"/>
          <w:i/>
          <w:iCs/>
        </w:rPr>
        <w:t>McPeek v. Ashcroft</w:t>
      </w:r>
      <w:r w:rsidRPr="00AD7540">
        <w:rPr>
          <w:rFonts w:cs="Times New Roman"/>
        </w:rPr>
        <w:t xml:space="preserve">, 202 F.R.D. 31 (D.D.C. 2001), cited in the Preliminary Draft of Proposed Amendments to Fed. R. Civ. P. 26(b)(2), Agenda Book Advisory Committee on Civil Rules, p. 25 </w:t>
      </w:r>
      <w:r>
        <w:rPr>
          <w:rFonts w:cs="Times New Roman"/>
        </w:rPr>
        <w:t>(</w:t>
      </w:r>
      <w:r w:rsidRPr="00AD7540">
        <w:rPr>
          <w:rFonts w:cs="Times New Roman"/>
        </w:rPr>
        <w:t>April 14-15</w:t>
      </w:r>
      <w:r>
        <w:rPr>
          <w:rFonts w:cs="Times New Roman"/>
        </w:rPr>
        <w:t>,</w:t>
      </w:r>
      <w:r w:rsidRPr="00AD7540">
        <w:rPr>
          <w:rFonts w:cs="Times New Roman"/>
        </w:rPr>
        <w:t xml:space="preserve"> 2005</w:t>
      </w:r>
      <w:r>
        <w:rPr>
          <w:rFonts w:cs="Times New Roman"/>
        </w:rPr>
        <w:t>)</w:t>
      </w:r>
      <w:r w:rsidRPr="00AD7540">
        <w:rPr>
          <w:rFonts w:cs="Times New Roman"/>
        </w:rPr>
        <w:t xml:space="preserve">.  </w:t>
      </w:r>
    </w:p>
  </w:footnote>
  <w:footnote w:id="14">
    <w:p w14:paraId="08ADEAA1" w14:textId="77777777" w:rsidR="009964D4" w:rsidRPr="00EE70F2" w:rsidRDefault="009964D4" w:rsidP="009964D4">
      <w:pPr>
        <w:pStyle w:val="FootnoteText"/>
        <w:rPr>
          <w:rFonts w:cs="Times New Roman"/>
        </w:rPr>
      </w:pPr>
      <w:r>
        <w:rPr>
          <w:rStyle w:val="FootnoteReference"/>
        </w:rPr>
        <w:footnoteRef/>
      </w:r>
      <w:r>
        <w:t xml:space="preserve"> </w:t>
      </w:r>
      <w:r w:rsidRPr="00EE70F2">
        <w:rPr>
          <w:rFonts w:cs="Times New Roman"/>
          <w:i/>
          <w:iCs/>
        </w:rPr>
        <w:t>See</w:t>
      </w:r>
      <w:r>
        <w:t xml:space="preserve"> </w:t>
      </w:r>
      <w:r w:rsidRPr="00EE70F2">
        <w:rPr>
          <w:rFonts w:cs="Times New Roman"/>
        </w:rPr>
        <w:t>Optimum Proportionality eDiscovery Standard, Guideline 1, Rabiej Litigation Law Center (2024) at https://rabiejcenter.org/best-practices/ediscovery/.</w:t>
      </w:r>
    </w:p>
  </w:footnote>
  <w:footnote w:id="15">
    <w:p w14:paraId="130EEA46" w14:textId="77777777" w:rsidR="009964D4" w:rsidRDefault="009964D4" w:rsidP="009964D4">
      <w:pPr>
        <w:pStyle w:val="FootnoteText"/>
        <w:jc w:val="both"/>
      </w:pPr>
      <w:r>
        <w:rPr>
          <w:rStyle w:val="FootnoteReference"/>
        </w:rPr>
        <w:footnoteRef/>
      </w:r>
      <w:r>
        <w:t xml:space="preserve"> </w:t>
      </w:r>
      <w:r w:rsidRPr="00AA4FCF">
        <w:rPr>
          <w:rFonts w:cs="Times New Roman"/>
        </w:rPr>
        <w:t xml:space="preserve">The Second Circuit’s admonition in </w:t>
      </w:r>
      <w:proofErr w:type="gramStart"/>
      <w:r w:rsidRPr="00AA4FCF">
        <w:rPr>
          <w:rFonts w:cs="Times New Roman"/>
          <w:i/>
          <w:iCs/>
        </w:rPr>
        <w:t>In</w:t>
      </w:r>
      <w:proofErr w:type="gramEnd"/>
      <w:r w:rsidRPr="00AA4FCF">
        <w:rPr>
          <w:rFonts w:cs="Times New Roman"/>
          <w:i/>
          <w:iCs/>
        </w:rPr>
        <w:t xml:space="preserve"> re Repetitive Stress Injuries</w:t>
      </w:r>
      <w:r w:rsidRPr="00AA4FCF">
        <w:rPr>
          <w:rFonts w:cs="Times New Roman"/>
        </w:rPr>
        <w:t>, 11 F.3d 368 (2d Cir. 1993) in another context ring</w:t>
      </w:r>
      <w:r>
        <w:rPr>
          <w:rFonts w:cs="Times New Roman"/>
        </w:rPr>
        <w:t>s</w:t>
      </w:r>
      <w:r w:rsidRPr="00AA4FCF">
        <w:rPr>
          <w:rFonts w:cs="Times New Roman"/>
        </w:rPr>
        <w:t xml:space="preserve"> true in these circumstances: “A party may </w:t>
      </w:r>
      <w:r>
        <w:rPr>
          <w:rFonts w:cs="Times New Roman"/>
        </w:rPr>
        <w:t>n</w:t>
      </w:r>
      <w:r w:rsidRPr="00AA4FCF">
        <w:rPr>
          <w:rFonts w:cs="Times New Roman"/>
        </w:rPr>
        <w:t>ot use aggregation as a method of increasing the costs of its adversaries whether plaintiffs or defendants by forcing them to participate in discovery or other proceedings that are irrelevant to their case.  It may be that such increased costs would make settlement easier to achieve, but that would occur at the cost</w:t>
      </w:r>
      <w:r>
        <w:rPr>
          <w:rFonts w:cs="Times New Roman"/>
        </w:rPr>
        <w:t xml:space="preserve"> of</w:t>
      </w:r>
      <w:r w:rsidRPr="00AA4FCF">
        <w:rPr>
          <w:rFonts w:cs="Times New Roman"/>
        </w:rPr>
        <w:t xml:space="preserve"> fundamental fairness.”</w:t>
      </w:r>
    </w:p>
  </w:footnote>
  <w:footnote w:id="16">
    <w:p w14:paraId="3E3E335B" w14:textId="77777777" w:rsidR="009964D4" w:rsidRPr="00A21EFE" w:rsidRDefault="009964D4" w:rsidP="009964D4">
      <w:pPr>
        <w:pStyle w:val="FootnoteText"/>
      </w:pPr>
      <w:r>
        <w:rPr>
          <w:rStyle w:val="FootnoteReference"/>
        </w:rPr>
        <w:footnoteRef/>
      </w:r>
      <w:r>
        <w:t xml:space="preserve"> </w:t>
      </w:r>
      <w:r w:rsidRPr="00A21EFE">
        <w:rPr>
          <w:rFonts w:cs="Times New Roman"/>
        </w:rPr>
        <w:t xml:space="preserve">The root cause of these disagreements is that lawyers on opposing sides, and even on the same side, will in good faith always disagree on what “relevant” means in their </w:t>
      </w:r>
      <w:proofErr w:type="gramStart"/>
      <w:r w:rsidRPr="00A21EFE">
        <w:rPr>
          <w:rFonts w:cs="Times New Roman"/>
        </w:rPr>
        <w:t>particular case</w:t>
      </w:r>
      <w:proofErr w:type="gramEnd"/>
      <w:r w:rsidRPr="00A21EFE">
        <w:rPr>
          <w:rFonts w:cs="Times New Roman"/>
        </w:rPr>
        <w:t>. Optimum Proportionality eDiscovery Standard, Rabiej Litigation Law Center (2024) at https://rabiejcenter.org/best-practices/ediscovery/.</w:t>
      </w:r>
    </w:p>
  </w:footnote>
  <w:footnote w:id="17">
    <w:p w14:paraId="7344FF2D" w14:textId="77777777" w:rsidR="009964D4" w:rsidRDefault="009964D4" w:rsidP="009964D4">
      <w:pPr>
        <w:pStyle w:val="FootnoteText"/>
        <w:jc w:val="both"/>
      </w:pPr>
      <w:r>
        <w:rPr>
          <w:rStyle w:val="FootnoteReference"/>
        </w:rPr>
        <w:footnoteRef/>
      </w:r>
      <w:r>
        <w:t xml:space="preserve"> </w:t>
      </w:r>
      <w:r w:rsidRPr="00CB2B81">
        <w:rPr>
          <w:rFonts w:cs="Times New Roman"/>
          <w:i/>
          <w:iCs/>
        </w:rPr>
        <w:t xml:space="preserve">See In re Valsartan, Losartan, &amp; Irbesartan Prod. </w:t>
      </w:r>
      <w:proofErr w:type="spellStart"/>
      <w:r w:rsidRPr="00CB2B81">
        <w:rPr>
          <w:rFonts w:cs="Times New Roman"/>
          <w:i/>
          <w:iCs/>
        </w:rPr>
        <w:t>Liab</w:t>
      </w:r>
      <w:proofErr w:type="spellEnd"/>
      <w:r w:rsidRPr="00CB2B81">
        <w:rPr>
          <w:rFonts w:cs="Times New Roman"/>
          <w:i/>
          <w:iCs/>
        </w:rPr>
        <w:t>. Litig</w:t>
      </w:r>
      <w:r>
        <w:rPr>
          <w:rFonts w:cs="Times New Roman"/>
        </w:rPr>
        <w:t xml:space="preserve">., Civil No. 19-2875 (RBK/JS), at *24 (D. N.J. Dec. 2, 2020) (“(Defendant” argues plaintiffs should accept their protocol and validation at face value.  It argues, ‘after additional review, no validation protocol is necessary, as Teva has detailed data to demonstrate to plaintiffs, </w:t>
      </w:r>
      <w:proofErr w:type="gramStart"/>
      <w:r>
        <w:rPr>
          <w:rFonts w:cs="Times New Roman"/>
        </w:rPr>
        <w:t>and also</w:t>
      </w:r>
      <w:proofErr w:type="gramEnd"/>
      <w:r>
        <w:rPr>
          <w:rFonts w:cs="Times New Roman"/>
        </w:rPr>
        <w:t xml:space="preserve"> the Court, that its CMML platform (TAR CAL) is working consistent with Teva’s representations.  If we lived in a perfect world devoid of the skepticism and doubt that pervades litigation, perhaps this could occur. However, we know this is not the case.”)</w:t>
      </w:r>
    </w:p>
  </w:footnote>
  <w:footnote w:id="18">
    <w:p w14:paraId="38FE4860" w14:textId="77777777" w:rsidR="009964D4" w:rsidRPr="008D748E" w:rsidRDefault="009964D4" w:rsidP="009964D4">
      <w:pPr>
        <w:pStyle w:val="FootnoteText"/>
        <w:jc w:val="both"/>
        <w:rPr>
          <w:rFonts w:cs="Times New Roman"/>
        </w:rPr>
      </w:pPr>
      <w:r>
        <w:rPr>
          <w:rStyle w:val="FootnoteReference"/>
        </w:rPr>
        <w:footnoteRef/>
      </w:r>
      <w:r>
        <w:t xml:space="preserve"> </w:t>
      </w:r>
      <w:r w:rsidRPr="008D748E">
        <w:rPr>
          <w:rFonts w:cs="Times New Roman"/>
          <w:i/>
          <w:iCs/>
        </w:rPr>
        <w:t>See</w:t>
      </w:r>
      <w:r>
        <w:rPr>
          <w:rFonts w:cs="Times New Roman"/>
        </w:rPr>
        <w:t xml:space="preserve"> Empirical Research on Civil Discovery, Judith McKenna &amp; Elizabeth Wiggins, 39 </w:t>
      </w:r>
      <w:proofErr w:type="spellStart"/>
      <w:r>
        <w:rPr>
          <w:rFonts w:cs="Times New Roman"/>
        </w:rPr>
        <w:t>B.C.L.Rev</w:t>
      </w:r>
      <w:proofErr w:type="spellEnd"/>
      <w:r>
        <w:rPr>
          <w:rFonts w:cs="Times New Roman"/>
        </w:rPr>
        <w:t>. 785,794-795 (1998) (authors cite surveys from Wayne Brazil in 1980 showing high percentage of surveyed lawyers who either possessed arguably significant information that the opposing counsel had failed to discover in at least one case or who were surprised at least once with undiscovered information at trial).</w:t>
      </w:r>
    </w:p>
  </w:footnote>
  <w:footnote w:id="19">
    <w:p w14:paraId="0E2B5B6D" w14:textId="77777777" w:rsidR="009964D4" w:rsidRPr="0041085D" w:rsidRDefault="009964D4" w:rsidP="009964D4">
      <w:pPr>
        <w:pStyle w:val="FootnoteText"/>
        <w:jc w:val="both"/>
        <w:rPr>
          <w:rFonts w:cs="Times New Roman"/>
        </w:rPr>
      </w:pPr>
      <w:r>
        <w:rPr>
          <w:rStyle w:val="FootnoteReference"/>
        </w:rPr>
        <w:footnoteRef/>
      </w:r>
      <w:r>
        <w:t xml:space="preserve"> </w:t>
      </w:r>
      <w:r w:rsidRPr="00ED60AD">
        <w:rPr>
          <w:rFonts w:cs="Times New Roman"/>
          <w:i/>
          <w:iCs/>
        </w:rPr>
        <w:t xml:space="preserve">See </w:t>
      </w:r>
      <w:r>
        <w:rPr>
          <w:rFonts w:cs="Times New Roman"/>
        </w:rPr>
        <w:t xml:space="preserve">Department of Justice TAR Protocol Antitrust Division, Tracy Greer, Senior Litigation Counsel eDiscovery, “The Division has moved to implement several discovery initiatives that have a significant impact on lawyers and their clients who are involved in Division investigations.  This paper discusses </w:t>
      </w:r>
      <w:proofErr w:type="gramStart"/>
      <w:r>
        <w:rPr>
          <w:rFonts w:cs="Times New Roman"/>
        </w:rPr>
        <w:t>a number of</w:t>
      </w:r>
      <w:proofErr w:type="gramEnd"/>
      <w:r>
        <w:rPr>
          <w:rFonts w:cs="Times New Roman"/>
        </w:rPr>
        <w:t xml:space="preserve"> … </w:t>
      </w:r>
      <w:r w:rsidRPr="00ED60AD">
        <w:rPr>
          <w:rFonts w:cs="Times New Roman"/>
          <w:b/>
          <w:bCs/>
        </w:rPr>
        <w:t>Validation.</w:t>
      </w:r>
      <w:r>
        <w:rPr>
          <w:rFonts w:cs="Times New Roman"/>
        </w:rPr>
        <w:t xml:space="preserve">  The Division consistently has asked the responding party to provide a statistically significant sample of </w:t>
      </w:r>
      <w:r w:rsidRPr="00ED60AD">
        <w:rPr>
          <w:rFonts w:cs="Times New Roman"/>
          <w:i/>
          <w:iCs/>
        </w:rPr>
        <w:t>nonresponsive</w:t>
      </w:r>
      <w:r>
        <w:rPr>
          <w:rFonts w:cs="Times New Roman"/>
        </w:rPr>
        <w:t xml:space="preserve"> documents to ensure that facially responsive documents were not excluded from the collection.  Typically, we ask the responding party to generate five to seven statistically significant samples, and the samples (minus any documents coded as privileged) are made available to a </w:t>
      </w:r>
      <w:proofErr w:type="gramStart"/>
      <w:r>
        <w:rPr>
          <w:rFonts w:cs="Times New Roman"/>
        </w:rPr>
        <w:t>Division</w:t>
      </w:r>
      <w:proofErr w:type="gramEnd"/>
      <w:r>
        <w:rPr>
          <w:rFonts w:cs="Times New Roman"/>
        </w:rPr>
        <w:t xml:space="preserve"> lawyer for a quick review.  Division staff reviews the samples over a secure Web-based viewer or in the offices of the producing party’s counsel.  Generally, the Division agrees to complete its review of the samples in one or two days.  The focus of the review is to look for obviously responsive documents so material that their exclusion would undermine confidence in the TAR process.  All parties that successfully have negotiated TAR protocols have agreed to this process.” </w:t>
      </w:r>
      <w:r w:rsidRPr="0041085D">
        <w:rPr>
          <w:rFonts w:cs="Times New Roman"/>
          <w:i/>
          <w:iCs/>
        </w:rPr>
        <w:t>Supra</w:t>
      </w:r>
      <w:r>
        <w:rPr>
          <w:rFonts w:cs="Times New Roman"/>
        </w:rPr>
        <w:t>, endnote 7.</w:t>
      </w:r>
    </w:p>
  </w:footnote>
  <w:footnote w:id="20">
    <w:p w14:paraId="305F2231" w14:textId="77777777" w:rsidR="009964D4" w:rsidRDefault="009964D4" w:rsidP="009964D4">
      <w:pPr>
        <w:pStyle w:val="FootnoteText"/>
        <w:jc w:val="both"/>
      </w:pPr>
      <w:r>
        <w:rPr>
          <w:rStyle w:val="FootnoteReference"/>
        </w:rPr>
        <w:footnoteRef/>
      </w:r>
      <w:r>
        <w:t xml:space="preserve"> </w:t>
      </w:r>
      <w:r w:rsidRPr="00F141F9">
        <w:rPr>
          <w:rFonts w:cs="Times New Roman"/>
          <w:i/>
          <w:iCs/>
        </w:rPr>
        <w:t>See</w:t>
      </w:r>
      <w:r w:rsidRPr="00F141F9">
        <w:rPr>
          <w:rFonts w:cs="Times New Roman"/>
        </w:rPr>
        <w:t xml:space="preserve"> </w:t>
      </w:r>
      <w:r w:rsidRPr="00F141F9">
        <w:rPr>
          <w:rFonts w:cs="Times New Roman"/>
          <w:i/>
          <w:iCs/>
        </w:rPr>
        <w:t>Allergan</w:t>
      </w:r>
      <w:r w:rsidRPr="00A03200">
        <w:rPr>
          <w:rFonts w:cs="Times New Roman"/>
          <w:i/>
          <w:iCs/>
        </w:rPr>
        <w:t xml:space="preserve"> </w:t>
      </w:r>
      <w:proofErr w:type="spellStart"/>
      <w:r w:rsidRPr="00A03200">
        <w:rPr>
          <w:rFonts w:cs="Times New Roman"/>
          <w:i/>
          <w:iCs/>
        </w:rPr>
        <w:t>Biocell</w:t>
      </w:r>
      <w:proofErr w:type="spellEnd"/>
      <w:r w:rsidRPr="00A03200">
        <w:rPr>
          <w:rFonts w:cs="Times New Roman"/>
          <w:i/>
          <w:iCs/>
        </w:rPr>
        <w:t xml:space="preserve"> Textured Breast Implant </w:t>
      </w:r>
      <w:r>
        <w:rPr>
          <w:rFonts w:cs="Times New Roman"/>
          <w:i/>
          <w:iCs/>
        </w:rPr>
        <w:t>P</w:t>
      </w:r>
      <w:r w:rsidRPr="00A03200">
        <w:rPr>
          <w:rFonts w:cs="Times New Roman"/>
          <w:i/>
          <w:iCs/>
        </w:rPr>
        <w:t xml:space="preserve">rod. </w:t>
      </w:r>
      <w:proofErr w:type="spellStart"/>
      <w:r w:rsidRPr="00A03200">
        <w:rPr>
          <w:rFonts w:cs="Times New Roman"/>
          <w:i/>
          <w:iCs/>
        </w:rPr>
        <w:t>Liab</w:t>
      </w:r>
      <w:proofErr w:type="spellEnd"/>
      <w:r w:rsidRPr="00A03200">
        <w:rPr>
          <w:rFonts w:cs="Times New Roman"/>
          <w:i/>
          <w:iCs/>
        </w:rPr>
        <w:t>. Litig</w:t>
      </w:r>
      <w:r>
        <w:rPr>
          <w:rFonts w:cs="Times New Roman"/>
        </w:rPr>
        <w:t>., Special Master Case Management Order No. 31, p. 2 (D. N.J. Sept. 7, 2023).</w:t>
      </w:r>
    </w:p>
  </w:footnote>
  <w:footnote w:id="21">
    <w:p w14:paraId="4CAF711D" w14:textId="77777777" w:rsidR="009964D4" w:rsidRPr="00335A9C" w:rsidRDefault="009964D4" w:rsidP="009964D4">
      <w:pPr>
        <w:pStyle w:val="FootnoteText"/>
        <w:jc w:val="both"/>
        <w:rPr>
          <w:rFonts w:cs="Times New Roman"/>
          <w:b/>
          <w:bCs/>
        </w:rPr>
      </w:pPr>
      <w:r w:rsidRPr="00AD7540">
        <w:rPr>
          <w:rStyle w:val="FootnoteReference"/>
          <w:rFonts w:cs="Times New Roman"/>
        </w:rPr>
        <w:footnoteRef/>
      </w:r>
      <w:r w:rsidRPr="00AD7540">
        <w:rPr>
          <w:rFonts w:cs="Times New Roman"/>
        </w:rPr>
        <w:t xml:space="preserve"> </w:t>
      </w:r>
      <w:r>
        <w:rPr>
          <w:rFonts w:cs="Times New Roman"/>
        </w:rPr>
        <w:t>For example, the nonresponsive documents could include “smoking-gun” evidence of an unrelated employment-discrimination claim.  Some defense lawyers are also concerned that the disclosure of nonresponsive documents will only raise more questions and challenges about the cutoff point between important and nonimportant documents.  Such expectations would make more sense if “responsive” documents were being withheld in the null set.  But the proposal includes only the disclosure of asserted nonresponsive documents withheld in the null set, which have no relevance and should not affect the discovery at hand.</w:t>
      </w:r>
    </w:p>
  </w:footnote>
  <w:footnote w:id="22">
    <w:p w14:paraId="01935209" w14:textId="77777777" w:rsidR="009964D4" w:rsidRPr="00F7410B" w:rsidRDefault="009964D4" w:rsidP="009964D4">
      <w:pPr>
        <w:pStyle w:val="FootnoteText"/>
        <w:jc w:val="both"/>
        <w:rPr>
          <w:rFonts w:cs="Times New Roman"/>
        </w:rPr>
      </w:pPr>
      <w:r>
        <w:rPr>
          <w:rStyle w:val="FootnoteReference"/>
        </w:rPr>
        <w:footnoteRef/>
      </w:r>
      <w:r>
        <w:t xml:space="preserve"> </w:t>
      </w:r>
      <w:r w:rsidRPr="00F7410B">
        <w:rPr>
          <w:rFonts w:cs="Times New Roman"/>
        </w:rPr>
        <w:t xml:space="preserve">Although </w:t>
      </w:r>
      <w:r>
        <w:rPr>
          <w:rFonts w:cs="Times New Roman"/>
        </w:rPr>
        <w:t xml:space="preserve">OPES targets only documents important in resolving the issues, “relevant documents” found in the </w:t>
      </w:r>
      <w:proofErr w:type="gramStart"/>
      <w:r w:rsidRPr="00F7410B">
        <w:rPr>
          <w:rFonts w:cs="Times New Roman"/>
          <w:i/>
          <w:iCs/>
        </w:rPr>
        <w:t>in camera</w:t>
      </w:r>
      <w:proofErr w:type="gramEnd"/>
      <w:r>
        <w:rPr>
          <w:rFonts w:cs="Times New Roman"/>
        </w:rPr>
        <w:t xml:space="preserve"> examination would be disclosed to the requesting party so that they can determine for themselves whether the documents are important in resolving the issues. </w:t>
      </w:r>
    </w:p>
  </w:footnote>
  <w:footnote w:id="23">
    <w:p w14:paraId="0BBED759" w14:textId="77777777" w:rsidR="009964D4" w:rsidRPr="00867D72" w:rsidRDefault="009964D4" w:rsidP="009964D4">
      <w:pPr>
        <w:pStyle w:val="FootnoteText"/>
        <w:jc w:val="both"/>
        <w:rPr>
          <w:rFonts w:cs="Times New Roman"/>
        </w:rPr>
      </w:pPr>
      <w:r w:rsidRPr="00867D72">
        <w:rPr>
          <w:rStyle w:val="FootnoteReference"/>
          <w:rFonts w:cs="Times New Roman"/>
        </w:rPr>
        <w:footnoteRef/>
      </w:r>
      <w:r w:rsidRPr="00867D72">
        <w:rPr>
          <w:rFonts w:cs="Times New Roman"/>
        </w:rPr>
        <w:t xml:space="preserve"> </w:t>
      </w:r>
      <w:r w:rsidRPr="00867D72">
        <w:rPr>
          <w:rFonts w:cs="Times New Roman"/>
          <w:i/>
          <w:iCs/>
        </w:rPr>
        <w:t>In re: Roundup Products Liability Litigation</w:t>
      </w:r>
      <w:r w:rsidRPr="00867D72">
        <w:rPr>
          <w:rFonts w:cs="Times New Roman"/>
        </w:rPr>
        <w:t xml:space="preserve"> (MDL No. 2741); </w:t>
      </w:r>
      <w:r w:rsidRPr="00867D72">
        <w:rPr>
          <w:rFonts w:cs="Times New Roman"/>
          <w:i/>
          <w:iCs/>
        </w:rPr>
        <w:t>In re: Johnson &amp; Johnson Talcum Powder Litigation</w:t>
      </w:r>
      <w:r w:rsidRPr="00867D72">
        <w:rPr>
          <w:rFonts w:cs="Times New Roman"/>
        </w:rPr>
        <w:t xml:space="preserve"> (MDL No. 2738).</w:t>
      </w:r>
    </w:p>
  </w:footnote>
  <w:footnote w:id="24">
    <w:p w14:paraId="33582E07" w14:textId="77777777" w:rsidR="009964D4" w:rsidRPr="00867D72" w:rsidRDefault="009964D4" w:rsidP="009964D4">
      <w:pPr>
        <w:pStyle w:val="FootnoteText"/>
        <w:jc w:val="both"/>
        <w:rPr>
          <w:rFonts w:cs="Times New Roman"/>
        </w:rPr>
      </w:pPr>
      <w:r w:rsidRPr="00867D72">
        <w:rPr>
          <w:rStyle w:val="FootnoteReference"/>
          <w:rFonts w:cs="Times New Roman"/>
        </w:rPr>
        <w:footnoteRef/>
      </w:r>
      <w:r w:rsidRPr="00867D72">
        <w:rPr>
          <w:rFonts w:cs="Times New Roman"/>
        </w:rPr>
        <w:t xml:space="preserve"> </w:t>
      </w:r>
      <w:r w:rsidRPr="0004760C">
        <w:rPr>
          <w:rFonts w:cs="Times New Roman"/>
          <w:i/>
          <w:iCs/>
        </w:rPr>
        <w:t>See</w:t>
      </w:r>
      <w:r>
        <w:rPr>
          <w:rFonts w:cs="Times New Roman"/>
        </w:rPr>
        <w:t xml:space="preserve"> </w:t>
      </w:r>
      <w:r w:rsidRPr="00A202CF">
        <w:rPr>
          <w:rFonts w:cs="Times New Roman"/>
          <w:smallCaps/>
        </w:rPr>
        <w:t>Manual for Complex Litigation,</w:t>
      </w:r>
      <w:r>
        <w:rPr>
          <w:rFonts w:cs="Times New Roman"/>
        </w:rPr>
        <w:t xml:space="preserve"> § 22.35 (4</w:t>
      </w:r>
      <w:r w:rsidRPr="0004760C">
        <w:rPr>
          <w:rFonts w:cs="Times New Roman"/>
          <w:vertAlign w:val="superscript"/>
        </w:rPr>
        <w:t>th</w:t>
      </w:r>
      <w:r>
        <w:rPr>
          <w:rFonts w:cs="Times New Roman"/>
        </w:rPr>
        <w:t xml:space="preserve"> Ed.2004); </w:t>
      </w:r>
      <w:r w:rsidRPr="0004760C">
        <w:rPr>
          <w:rFonts w:cs="Times New Roman"/>
          <w:i/>
          <w:iCs/>
        </w:rPr>
        <w:t>see also</w:t>
      </w:r>
      <w:r>
        <w:rPr>
          <w:rFonts w:cs="Times New Roman"/>
        </w:rPr>
        <w:t xml:space="preserve">, </w:t>
      </w:r>
      <w:r w:rsidRPr="00867D72">
        <w:rPr>
          <w:rFonts w:cs="Times New Roman"/>
          <w:i/>
          <w:iCs/>
        </w:rPr>
        <w:t>In re: Social Media Adolescent Addiction/Personal Injury Products Liability Litigation</w:t>
      </w:r>
      <w:r w:rsidRPr="00867D72">
        <w:rPr>
          <w:rFonts w:cs="Times New Roman"/>
        </w:rPr>
        <w:t xml:space="preserve"> (MDL No. 3047).</w:t>
      </w:r>
    </w:p>
  </w:footnote>
  <w:footnote w:id="25">
    <w:p w14:paraId="58EA8677" w14:textId="77777777" w:rsidR="009964D4" w:rsidRPr="004579CE" w:rsidRDefault="009964D4" w:rsidP="009964D4">
      <w:pPr>
        <w:pStyle w:val="FootnoteText"/>
        <w:jc w:val="both"/>
        <w:rPr>
          <w:rFonts w:ascii="Century Schoolbook" w:hAnsi="Century Schoolbook"/>
        </w:rPr>
      </w:pPr>
      <w:r w:rsidRPr="00867D72">
        <w:rPr>
          <w:rStyle w:val="FootnoteReference"/>
          <w:rFonts w:cs="Times New Roman"/>
        </w:rPr>
        <w:footnoteRef/>
      </w:r>
      <w:r w:rsidRPr="00867D72">
        <w:rPr>
          <w:rFonts w:cs="Times New Roman"/>
        </w:rPr>
        <w:t xml:space="preserve"> </w:t>
      </w:r>
      <w:r w:rsidRPr="00867D72">
        <w:rPr>
          <w:rFonts w:cs="Times New Roman"/>
          <w:i/>
          <w:iCs/>
        </w:rPr>
        <w:t>In re: Roundup Products Liability Litigation</w:t>
      </w:r>
      <w:r w:rsidRPr="00867D72">
        <w:rPr>
          <w:rFonts w:cs="Times New Roman"/>
        </w:rPr>
        <w:t xml:space="preserve"> (MDL No. 2741); </w:t>
      </w:r>
      <w:r w:rsidRPr="00867D72">
        <w:rPr>
          <w:rFonts w:cs="Times New Roman"/>
          <w:i/>
          <w:iCs/>
        </w:rPr>
        <w:t xml:space="preserve">In re: Johnson &amp; Johnson Talcum Powder Litigation </w:t>
      </w:r>
      <w:r w:rsidRPr="00867D72">
        <w:rPr>
          <w:rFonts w:cs="Times New Roman"/>
        </w:rPr>
        <w:t>(MDL No. 2738).</w:t>
      </w:r>
      <w:r w:rsidRPr="004579CE">
        <w:rPr>
          <w:rFonts w:ascii="Century Schoolbook" w:hAnsi="Century Schoolbook"/>
        </w:rPr>
        <w:t xml:space="preserve"> </w:t>
      </w:r>
    </w:p>
  </w:footnote>
  <w:footnote w:id="26">
    <w:p w14:paraId="3835631A" w14:textId="77777777" w:rsidR="009964D4" w:rsidRDefault="009964D4" w:rsidP="009964D4">
      <w:pPr>
        <w:pStyle w:val="FootnoteText"/>
      </w:pPr>
      <w:r>
        <w:rPr>
          <w:rStyle w:val="FootnoteReference"/>
        </w:rPr>
        <w:footnoteRef/>
      </w:r>
      <w:r>
        <w:t xml:space="preserve"> </w:t>
      </w:r>
      <w:r w:rsidRPr="0060162F">
        <w:rPr>
          <w:rFonts w:cs="Times New Roman"/>
          <w:i/>
          <w:iCs/>
        </w:rPr>
        <w:t xml:space="preserve">See In Re: Bard Implanted </w:t>
      </w:r>
      <w:r>
        <w:rPr>
          <w:rFonts w:cs="Times New Roman"/>
          <w:i/>
          <w:iCs/>
        </w:rPr>
        <w:t>P</w:t>
      </w:r>
      <w:r w:rsidRPr="0060162F">
        <w:rPr>
          <w:rFonts w:cs="Times New Roman"/>
          <w:i/>
          <w:iCs/>
        </w:rPr>
        <w:t xml:space="preserve">ort Catheter Prod. </w:t>
      </w:r>
      <w:proofErr w:type="spellStart"/>
      <w:r w:rsidRPr="0060162F">
        <w:rPr>
          <w:rFonts w:cs="Times New Roman"/>
          <w:i/>
          <w:iCs/>
        </w:rPr>
        <w:t>Liab</w:t>
      </w:r>
      <w:proofErr w:type="spellEnd"/>
      <w:r w:rsidRPr="0060162F">
        <w:rPr>
          <w:rFonts w:cs="Times New Roman"/>
          <w:i/>
          <w:iCs/>
        </w:rPr>
        <w:t>. Litig</w:t>
      </w:r>
      <w:r>
        <w:rPr>
          <w:rFonts w:cs="Times New Roman"/>
        </w:rPr>
        <w:t>., MDL No. 3081, Case Management Order No. 21 (April 23, 20243) (case-management order containing deposition protocol).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E46F5"/>
    <w:multiLevelType w:val="hybridMultilevel"/>
    <w:tmpl w:val="EA323808"/>
    <w:lvl w:ilvl="0" w:tplc="2EA82F7A">
      <w:start w:val="1"/>
      <w:numFmt w:val="lowerRoman"/>
      <w:lvlText w:val="(%1)"/>
      <w:lvlJc w:val="left"/>
      <w:pPr>
        <w:ind w:left="144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FB2456"/>
    <w:multiLevelType w:val="hybridMultilevel"/>
    <w:tmpl w:val="7F1C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5437F6"/>
    <w:multiLevelType w:val="hybridMultilevel"/>
    <w:tmpl w:val="E3BA104E"/>
    <w:lvl w:ilvl="0" w:tplc="8F74FFF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31956048">
    <w:abstractNumId w:val="0"/>
  </w:num>
  <w:num w:numId="2" w16cid:durableId="654338716">
    <w:abstractNumId w:val="1"/>
  </w:num>
  <w:num w:numId="3" w16cid:durableId="670109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D4"/>
    <w:rsid w:val="00446767"/>
    <w:rsid w:val="007213F0"/>
    <w:rsid w:val="009964D4"/>
    <w:rsid w:val="00C624D6"/>
    <w:rsid w:val="00C654FF"/>
    <w:rsid w:val="00C95781"/>
    <w:rsid w:val="00C971A6"/>
    <w:rsid w:val="00E87985"/>
    <w:rsid w:val="00F70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8459A"/>
  <w15:chartTrackingRefBased/>
  <w15:docId w15:val="{F1B61352-9D81-4A51-824E-A5D72AF11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4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64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64D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64D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964D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964D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964D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964D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964D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4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64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64D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64D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964D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964D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964D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964D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964D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96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4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4D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4D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964D4"/>
    <w:pPr>
      <w:spacing w:before="160"/>
      <w:jc w:val="center"/>
    </w:pPr>
    <w:rPr>
      <w:i/>
      <w:iCs/>
      <w:color w:val="404040" w:themeColor="text1" w:themeTint="BF"/>
    </w:rPr>
  </w:style>
  <w:style w:type="character" w:customStyle="1" w:styleId="QuoteChar">
    <w:name w:val="Quote Char"/>
    <w:basedOn w:val="DefaultParagraphFont"/>
    <w:link w:val="Quote"/>
    <w:uiPriority w:val="29"/>
    <w:rsid w:val="009964D4"/>
    <w:rPr>
      <w:i/>
      <w:iCs/>
      <w:color w:val="404040" w:themeColor="text1" w:themeTint="BF"/>
    </w:rPr>
  </w:style>
  <w:style w:type="paragraph" w:styleId="ListParagraph">
    <w:name w:val="List Paragraph"/>
    <w:basedOn w:val="Normal"/>
    <w:uiPriority w:val="34"/>
    <w:qFormat/>
    <w:rsid w:val="009964D4"/>
    <w:pPr>
      <w:ind w:left="720"/>
      <w:contextualSpacing/>
    </w:pPr>
  </w:style>
  <w:style w:type="character" w:styleId="IntenseEmphasis">
    <w:name w:val="Intense Emphasis"/>
    <w:basedOn w:val="DefaultParagraphFont"/>
    <w:uiPriority w:val="21"/>
    <w:qFormat/>
    <w:rsid w:val="009964D4"/>
    <w:rPr>
      <w:i/>
      <w:iCs/>
      <w:color w:val="0F4761" w:themeColor="accent1" w:themeShade="BF"/>
    </w:rPr>
  </w:style>
  <w:style w:type="paragraph" w:styleId="IntenseQuote">
    <w:name w:val="Intense Quote"/>
    <w:basedOn w:val="Normal"/>
    <w:next w:val="Normal"/>
    <w:link w:val="IntenseQuoteChar"/>
    <w:uiPriority w:val="30"/>
    <w:qFormat/>
    <w:rsid w:val="009964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64D4"/>
    <w:rPr>
      <w:i/>
      <w:iCs/>
      <w:color w:val="0F4761" w:themeColor="accent1" w:themeShade="BF"/>
    </w:rPr>
  </w:style>
  <w:style w:type="character" w:styleId="IntenseReference">
    <w:name w:val="Intense Reference"/>
    <w:basedOn w:val="DefaultParagraphFont"/>
    <w:uiPriority w:val="32"/>
    <w:qFormat/>
    <w:rsid w:val="009964D4"/>
    <w:rPr>
      <w:b/>
      <w:bCs/>
      <w:smallCaps/>
      <w:color w:val="0F4761" w:themeColor="accent1" w:themeShade="BF"/>
      <w:spacing w:val="5"/>
    </w:rPr>
  </w:style>
  <w:style w:type="paragraph" w:styleId="NoSpacing">
    <w:name w:val="No Spacing"/>
    <w:uiPriority w:val="1"/>
    <w:qFormat/>
    <w:rsid w:val="009964D4"/>
    <w:pPr>
      <w:spacing w:after="0" w:line="240" w:lineRule="auto"/>
    </w:pPr>
  </w:style>
  <w:style w:type="character" w:styleId="Hyperlink">
    <w:name w:val="Hyperlink"/>
    <w:basedOn w:val="DefaultParagraphFont"/>
    <w:uiPriority w:val="99"/>
    <w:unhideWhenUsed/>
    <w:rsid w:val="009964D4"/>
    <w:rPr>
      <w:color w:val="467886" w:themeColor="hyperlink"/>
      <w:u w:val="single"/>
    </w:rPr>
  </w:style>
  <w:style w:type="paragraph" w:styleId="FootnoteText">
    <w:name w:val="footnote text"/>
    <w:basedOn w:val="Normal"/>
    <w:link w:val="FootnoteTextChar"/>
    <w:uiPriority w:val="99"/>
    <w:unhideWhenUsed/>
    <w:rsid w:val="009964D4"/>
    <w:pPr>
      <w:spacing w:after="0" w:line="240" w:lineRule="auto"/>
    </w:pPr>
    <w:rPr>
      <w:color w:val="000000" w:themeColor="text1"/>
      <w:kern w:val="0"/>
      <w:sz w:val="20"/>
      <w:szCs w:val="20"/>
      <w14:ligatures w14:val="none"/>
    </w:rPr>
  </w:style>
  <w:style w:type="character" w:customStyle="1" w:styleId="FootnoteTextChar">
    <w:name w:val="Footnote Text Char"/>
    <w:basedOn w:val="DefaultParagraphFont"/>
    <w:link w:val="FootnoteText"/>
    <w:uiPriority w:val="99"/>
    <w:rsid w:val="009964D4"/>
    <w:rPr>
      <w:color w:val="000000" w:themeColor="text1"/>
      <w:kern w:val="0"/>
      <w:sz w:val="20"/>
      <w:szCs w:val="20"/>
      <w14:ligatures w14:val="none"/>
    </w:rPr>
  </w:style>
  <w:style w:type="character" w:styleId="FootnoteReference">
    <w:name w:val="footnote reference"/>
    <w:basedOn w:val="DefaultParagraphFont"/>
    <w:uiPriority w:val="99"/>
    <w:semiHidden/>
    <w:unhideWhenUsed/>
    <w:rsid w:val="009964D4"/>
    <w:rPr>
      <w:vertAlign w:val="superscript"/>
    </w:rPr>
  </w:style>
  <w:style w:type="character" w:styleId="Emphasis">
    <w:name w:val="Emphasis"/>
    <w:basedOn w:val="DefaultParagraphFont"/>
    <w:uiPriority w:val="20"/>
    <w:qFormat/>
    <w:rsid w:val="009964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2781</Words>
  <Characters>15854</Characters>
  <Application>Microsoft Office Word</Application>
  <DocSecurity>0</DocSecurity>
  <Lines>132</Lines>
  <Paragraphs>37</Paragraphs>
  <ScaleCrop>false</ScaleCrop>
  <Company/>
  <LinksUpToDate>false</LinksUpToDate>
  <CharactersWithSpaces>18598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Rabiej</dc:creator>
  <cp:keywords/>
  <dc:description/>
  <cp:lastModifiedBy>John Rabiej</cp:lastModifiedBy>
  <cp:revision>1</cp:revision>
  <dcterms:created xsi:type="dcterms:W3CDTF">2025-02-17T13:23:00Z</dcterms:created>
  <dcterms:modified xsi:type="dcterms:W3CDTF">2025-02-17T13:28:00Z</dcterms:modified>
</cp:coreProperties>
</file>