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2D12" w14:textId="77777777" w:rsidR="004B49A5" w:rsidRDefault="00000000">
      <w:pPr>
        <w:tabs>
          <w:tab w:val="center" w:pos="8803"/>
        </w:tabs>
        <w:spacing w:after="1" w:line="259" w:lineRule="auto"/>
        <w:ind w:left="-15" w:firstLine="0"/>
      </w:pPr>
      <w:r>
        <w:t xml:space="preserve"> </w:t>
      </w:r>
      <w:r>
        <w:tab/>
      </w:r>
      <w:r>
        <w:rPr>
          <w:b/>
          <w:sz w:val="24"/>
        </w:rPr>
        <w:t xml:space="preserve">FILED </w:t>
      </w:r>
    </w:p>
    <w:p w14:paraId="6095D498" w14:textId="77777777" w:rsidR="004B49A5" w:rsidRDefault="00000000">
      <w:pPr>
        <w:tabs>
          <w:tab w:val="right" w:pos="10376"/>
        </w:tabs>
        <w:spacing w:after="1" w:line="259" w:lineRule="auto"/>
        <w:ind w:left="-15" w:firstLine="0"/>
      </w:pPr>
      <w:r>
        <w:rPr>
          <w:sz w:val="40"/>
          <w:vertAlign w:val="subscript"/>
        </w:rPr>
        <w:t xml:space="preserve"> </w:t>
      </w:r>
      <w:r>
        <w:rPr>
          <w:sz w:val="40"/>
          <w:vertAlign w:val="subscript"/>
        </w:rPr>
        <w:tab/>
      </w:r>
      <w:r>
        <w:rPr>
          <w:b/>
          <w:sz w:val="24"/>
        </w:rPr>
        <w:t xml:space="preserve">United States Court of Appeals </w:t>
      </w:r>
    </w:p>
    <w:p w14:paraId="6F09A8E0" w14:textId="77777777" w:rsidR="004B49A5" w:rsidRDefault="00000000">
      <w:pPr>
        <w:tabs>
          <w:tab w:val="center" w:pos="4801"/>
          <w:tab w:val="center" w:pos="8802"/>
        </w:tabs>
        <w:spacing w:after="427" w:line="259" w:lineRule="auto"/>
        <w:ind w:left="0" w:firstLine="0"/>
      </w:pPr>
      <w:r>
        <w:rPr>
          <w:rFonts w:ascii="Calibri" w:eastAsia="Calibri" w:hAnsi="Calibri" w:cs="Calibri"/>
          <w:sz w:val="22"/>
        </w:rPr>
        <w:tab/>
      </w:r>
      <w:r>
        <w:rPr>
          <w:b/>
          <w:u w:val="single" w:color="000000"/>
        </w:rPr>
        <w:t>PUBLISH</w:t>
      </w:r>
      <w:r>
        <w:rPr>
          <w:b/>
        </w:rPr>
        <w:t xml:space="preserve"> </w:t>
      </w:r>
      <w:r>
        <w:rPr>
          <w:b/>
        </w:rPr>
        <w:tab/>
      </w:r>
      <w:r>
        <w:rPr>
          <w:b/>
          <w:sz w:val="24"/>
        </w:rPr>
        <w:t xml:space="preserve">Tenth Circuit </w:t>
      </w:r>
    </w:p>
    <w:p w14:paraId="60A09B86" w14:textId="77777777" w:rsidR="004B49A5" w:rsidRDefault="00000000">
      <w:pPr>
        <w:tabs>
          <w:tab w:val="center" w:pos="4799"/>
          <w:tab w:val="center" w:pos="8805"/>
        </w:tabs>
        <w:spacing w:after="183" w:line="259" w:lineRule="auto"/>
        <w:ind w:left="0" w:firstLine="0"/>
      </w:pPr>
      <w:r>
        <w:rPr>
          <w:rFonts w:ascii="Calibri" w:eastAsia="Calibri" w:hAnsi="Calibri" w:cs="Calibri"/>
          <w:sz w:val="22"/>
        </w:rPr>
        <w:tab/>
      </w:r>
      <w:r>
        <w:rPr>
          <w:b/>
        </w:rPr>
        <w:t xml:space="preserve">UNITED STATES COURT OF APPEALS </w:t>
      </w:r>
      <w:r>
        <w:rPr>
          <w:b/>
        </w:rPr>
        <w:tab/>
      </w:r>
      <w:r>
        <w:rPr>
          <w:b/>
          <w:sz w:val="28"/>
        </w:rPr>
        <w:t xml:space="preserve">February 28, 2023 </w:t>
      </w:r>
    </w:p>
    <w:p w14:paraId="0C7B5127" w14:textId="77777777" w:rsidR="004B49A5" w:rsidRDefault="00000000">
      <w:pPr>
        <w:spacing w:after="0" w:line="259" w:lineRule="auto"/>
        <w:ind w:left="0" w:right="332" w:firstLine="0"/>
        <w:jc w:val="right"/>
      </w:pPr>
      <w:r>
        <w:rPr>
          <w:b/>
          <w:sz w:val="24"/>
        </w:rPr>
        <w:t xml:space="preserve">Christopher M. Wolpert </w:t>
      </w:r>
    </w:p>
    <w:p w14:paraId="71E5071A" w14:textId="77777777" w:rsidR="004B49A5" w:rsidRDefault="00000000">
      <w:pPr>
        <w:pStyle w:val="Heading1"/>
        <w:tabs>
          <w:tab w:val="center" w:pos="4798"/>
          <w:tab w:val="center" w:pos="8800"/>
        </w:tabs>
        <w:spacing w:after="79" w:line="259" w:lineRule="auto"/>
        <w:ind w:left="0" w:right="0" w:firstLine="0"/>
        <w:jc w:val="left"/>
      </w:pPr>
      <w:r>
        <w:rPr>
          <w:rFonts w:ascii="Calibri" w:eastAsia="Calibri" w:hAnsi="Calibri" w:cs="Calibri"/>
          <w:b w:val="0"/>
          <w:sz w:val="22"/>
        </w:rPr>
        <w:tab/>
      </w:r>
      <w:r>
        <w:t xml:space="preserve">FOR THE TENTH CIRCUIT </w:t>
      </w:r>
      <w:r>
        <w:tab/>
      </w:r>
      <w:r>
        <w:rPr>
          <w:sz w:val="24"/>
        </w:rPr>
        <w:t xml:space="preserve">Clerk of Court </w:t>
      </w:r>
    </w:p>
    <w:p w14:paraId="7A4E6AA6" w14:textId="77777777" w:rsidR="004B49A5" w:rsidRDefault="00000000">
      <w:pPr>
        <w:spacing w:after="134" w:line="259" w:lineRule="auto"/>
        <w:ind w:left="3546" w:firstLine="0"/>
        <w:jc w:val="center"/>
      </w:pPr>
      <w:r>
        <w:rPr>
          <w:sz w:val="2"/>
        </w:rPr>
        <w:t xml:space="preserve"> </w:t>
      </w:r>
    </w:p>
    <w:p w14:paraId="2D5E6C66" w14:textId="77777777" w:rsidR="004B49A5" w:rsidRDefault="00000000">
      <w:pPr>
        <w:spacing w:after="166" w:line="259" w:lineRule="auto"/>
        <w:ind w:left="0" w:firstLine="0"/>
      </w:pPr>
      <w:r>
        <w:rPr>
          <w:b/>
          <w:sz w:val="16"/>
        </w:rPr>
        <w:t xml:space="preserve"> </w:t>
      </w:r>
    </w:p>
    <w:p w14:paraId="1A7155E8" w14:textId="77777777" w:rsidR="004B49A5" w:rsidRDefault="00000000">
      <w:pPr>
        <w:spacing w:line="259" w:lineRule="auto"/>
        <w:ind w:right="36"/>
      </w:pPr>
      <w:r>
        <w:t xml:space="preserve">In re: SYNGENTA AG MIR 162 CORN </w:t>
      </w:r>
    </w:p>
    <w:p w14:paraId="08F95863" w14:textId="77777777" w:rsidR="004B49A5" w:rsidRDefault="00000000">
      <w:pPr>
        <w:tabs>
          <w:tab w:val="center" w:pos="2412"/>
          <w:tab w:val="center" w:pos="7304"/>
        </w:tabs>
        <w:spacing w:line="259" w:lineRule="auto"/>
        <w:ind w:left="0" w:firstLine="0"/>
      </w:pPr>
      <w:r>
        <w:rPr>
          <w:rFonts w:ascii="Calibri" w:eastAsia="Calibri" w:hAnsi="Calibri" w:cs="Calibri"/>
          <w:sz w:val="22"/>
        </w:rPr>
        <w:tab/>
      </w:r>
      <w:r>
        <w:t>LITIGATION (Toups/Coffman Plaintiffs</w:t>
      </w:r>
      <w:proofErr w:type="gramStart"/>
      <w:r>
        <w:t xml:space="preserve">’ </w:t>
      </w:r>
      <w:r>
        <w:tab/>
        <w:t>Nos</w:t>
      </w:r>
      <w:proofErr w:type="gramEnd"/>
      <w:r>
        <w:t xml:space="preserve">. 19-3008, 19-3022, 19-3079, 19-3176, </w:t>
      </w:r>
    </w:p>
    <w:p w14:paraId="60C07CCB" w14:textId="77777777" w:rsidR="004B49A5" w:rsidRDefault="00000000">
      <w:pPr>
        <w:spacing w:after="328" w:line="259" w:lineRule="auto"/>
        <w:ind w:right="36"/>
      </w:pPr>
      <w:r>
        <w:t>Counsel)</w:t>
      </w:r>
      <w:r>
        <w:rPr>
          <w:rFonts w:ascii="Segoe UI Symbol" w:eastAsia="Segoe UI Symbol" w:hAnsi="Segoe UI Symbol" w:cs="Segoe UI Symbol"/>
          <w:vertAlign w:val="superscript"/>
        </w:rPr>
        <w:t></w:t>
      </w:r>
      <w:r>
        <w:rPr>
          <w:rFonts w:ascii="Segoe UI Symbol" w:eastAsia="Segoe UI Symbol" w:hAnsi="Segoe UI Symbol" w:cs="Segoe UI Symbol"/>
        </w:rPr>
        <w:t xml:space="preserve"> </w:t>
      </w:r>
      <w:r>
        <w:t xml:space="preserve">19-3280 </w:t>
      </w:r>
    </w:p>
    <w:p w14:paraId="538065BD" w14:textId="77777777" w:rsidR="004B49A5" w:rsidRDefault="00000000">
      <w:pPr>
        <w:spacing w:line="244" w:lineRule="auto"/>
        <w:ind w:right="5263"/>
      </w:pPr>
      <w:r>
        <w:t>––––––––––––––––––––––––––––––––––</w:t>
      </w:r>
      <w:proofErr w:type="gramStart"/>
      <w:r>
        <w:t>–  In</w:t>
      </w:r>
      <w:proofErr w:type="gramEnd"/>
      <w:r>
        <w:t xml:space="preserve"> re: SYNGENTA AG MIR 162 CORN </w:t>
      </w:r>
    </w:p>
    <w:p w14:paraId="7FCBF65F" w14:textId="77777777" w:rsidR="004B49A5" w:rsidRDefault="00000000">
      <w:pPr>
        <w:tabs>
          <w:tab w:val="center" w:pos="2341"/>
          <w:tab w:val="center" w:pos="7304"/>
        </w:tabs>
        <w:spacing w:line="259" w:lineRule="auto"/>
        <w:ind w:left="0" w:firstLine="0"/>
      </w:pPr>
      <w:r>
        <w:rPr>
          <w:rFonts w:ascii="Calibri" w:eastAsia="Calibri" w:hAnsi="Calibri" w:cs="Calibri"/>
          <w:sz w:val="22"/>
        </w:rPr>
        <w:tab/>
      </w:r>
      <w:r>
        <w:t xml:space="preserve">LITIGATION (Kansas Common Benefit </w:t>
      </w:r>
      <w:r>
        <w:tab/>
        <w:t xml:space="preserve">Nos. 19-3032, 20-3002 </w:t>
      </w:r>
    </w:p>
    <w:p w14:paraId="4EB79E3C" w14:textId="77777777" w:rsidR="004B49A5" w:rsidRDefault="00000000">
      <w:pPr>
        <w:spacing w:after="377" w:line="259" w:lineRule="auto"/>
        <w:ind w:right="36"/>
      </w:pPr>
      <w:proofErr w:type="gramStart"/>
      <w:r>
        <w:t>Firms)</w:t>
      </w:r>
      <w:r>
        <w:rPr>
          <w:vertAlign w:val="superscript"/>
        </w:rPr>
        <w:t>*</w:t>
      </w:r>
      <w:proofErr w:type="gramEnd"/>
      <w:r>
        <w:t xml:space="preserve"> </w:t>
      </w:r>
    </w:p>
    <w:p w14:paraId="753E4A39" w14:textId="77777777" w:rsidR="004B49A5" w:rsidRDefault="00000000">
      <w:pPr>
        <w:spacing w:after="273" w:line="259" w:lineRule="auto"/>
        <w:ind w:right="36"/>
      </w:pPr>
      <w:r>
        <w:t xml:space="preserve">–––––––––––––––––––––––––––––––––––  </w:t>
      </w:r>
    </w:p>
    <w:p w14:paraId="71B25228" w14:textId="77777777" w:rsidR="004B49A5" w:rsidRDefault="00000000">
      <w:pPr>
        <w:spacing w:line="259" w:lineRule="auto"/>
        <w:ind w:right="36"/>
      </w:pPr>
      <w:r>
        <w:t xml:space="preserve">In re: SYNGENTA AG MIR 162 CORN </w:t>
      </w:r>
    </w:p>
    <w:p w14:paraId="6106C6A2" w14:textId="77777777" w:rsidR="004B49A5" w:rsidRDefault="00000000">
      <w:pPr>
        <w:tabs>
          <w:tab w:val="center" w:pos="2131"/>
          <w:tab w:val="center" w:pos="7303"/>
        </w:tabs>
        <w:spacing w:after="358" w:line="259" w:lineRule="auto"/>
        <w:ind w:left="0" w:firstLine="0"/>
      </w:pPr>
      <w:r>
        <w:rPr>
          <w:rFonts w:ascii="Calibri" w:eastAsia="Calibri" w:hAnsi="Calibri" w:cs="Calibri"/>
          <w:sz w:val="22"/>
        </w:rPr>
        <w:tab/>
      </w:r>
      <w:r>
        <w:t>LITIGATION (Byrd/Shields Group</w:t>
      </w:r>
      <w:proofErr w:type="gramStart"/>
      <w:r>
        <w:t xml:space="preserve">) </w:t>
      </w:r>
      <w:r>
        <w:tab/>
        <w:t>No</w:t>
      </w:r>
      <w:proofErr w:type="gramEnd"/>
      <w:r>
        <w:t xml:space="preserve">. 19-3174 </w:t>
      </w:r>
    </w:p>
    <w:p w14:paraId="5BFF29AA" w14:textId="77777777" w:rsidR="004B49A5" w:rsidRDefault="00000000">
      <w:pPr>
        <w:spacing w:after="266" w:line="259" w:lineRule="auto"/>
        <w:ind w:right="36"/>
      </w:pPr>
      <w:r>
        <w:t xml:space="preserve">––––––––––––––––––––––––––––––––––– </w:t>
      </w:r>
    </w:p>
    <w:p w14:paraId="66EE3F6A" w14:textId="77777777" w:rsidR="004B49A5" w:rsidRDefault="00000000">
      <w:pPr>
        <w:spacing w:line="259" w:lineRule="auto"/>
        <w:ind w:right="36"/>
      </w:pPr>
      <w:r>
        <w:t xml:space="preserve">In re: SYNGENTA AG MIR 162 CORN </w:t>
      </w:r>
    </w:p>
    <w:p w14:paraId="5D03AB7C" w14:textId="77777777" w:rsidR="004B49A5" w:rsidRDefault="00000000">
      <w:pPr>
        <w:tabs>
          <w:tab w:val="center" w:pos="2297"/>
          <w:tab w:val="center" w:pos="7303"/>
        </w:tabs>
        <w:spacing w:line="259" w:lineRule="auto"/>
        <w:ind w:left="0" w:firstLine="0"/>
      </w:pPr>
      <w:r>
        <w:rPr>
          <w:rFonts w:ascii="Calibri" w:eastAsia="Calibri" w:hAnsi="Calibri" w:cs="Calibri"/>
          <w:sz w:val="22"/>
        </w:rPr>
        <w:tab/>
      </w:r>
      <w:r>
        <w:t>LITIGATION (Johnson Becker, PLLC</w:t>
      </w:r>
      <w:proofErr w:type="gramStart"/>
      <w:r>
        <w:t xml:space="preserve">) </w:t>
      </w:r>
      <w:r>
        <w:tab/>
        <w:t>No</w:t>
      </w:r>
      <w:proofErr w:type="gramEnd"/>
      <w:r>
        <w:t xml:space="preserve">. 19-3175 </w:t>
      </w:r>
    </w:p>
    <w:p w14:paraId="70D6960D" w14:textId="77777777" w:rsidR="004B49A5" w:rsidRDefault="00000000">
      <w:pPr>
        <w:spacing w:after="24" w:line="259" w:lineRule="auto"/>
        <w:ind w:left="0" w:firstLine="0"/>
      </w:pPr>
      <w:r>
        <w:t xml:space="preserve"> </w:t>
      </w:r>
    </w:p>
    <w:p w14:paraId="7347610A" w14:textId="77777777" w:rsidR="004B49A5" w:rsidRDefault="00000000">
      <w:pPr>
        <w:spacing w:line="259" w:lineRule="auto"/>
        <w:ind w:right="36"/>
      </w:pPr>
      <w:r>
        <w:t xml:space="preserve">––––––––––––––––––––––––––––––––––– </w:t>
      </w:r>
    </w:p>
    <w:p w14:paraId="1462A144" w14:textId="77777777" w:rsidR="004B49A5" w:rsidRDefault="00000000">
      <w:pPr>
        <w:spacing w:after="0" w:line="259" w:lineRule="auto"/>
        <w:ind w:left="0" w:firstLine="0"/>
      </w:pPr>
      <w:r>
        <w:t xml:space="preserve"> </w:t>
      </w:r>
    </w:p>
    <w:p w14:paraId="26D15F15" w14:textId="77777777" w:rsidR="004B49A5" w:rsidRDefault="00000000">
      <w:pPr>
        <w:spacing w:line="259" w:lineRule="auto"/>
        <w:ind w:right="36"/>
      </w:pPr>
      <w:r>
        <w:t xml:space="preserve">In re: Syngenta AG MIR162 (Hossley- </w:t>
      </w:r>
    </w:p>
    <w:p w14:paraId="49397701" w14:textId="77777777" w:rsidR="004B49A5" w:rsidRDefault="00000000">
      <w:pPr>
        <w:tabs>
          <w:tab w:val="center" w:pos="996"/>
          <w:tab w:val="center" w:pos="7303"/>
        </w:tabs>
        <w:spacing w:after="37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4DD7718" wp14:editId="0F2E9D60">
                <wp:simplePos x="0" y="0"/>
                <wp:positionH relativeFrom="column">
                  <wp:posOffset>1694510</wp:posOffset>
                </wp:positionH>
                <wp:positionV relativeFrom="paragraph">
                  <wp:posOffset>-4385630</wp:posOffset>
                </wp:positionV>
                <wp:extent cx="2724023" cy="5338318"/>
                <wp:effectExtent l="0" t="0" r="0" b="0"/>
                <wp:wrapNone/>
                <wp:docPr id="32508" name="Group 32508"/>
                <wp:cNvGraphicFramePr/>
                <a:graphic xmlns:a="http://schemas.openxmlformats.org/drawingml/2006/main">
                  <a:graphicData uri="http://schemas.microsoft.com/office/word/2010/wordprocessingGroup">
                    <wpg:wgp>
                      <wpg:cNvGrpSpPr/>
                      <wpg:grpSpPr>
                        <a:xfrm>
                          <a:off x="0" y="0"/>
                          <a:ext cx="2724023" cy="5338318"/>
                          <a:chOff x="0" y="0"/>
                          <a:chExt cx="2724023" cy="5338318"/>
                        </a:xfrm>
                      </wpg:grpSpPr>
                      <wps:wsp>
                        <wps:cNvPr id="111" name="Rectangle 111"/>
                        <wps:cNvSpPr/>
                        <wps:spPr>
                          <a:xfrm>
                            <a:off x="861568" y="2509934"/>
                            <a:ext cx="71956" cy="131403"/>
                          </a:xfrm>
                          <a:prstGeom prst="rect">
                            <a:avLst/>
                          </a:prstGeom>
                          <a:ln>
                            <a:noFill/>
                          </a:ln>
                        </wps:spPr>
                        <wps:txbx>
                          <w:txbxContent>
                            <w:p w14:paraId="64471C63" w14:textId="77777777" w:rsidR="004B49A5"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112" name="Rectangle 112"/>
                        <wps:cNvSpPr/>
                        <wps:spPr>
                          <a:xfrm>
                            <a:off x="914908" y="2488548"/>
                            <a:ext cx="71956" cy="159310"/>
                          </a:xfrm>
                          <a:prstGeom prst="rect">
                            <a:avLst/>
                          </a:prstGeom>
                          <a:ln>
                            <a:noFill/>
                          </a:ln>
                        </wps:spPr>
                        <wps:txbx>
                          <w:txbxContent>
                            <w:p w14:paraId="2FD7BDF5" w14:textId="77777777" w:rsidR="004B49A5" w:rsidRDefault="00000000">
                              <w:pPr>
                                <w:spacing w:after="160" w:line="259" w:lineRule="auto"/>
                                <w:ind w:left="0" w:firstLine="0"/>
                              </w:pPr>
                              <w:r>
                                <w:rPr>
                                  <w:sz w:val="17"/>
                                </w:rPr>
                                <w:t>*</w:t>
                              </w:r>
                            </w:p>
                          </w:txbxContent>
                        </wps:txbx>
                        <wps:bodyPr horzOverflow="overflow" vert="horz" lIns="0" tIns="0" rIns="0" bIns="0" rtlCol="0">
                          <a:noAutofit/>
                        </wps:bodyPr>
                      </wps:wsp>
                      <wps:wsp>
                        <wps:cNvPr id="149" name="Rectangle 149"/>
                        <wps:cNvSpPr/>
                        <wps:spPr>
                          <a:xfrm>
                            <a:off x="1373632" y="194597"/>
                            <a:ext cx="54727" cy="242331"/>
                          </a:xfrm>
                          <a:prstGeom prst="rect">
                            <a:avLst/>
                          </a:prstGeom>
                          <a:ln>
                            <a:noFill/>
                          </a:ln>
                        </wps:spPr>
                        <wps:txbx>
                          <w:txbxContent>
                            <w:p w14:paraId="2FC0390F"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72" name="Rectangle 172"/>
                        <wps:cNvSpPr/>
                        <wps:spPr>
                          <a:xfrm>
                            <a:off x="1373632" y="764574"/>
                            <a:ext cx="54727" cy="242331"/>
                          </a:xfrm>
                          <a:prstGeom prst="rect">
                            <a:avLst/>
                          </a:prstGeom>
                          <a:ln>
                            <a:noFill/>
                          </a:ln>
                        </wps:spPr>
                        <wps:txbx>
                          <w:txbxContent>
                            <w:p w14:paraId="1999F499"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74" name="Rectangle 174"/>
                        <wps:cNvSpPr/>
                        <wps:spPr>
                          <a:xfrm>
                            <a:off x="1373632" y="1144430"/>
                            <a:ext cx="54727" cy="242331"/>
                          </a:xfrm>
                          <a:prstGeom prst="rect">
                            <a:avLst/>
                          </a:prstGeom>
                          <a:ln>
                            <a:noFill/>
                          </a:ln>
                        </wps:spPr>
                        <wps:txbx>
                          <w:txbxContent>
                            <w:p w14:paraId="12FEBEB0"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85" name="Rectangle 185"/>
                        <wps:cNvSpPr/>
                        <wps:spPr>
                          <a:xfrm>
                            <a:off x="1373632" y="1523906"/>
                            <a:ext cx="54727" cy="242330"/>
                          </a:xfrm>
                          <a:prstGeom prst="rect">
                            <a:avLst/>
                          </a:prstGeom>
                          <a:ln>
                            <a:noFill/>
                          </a:ln>
                        </wps:spPr>
                        <wps:txbx>
                          <w:txbxContent>
                            <w:p w14:paraId="069A2474"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86" name="Rectangle 186"/>
                        <wps:cNvSpPr/>
                        <wps:spPr>
                          <a:xfrm>
                            <a:off x="1373632" y="1714406"/>
                            <a:ext cx="54727" cy="242330"/>
                          </a:xfrm>
                          <a:prstGeom prst="rect">
                            <a:avLst/>
                          </a:prstGeom>
                          <a:ln>
                            <a:noFill/>
                          </a:ln>
                        </wps:spPr>
                        <wps:txbx>
                          <w:txbxContent>
                            <w:p w14:paraId="468D8442"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88" name="Rectangle 188"/>
                        <wps:cNvSpPr/>
                        <wps:spPr>
                          <a:xfrm>
                            <a:off x="1373632" y="2093882"/>
                            <a:ext cx="54727" cy="242330"/>
                          </a:xfrm>
                          <a:prstGeom prst="rect">
                            <a:avLst/>
                          </a:prstGeom>
                          <a:ln>
                            <a:noFill/>
                          </a:ln>
                        </wps:spPr>
                        <wps:txbx>
                          <w:txbxContent>
                            <w:p w14:paraId="2B898D91"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89" name="Rectangle 189"/>
                        <wps:cNvSpPr/>
                        <wps:spPr>
                          <a:xfrm>
                            <a:off x="1373632" y="2284382"/>
                            <a:ext cx="54727" cy="242330"/>
                          </a:xfrm>
                          <a:prstGeom prst="rect">
                            <a:avLst/>
                          </a:prstGeom>
                          <a:ln>
                            <a:noFill/>
                          </a:ln>
                        </wps:spPr>
                        <wps:txbx>
                          <w:txbxContent>
                            <w:p w14:paraId="080BCF44"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96" name="Rectangle 196"/>
                        <wps:cNvSpPr/>
                        <wps:spPr>
                          <a:xfrm>
                            <a:off x="1373632" y="2663858"/>
                            <a:ext cx="54727" cy="242330"/>
                          </a:xfrm>
                          <a:prstGeom prst="rect">
                            <a:avLst/>
                          </a:prstGeom>
                          <a:ln>
                            <a:noFill/>
                          </a:ln>
                        </wps:spPr>
                        <wps:txbx>
                          <w:txbxContent>
                            <w:p w14:paraId="53748473"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97" name="Rectangle 197"/>
                        <wps:cNvSpPr/>
                        <wps:spPr>
                          <a:xfrm>
                            <a:off x="1373632" y="2852835"/>
                            <a:ext cx="54727" cy="242330"/>
                          </a:xfrm>
                          <a:prstGeom prst="rect">
                            <a:avLst/>
                          </a:prstGeom>
                          <a:ln>
                            <a:noFill/>
                          </a:ln>
                        </wps:spPr>
                        <wps:txbx>
                          <w:txbxContent>
                            <w:p w14:paraId="7589F3C6"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198" name="Rectangle 198"/>
                        <wps:cNvSpPr/>
                        <wps:spPr>
                          <a:xfrm>
                            <a:off x="1373632" y="3232311"/>
                            <a:ext cx="54727" cy="242330"/>
                          </a:xfrm>
                          <a:prstGeom prst="rect">
                            <a:avLst/>
                          </a:prstGeom>
                          <a:ln>
                            <a:noFill/>
                          </a:ln>
                        </wps:spPr>
                        <wps:txbx>
                          <w:txbxContent>
                            <w:p w14:paraId="3AAC554F"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205" name="Rectangle 205"/>
                        <wps:cNvSpPr/>
                        <wps:spPr>
                          <a:xfrm>
                            <a:off x="1373632" y="3612041"/>
                            <a:ext cx="54727" cy="242330"/>
                          </a:xfrm>
                          <a:prstGeom prst="rect">
                            <a:avLst/>
                          </a:prstGeom>
                          <a:ln>
                            <a:noFill/>
                          </a:ln>
                        </wps:spPr>
                        <wps:txbx>
                          <w:txbxContent>
                            <w:p w14:paraId="55B63C61"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206" name="Rectangle 206"/>
                        <wps:cNvSpPr/>
                        <wps:spPr>
                          <a:xfrm>
                            <a:off x="1373632" y="3802541"/>
                            <a:ext cx="54727" cy="242330"/>
                          </a:xfrm>
                          <a:prstGeom prst="rect">
                            <a:avLst/>
                          </a:prstGeom>
                          <a:ln>
                            <a:noFill/>
                          </a:ln>
                        </wps:spPr>
                        <wps:txbx>
                          <w:txbxContent>
                            <w:p w14:paraId="2112BB6F"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207" name="Rectangle 207"/>
                        <wps:cNvSpPr/>
                        <wps:spPr>
                          <a:xfrm>
                            <a:off x="1373632" y="3991517"/>
                            <a:ext cx="54727" cy="242330"/>
                          </a:xfrm>
                          <a:prstGeom prst="rect">
                            <a:avLst/>
                          </a:prstGeom>
                          <a:ln>
                            <a:noFill/>
                          </a:ln>
                        </wps:spPr>
                        <wps:txbx>
                          <w:txbxContent>
                            <w:p w14:paraId="2517A5E4"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208" name="Rectangle 208"/>
                        <wps:cNvSpPr/>
                        <wps:spPr>
                          <a:xfrm>
                            <a:off x="1373632" y="4182017"/>
                            <a:ext cx="54727" cy="242330"/>
                          </a:xfrm>
                          <a:prstGeom prst="rect">
                            <a:avLst/>
                          </a:prstGeom>
                          <a:ln>
                            <a:noFill/>
                          </a:ln>
                        </wps:spPr>
                        <wps:txbx>
                          <w:txbxContent>
                            <w:p w14:paraId="20F303CF" w14:textId="77777777" w:rsidR="004B49A5" w:rsidRDefault="00000000">
                              <w:pPr>
                                <w:spacing w:after="160" w:line="259" w:lineRule="auto"/>
                                <w:ind w:left="0" w:firstLine="0"/>
                              </w:pPr>
                              <w:r>
                                <w:t xml:space="preserve"> </w:t>
                              </w:r>
                            </w:p>
                          </w:txbxContent>
                        </wps:txbx>
                        <wps:bodyPr horzOverflow="overflow" vert="horz" lIns="0" tIns="0" rIns="0" bIns="0" rtlCol="0">
                          <a:noAutofit/>
                        </wps:bodyPr>
                      </wps:wsp>
                      <wps:wsp>
                        <wps:cNvPr id="308" name="Shape 308"/>
                        <wps:cNvSpPr/>
                        <wps:spPr>
                          <a:xfrm>
                            <a:off x="0" y="0"/>
                            <a:ext cx="2724023" cy="0"/>
                          </a:xfrm>
                          <a:custGeom>
                            <a:avLst/>
                            <a:gdLst/>
                            <a:ahLst/>
                            <a:cxnLst/>
                            <a:rect l="0" t="0" r="0" b="0"/>
                            <a:pathLst>
                              <a:path w="2724023">
                                <a:moveTo>
                                  <a:pt x="0" y="0"/>
                                </a:moveTo>
                                <a:lnTo>
                                  <a:pt x="2724023" y="0"/>
                                </a:lnTo>
                              </a:path>
                            </a:pathLst>
                          </a:custGeom>
                          <a:ln w="6614" cap="flat">
                            <a:round/>
                          </a:ln>
                        </wps:spPr>
                        <wps:style>
                          <a:lnRef idx="1">
                            <a:srgbClr val="000000"/>
                          </a:lnRef>
                          <a:fillRef idx="0">
                            <a:srgbClr val="000000">
                              <a:alpha val="0"/>
                            </a:srgbClr>
                          </a:fillRef>
                          <a:effectRef idx="0">
                            <a:scrgbClr r="0" g="0" b="0"/>
                          </a:effectRef>
                          <a:fontRef idx="none"/>
                        </wps:style>
                        <wps:bodyPr/>
                      </wps:wsp>
                      <wps:wsp>
                        <wps:cNvPr id="37052" name="Shape 37052"/>
                        <wps:cNvSpPr/>
                        <wps:spPr>
                          <a:xfrm>
                            <a:off x="1415415" y="187198"/>
                            <a:ext cx="12191" cy="5151120"/>
                          </a:xfrm>
                          <a:custGeom>
                            <a:avLst/>
                            <a:gdLst/>
                            <a:ahLst/>
                            <a:cxnLst/>
                            <a:rect l="0" t="0" r="0" b="0"/>
                            <a:pathLst>
                              <a:path w="12191" h="5151120">
                                <a:moveTo>
                                  <a:pt x="0" y="0"/>
                                </a:moveTo>
                                <a:lnTo>
                                  <a:pt x="12191" y="0"/>
                                </a:lnTo>
                                <a:lnTo>
                                  <a:pt x="12191" y="5151120"/>
                                </a:lnTo>
                                <a:lnTo>
                                  <a:pt x="0" y="51511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508" style="width:214.49pt;height:420.34pt;position:absolute;z-index:-2147483462;mso-position-horizontal-relative:text;mso-position-horizontal:absolute;margin-left:133.426pt;mso-position-vertical-relative:text;margin-top:-345.325pt;" coordsize="27240,53383">
                <v:rect id="Rectangle 111" style="position:absolute;width:719;height:1314;left:8615;top:25099;"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112" style="position:absolute;width:719;height:1593;left:9149;top:24885;" filled="f" stroked="f">
                  <v:textbox inset="0,0,0,0">
                    <w:txbxContent>
                      <w:p>
                        <w:pPr>
                          <w:spacing w:before="0" w:after="160" w:line="259" w:lineRule="auto"/>
                          <w:ind w:left="0" w:firstLine="0"/>
                        </w:pPr>
                        <w:r>
                          <w:rPr>
                            <w:sz w:val="17"/>
                          </w:rPr>
                          <w:t xml:space="preserve">*</w:t>
                        </w:r>
                      </w:p>
                    </w:txbxContent>
                  </v:textbox>
                </v:rect>
                <v:rect id="Rectangle 149" style="position:absolute;width:547;height:2423;left:13736;top:1945;" filled="f" stroked="f">
                  <v:textbox inset="0,0,0,0">
                    <w:txbxContent>
                      <w:p>
                        <w:pPr>
                          <w:spacing w:before="0" w:after="160" w:line="259" w:lineRule="auto"/>
                          <w:ind w:left="0" w:firstLine="0"/>
                        </w:pPr>
                        <w:r>
                          <w:rPr/>
                          <w:t xml:space="preserve"> </w:t>
                        </w:r>
                      </w:p>
                    </w:txbxContent>
                  </v:textbox>
                </v:rect>
                <v:rect id="Rectangle 172" style="position:absolute;width:547;height:2423;left:13736;top:7645;" filled="f" stroked="f">
                  <v:textbox inset="0,0,0,0">
                    <w:txbxContent>
                      <w:p>
                        <w:pPr>
                          <w:spacing w:before="0" w:after="160" w:line="259" w:lineRule="auto"/>
                          <w:ind w:left="0" w:firstLine="0"/>
                        </w:pPr>
                        <w:r>
                          <w:rPr/>
                          <w:t xml:space="preserve"> </w:t>
                        </w:r>
                      </w:p>
                    </w:txbxContent>
                  </v:textbox>
                </v:rect>
                <v:rect id="Rectangle 174" style="position:absolute;width:547;height:2423;left:13736;top:11444;" filled="f" stroked="f">
                  <v:textbox inset="0,0,0,0">
                    <w:txbxContent>
                      <w:p>
                        <w:pPr>
                          <w:spacing w:before="0" w:after="160" w:line="259" w:lineRule="auto"/>
                          <w:ind w:left="0" w:firstLine="0"/>
                        </w:pPr>
                        <w:r>
                          <w:rPr/>
                          <w:t xml:space="preserve"> </w:t>
                        </w:r>
                      </w:p>
                    </w:txbxContent>
                  </v:textbox>
                </v:rect>
                <v:rect id="Rectangle 185" style="position:absolute;width:547;height:2423;left:13736;top:15239;" filled="f" stroked="f">
                  <v:textbox inset="0,0,0,0">
                    <w:txbxContent>
                      <w:p>
                        <w:pPr>
                          <w:spacing w:before="0" w:after="160" w:line="259" w:lineRule="auto"/>
                          <w:ind w:left="0" w:firstLine="0"/>
                        </w:pPr>
                        <w:r>
                          <w:rPr/>
                          <w:t xml:space="preserve"> </w:t>
                        </w:r>
                      </w:p>
                    </w:txbxContent>
                  </v:textbox>
                </v:rect>
                <v:rect id="Rectangle 186" style="position:absolute;width:547;height:2423;left:13736;top:17144;" filled="f" stroked="f">
                  <v:textbox inset="0,0,0,0">
                    <w:txbxContent>
                      <w:p>
                        <w:pPr>
                          <w:spacing w:before="0" w:after="160" w:line="259" w:lineRule="auto"/>
                          <w:ind w:left="0" w:firstLine="0"/>
                        </w:pPr>
                        <w:r>
                          <w:rPr/>
                          <w:t xml:space="preserve"> </w:t>
                        </w:r>
                      </w:p>
                    </w:txbxContent>
                  </v:textbox>
                </v:rect>
                <v:rect id="Rectangle 188" style="position:absolute;width:547;height:2423;left:13736;top:20938;" filled="f" stroked="f">
                  <v:textbox inset="0,0,0,0">
                    <w:txbxContent>
                      <w:p>
                        <w:pPr>
                          <w:spacing w:before="0" w:after="160" w:line="259" w:lineRule="auto"/>
                          <w:ind w:left="0" w:firstLine="0"/>
                        </w:pPr>
                        <w:r>
                          <w:rPr/>
                          <w:t xml:space="preserve"> </w:t>
                        </w:r>
                      </w:p>
                    </w:txbxContent>
                  </v:textbox>
                </v:rect>
                <v:rect id="Rectangle 189" style="position:absolute;width:547;height:2423;left:13736;top:22843;" filled="f" stroked="f">
                  <v:textbox inset="0,0,0,0">
                    <w:txbxContent>
                      <w:p>
                        <w:pPr>
                          <w:spacing w:before="0" w:after="160" w:line="259" w:lineRule="auto"/>
                          <w:ind w:left="0" w:firstLine="0"/>
                        </w:pPr>
                        <w:r>
                          <w:rPr/>
                          <w:t xml:space="preserve"> </w:t>
                        </w:r>
                      </w:p>
                    </w:txbxContent>
                  </v:textbox>
                </v:rect>
                <v:rect id="Rectangle 196" style="position:absolute;width:547;height:2423;left:13736;top:26638;" filled="f" stroked="f">
                  <v:textbox inset="0,0,0,0">
                    <w:txbxContent>
                      <w:p>
                        <w:pPr>
                          <w:spacing w:before="0" w:after="160" w:line="259" w:lineRule="auto"/>
                          <w:ind w:left="0" w:firstLine="0"/>
                        </w:pPr>
                        <w:r>
                          <w:rPr/>
                          <w:t xml:space="preserve"> </w:t>
                        </w:r>
                      </w:p>
                    </w:txbxContent>
                  </v:textbox>
                </v:rect>
                <v:rect id="Rectangle 197" style="position:absolute;width:547;height:2423;left:13736;top:28528;" filled="f" stroked="f">
                  <v:textbox inset="0,0,0,0">
                    <w:txbxContent>
                      <w:p>
                        <w:pPr>
                          <w:spacing w:before="0" w:after="160" w:line="259" w:lineRule="auto"/>
                          <w:ind w:left="0" w:firstLine="0"/>
                        </w:pPr>
                        <w:r>
                          <w:rPr/>
                          <w:t xml:space="preserve"> </w:t>
                        </w:r>
                      </w:p>
                    </w:txbxContent>
                  </v:textbox>
                </v:rect>
                <v:rect id="Rectangle 198" style="position:absolute;width:547;height:2423;left:13736;top:32323;" filled="f" stroked="f">
                  <v:textbox inset="0,0,0,0">
                    <w:txbxContent>
                      <w:p>
                        <w:pPr>
                          <w:spacing w:before="0" w:after="160" w:line="259" w:lineRule="auto"/>
                          <w:ind w:left="0" w:firstLine="0"/>
                        </w:pPr>
                        <w:r>
                          <w:rPr/>
                          <w:t xml:space="preserve"> </w:t>
                        </w:r>
                      </w:p>
                    </w:txbxContent>
                  </v:textbox>
                </v:rect>
                <v:rect id="Rectangle 205" style="position:absolute;width:547;height:2423;left:13736;top:36120;" filled="f" stroked="f">
                  <v:textbox inset="0,0,0,0">
                    <w:txbxContent>
                      <w:p>
                        <w:pPr>
                          <w:spacing w:before="0" w:after="160" w:line="259" w:lineRule="auto"/>
                          <w:ind w:left="0" w:firstLine="0"/>
                        </w:pPr>
                        <w:r>
                          <w:rPr/>
                          <w:t xml:space="preserve"> </w:t>
                        </w:r>
                      </w:p>
                    </w:txbxContent>
                  </v:textbox>
                </v:rect>
                <v:rect id="Rectangle 206" style="position:absolute;width:547;height:2423;left:13736;top:38025;" filled="f" stroked="f">
                  <v:textbox inset="0,0,0,0">
                    <w:txbxContent>
                      <w:p>
                        <w:pPr>
                          <w:spacing w:before="0" w:after="160" w:line="259" w:lineRule="auto"/>
                          <w:ind w:left="0" w:firstLine="0"/>
                        </w:pPr>
                        <w:r>
                          <w:rPr/>
                          <w:t xml:space="preserve"> </w:t>
                        </w:r>
                      </w:p>
                    </w:txbxContent>
                  </v:textbox>
                </v:rect>
                <v:rect id="Rectangle 207" style="position:absolute;width:547;height:2423;left:13736;top:39915;" filled="f" stroked="f">
                  <v:textbox inset="0,0,0,0">
                    <w:txbxContent>
                      <w:p>
                        <w:pPr>
                          <w:spacing w:before="0" w:after="160" w:line="259" w:lineRule="auto"/>
                          <w:ind w:left="0" w:firstLine="0"/>
                        </w:pPr>
                        <w:r>
                          <w:rPr/>
                          <w:t xml:space="preserve"> </w:t>
                        </w:r>
                      </w:p>
                    </w:txbxContent>
                  </v:textbox>
                </v:rect>
                <v:rect id="Rectangle 208" style="position:absolute;width:547;height:2423;left:13736;top:41820;" filled="f" stroked="f">
                  <v:textbox inset="0,0,0,0">
                    <w:txbxContent>
                      <w:p>
                        <w:pPr>
                          <w:spacing w:before="0" w:after="160" w:line="259" w:lineRule="auto"/>
                          <w:ind w:left="0" w:firstLine="0"/>
                        </w:pPr>
                        <w:r>
                          <w:rPr/>
                          <w:t xml:space="preserve"> </w:t>
                        </w:r>
                      </w:p>
                    </w:txbxContent>
                  </v:textbox>
                </v:rect>
                <v:shape id="Shape 308" style="position:absolute;width:27240;height:0;left:0;top:0;" coordsize="2724023,0" path="m0,0l2724023,0">
                  <v:stroke weight="0.52079pt" endcap="flat" joinstyle="round" on="true" color="#000000"/>
                  <v:fill on="false" color="#000000" opacity="0"/>
                </v:shape>
                <v:shape id="Shape 37053" style="position:absolute;width:121;height:51511;left:14154;top:1871;" coordsize="12191,5151120" path="m0,0l12191,0l12191,5151120l0,5151120l0,0">
                  <v:stroke weight="0pt" endcap="flat" joinstyle="round" on="false" color="#000000" opacity="0"/>
                  <v:fill on="true" color="#000000"/>
                </v:shape>
              </v:group>
            </w:pict>
          </mc:Fallback>
        </mc:AlternateContent>
      </w:r>
      <w:r>
        <w:rPr>
          <w:rFonts w:ascii="Calibri" w:eastAsia="Calibri" w:hAnsi="Calibri" w:cs="Calibri"/>
          <w:sz w:val="22"/>
        </w:rPr>
        <w:tab/>
      </w:r>
      <w:r>
        <w:t>Embry Group</w:t>
      </w:r>
      <w:proofErr w:type="gramStart"/>
      <w:r>
        <w:t xml:space="preserve">) </w:t>
      </w:r>
      <w:r>
        <w:tab/>
        <w:t>No</w:t>
      </w:r>
      <w:proofErr w:type="gramEnd"/>
      <w:r>
        <w:t xml:space="preserve">. 19-3178 </w:t>
      </w:r>
    </w:p>
    <w:p w14:paraId="3C973B0E" w14:textId="77777777" w:rsidR="004B49A5" w:rsidRDefault="00000000">
      <w:pPr>
        <w:spacing w:after="276" w:line="259" w:lineRule="auto"/>
        <w:ind w:right="36"/>
      </w:pPr>
      <w:r>
        <w:t xml:space="preserve">––––––––––––––––––––––––––––––––––– </w:t>
      </w:r>
    </w:p>
    <w:p w14:paraId="10C14BD3" w14:textId="77777777" w:rsidR="004B49A5" w:rsidRDefault="00000000">
      <w:pPr>
        <w:spacing w:line="259" w:lineRule="auto"/>
        <w:ind w:right="36"/>
      </w:pPr>
      <w:r>
        <w:t xml:space="preserve">In re: SYNGENTA AG MIR 162 CORN </w:t>
      </w:r>
    </w:p>
    <w:p w14:paraId="628698EB" w14:textId="77777777" w:rsidR="004B49A5" w:rsidRDefault="00000000">
      <w:pPr>
        <w:spacing w:after="133" w:line="259" w:lineRule="auto"/>
        <w:ind w:left="120" w:firstLine="0"/>
      </w:pPr>
      <w:r>
        <w:rPr>
          <w:rFonts w:ascii="Calibri" w:eastAsia="Calibri" w:hAnsi="Calibri" w:cs="Calibri"/>
          <w:noProof/>
          <w:sz w:val="22"/>
        </w:rPr>
        <mc:AlternateContent>
          <mc:Choice Requires="wpg">
            <w:drawing>
              <wp:inline distT="0" distB="0" distL="0" distR="0" wp14:anchorId="0A58348F" wp14:editId="74E50CC4">
                <wp:extent cx="1828800" cy="8381"/>
                <wp:effectExtent l="0" t="0" r="0" b="0"/>
                <wp:docPr id="32507" name="Group 32507"/>
                <wp:cNvGraphicFramePr/>
                <a:graphic xmlns:a="http://schemas.openxmlformats.org/drawingml/2006/main">
                  <a:graphicData uri="http://schemas.microsoft.com/office/word/2010/wordprocessingGroup">
                    <wpg:wgp>
                      <wpg:cNvGrpSpPr/>
                      <wpg:grpSpPr>
                        <a:xfrm>
                          <a:off x="0" y="0"/>
                          <a:ext cx="1828800" cy="8381"/>
                          <a:chOff x="0" y="0"/>
                          <a:chExt cx="1828800" cy="8381"/>
                        </a:xfrm>
                      </wpg:grpSpPr>
                      <wps:wsp>
                        <wps:cNvPr id="37054" name="Shape 3705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07" style="width:144pt;height:0.659912pt;mso-position-horizontal-relative:char;mso-position-vertical-relative:line" coordsize="18288,83">
                <v:shape id="Shape 37055"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60A56335" w14:textId="77777777" w:rsidR="004B49A5" w:rsidRDefault="00000000">
      <w:pPr>
        <w:spacing w:after="305" w:line="240" w:lineRule="auto"/>
        <w:ind w:left="120" w:right="1158" w:firstLine="720"/>
        <w:jc w:val="both"/>
      </w:pPr>
      <w:r>
        <w:rPr>
          <w:rFonts w:ascii="Segoe UI Symbol" w:eastAsia="Segoe UI Symbol" w:hAnsi="Segoe UI Symbol" w:cs="Segoe UI Symbol"/>
          <w:vertAlign w:val="superscript"/>
        </w:rPr>
        <w:lastRenderedPageBreak/>
        <w:t></w:t>
      </w:r>
      <w:r>
        <w:rPr>
          <w:vertAlign w:val="superscript"/>
        </w:rPr>
        <w:t xml:space="preserve"> </w:t>
      </w:r>
      <w:r>
        <w:t xml:space="preserve">The parties to the appeals filed by Toups/Coffman Plaintiffs’ Counsel and the Kansas Common Benefits Firms can be found in the </w:t>
      </w:r>
      <w:r>
        <w:rPr>
          <w:i/>
        </w:rPr>
        <w:t xml:space="preserve">Joint Response on Parties to these Appeals </w:t>
      </w:r>
      <w:r>
        <w:t xml:space="preserve">filed on March 15, 2019. </w:t>
      </w:r>
    </w:p>
    <w:p w14:paraId="43DBE16A" w14:textId="77777777" w:rsidR="004B49A5" w:rsidRDefault="00000000">
      <w:pPr>
        <w:spacing w:line="255" w:lineRule="auto"/>
        <w:ind w:left="105" w:right="743" w:firstLine="720"/>
      </w:pPr>
      <w:r>
        <w:rPr>
          <w:vertAlign w:val="superscript"/>
        </w:rPr>
        <w:t>*</w:t>
      </w:r>
      <w:proofErr w:type="gramStart"/>
      <w:r>
        <w:rPr>
          <w:vertAlign w:val="superscript"/>
        </w:rPr>
        <w:t>*</w:t>
      </w:r>
      <w:r>
        <w:t xml:space="preserve"> </w:t>
      </w:r>
      <w:r>
        <w:tab/>
        <w:t>The</w:t>
      </w:r>
      <w:proofErr w:type="gramEnd"/>
      <w:r>
        <w:t xml:space="preserve"> parties to the appeals filed by the Byrd/Shields Group can be found in the </w:t>
      </w:r>
      <w:r>
        <w:rPr>
          <w:i/>
        </w:rPr>
        <w:t xml:space="preserve">Response on Parties to Appeal No. 19-3174 </w:t>
      </w:r>
      <w:r>
        <w:t xml:space="preserve">filed on September 18, 2019, the </w:t>
      </w:r>
      <w:r>
        <w:rPr>
          <w:i/>
        </w:rPr>
        <w:t xml:space="preserve">Supplemental Response on Parties to Appeal No. 19-3174 </w:t>
      </w:r>
      <w:r>
        <w:t xml:space="preserve">filed on October 9, 2019, and the court’s order of November 25, 2019. </w:t>
      </w:r>
    </w:p>
    <w:p w14:paraId="65636E55" w14:textId="77777777" w:rsidR="004B49A5" w:rsidRDefault="00000000">
      <w:pPr>
        <w:spacing w:after="152" w:line="259" w:lineRule="auto"/>
        <w:ind w:left="0" w:firstLine="0"/>
      </w:pPr>
      <w:r>
        <w:rPr>
          <w:sz w:val="20"/>
        </w:rPr>
        <w:t xml:space="preserve"> </w:t>
      </w:r>
    </w:p>
    <w:p w14:paraId="328C9004" w14:textId="77777777" w:rsidR="004B49A5" w:rsidRDefault="00000000">
      <w:pPr>
        <w:spacing w:after="0" w:line="259" w:lineRule="auto"/>
        <w:ind w:left="0" w:firstLine="0"/>
      </w:pPr>
      <w:r>
        <w:rPr>
          <w:sz w:val="20"/>
        </w:rPr>
        <w:t xml:space="preserve"> </w:t>
      </w:r>
    </w:p>
    <w:tbl>
      <w:tblPr>
        <w:tblStyle w:val="TableGrid"/>
        <w:tblW w:w="7766" w:type="dxa"/>
        <w:tblInd w:w="235" w:type="dxa"/>
        <w:tblLook w:val="04A0" w:firstRow="1" w:lastRow="0" w:firstColumn="1" w:lastColumn="0" w:noHBand="0" w:noVBand="1"/>
      </w:tblPr>
      <w:tblGrid>
        <w:gridCol w:w="6174"/>
        <w:gridCol w:w="1592"/>
      </w:tblGrid>
      <w:tr w:rsidR="004B49A5" w14:paraId="024AC958" w14:textId="77777777">
        <w:trPr>
          <w:trHeight w:val="2089"/>
        </w:trPr>
        <w:tc>
          <w:tcPr>
            <w:tcW w:w="6174" w:type="dxa"/>
            <w:tcBorders>
              <w:top w:val="nil"/>
              <w:left w:val="nil"/>
              <w:bottom w:val="nil"/>
              <w:right w:val="nil"/>
            </w:tcBorders>
          </w:tcPr>
          <w:p w14:paraId="557DBAD3" w14:textId="77777777" w:rsidR="004B49A5" w:rsidRDefault="00000000">
            <w:pPr>
              <w:spacing w:after="346" w:line="240" w:lineRule="auto"/>
              <w:ind w:left="0" w:right="1656" w:firstLine="0"/>
              <w:jc w:val="both"/>
            </w:pPr>
            <w:r>
              <w:t xml:space="preserve">LITIGATION (Law Office of Craig Eiland, P.C.) </w:t>
            </w:r>
          </w:p>
          <w:p w14:paraId="53751488" w14:textId="77777777" w:rsidR="004B49A5" w:rsidRDefault="00000000">
            <w:pPr>
              <w:spacing w:after="273" w:line="259" w:lineRule="auto"/>
              <w:ind w:left="0" w:firstLine="0"/>
            </w:pPr>
            <w:r>
              <w:t xml:space="preserve">––––––––––––––––––––––––––––––––––– </w:t>
            </w:r>
          </w:p>
          <w:p w14:paraId="4DA1841D" w14:textId="77777777" w:rsidR="004B49A5" w:rsidRDefault="00000000">
            <w:pPr>
              <w:spacing w:after="0" w:line="259" w:lineRule="auto"/>
              <w:ind w:left="0" w:firstLine="0"/>
            </w:pPr>
            <w:r>
              <w:t xml:space="preserve">In re: SYNGENTA AG MIR 162 CORN </w:t>
            </w:r>
          </w:p>
          <w:p w14:paraId="48563D27" w14:textId="77777777" w:rsidR="004B49A5" w:rsidRDefault="00000000">
            <w:pPr>
              <w:spacing w:after="0" w:line="259" w:lineRule="auto"/>
              <w:ind w:left="0" w:firstLine="0"/>
            </w:pPr>
            <w:r>
              <w:t xml:space="preserve">LITIGATION (Demerath Group) </w:t>
            </w:r>
          </w:p>
        </w:tc>
        <w:tc>
          <w:tcPr>
            <w:tcW w:w="1592" w:type="dxa"/>
            <w:tcBorders>
              <w:top w:val="nil"/>
              <w:left w:val="nil"/>
              <w:bottom w:val="nil"/>
              <w:right w:val="nil"/>
            </w:tcBorders>
          </w:tcPr>
          <w:p w14:paraId="2F74DB3C" w14:textId="77777777" w:rsidR="004B49A5" w:rsidRDefault="00000000">
            <w:pPr>
              <w:spacing w:after="0" w:line="259" w:lineRule="auto"/>
              <w:ind w:left="0" w:right="63" w:firstLine="0"/>
              <w:jc w:val="right"/>
            </w:pPr>
            <w:r>
              <w:t xml:space="preserve">No. 19-3279 </w:t>
            </w:r>
          </w:p>
          <w:p w14:paraId="310B4D03" w14:textId="77777777" w:rsidR="004B49A5" w:rsidRDefault="00000000">
            <w:pPr>
              <w:spacing w:after="0" w:line="259" w:lineRule="auto"/>
              <w:ind w:left="0" w:firstLine="0"/>
            </w:pPr>
            <w:r>
              <w:t xml:space="preserve"> </w:t>
            </w:r>
          </w:p>
          <w:p w14:paraId="1996391E" w14:textId="77777777" w:rsidR="004B49A5" w:rsidRDefault="00000000">
            <w:pPr>
              <w:spacing w:after="0" w:line="259" w:lineRule="auto"/>
              <w:ind w:left="0" w:firstLine="0"/>
            </w:pPr>
            <w:r>
              <w:t xml:space="preserve"> </w:t>
            </w:r>
          </w:p>
          <w:p w14:paraId="331A0340" w14:textId="77777777" w:rsidR="004B49A5" w:rsidRDefault="00000000">
            <w:pPr>
              <w:spacing w:after="0" w:line="259" w:lineRule="auto"/>
              <w:ind w:left="0" w:firstLine="0"/>
            </w:pPr>
            <w:r>
              <w:t xml:space="preserve"> </w:t>
            </w:r>
          </w:p>
          <w:p w14:paraId="07FB6F71" w14:textId="77777777" w:rsidR="004B49A5" w:rsidRDefault="00000000">
            <w:pPr>
              <w:spacing w:after="0" w:line="259" w:lineRule="auto"/>
              <w:ind w:left="0" w:firstLine="0"/>
            </w:pPr>
            <w:r>
              <w:t xml:space="preserve"> </w:t>
            </w:r>
          </w:p>
          <w:p w14:paraId="53EEF693" w14:textId="77777777" w:rsidR="004B49A5" w:rsidRDefault="00000000">
            <w:pPr>
              <w:spacing w:after="0" w:line="259" w:lineRule="auto"/>
              <w:ind w:left="0" w:firstLine="0"/>
            </w:pPr>
            <w:r>
              <w:t xml:space="preserve"> </w:t>
            </w:r>
          </w:p>
          <w:p w14:paraId="11764BE8" w14:textId="77777777" w:rsidR="004B49A5" w:rsidRDefault="00000000">
            <w:pPr>
              <w:spacing w:after="0" w:line="259" w:lineRule="auto"/>
              <w:ind w:left="0" w:right="63" w:firstLine="0"/>
              <w:jc w:val="right"/>
            </w:pPr>
            <w:r>
              <w:t xml:space="preserve">No. 19-3284 </w:t>
            </w:r>
          </w:p>
        </w:tc>
      </w:tr>
    </w:tbl>
    <w:p w14:paraId="0A1AE214" w14:textId="77777777" w:rsidR="004B49A5" w:rsidRDefault="00000000">
      <w:pPr>
        <w:spacing w:after="3" w:line="259" w:lineRule="auto"/>
        <w:ind w:left="132" w:right="897"/>
        <w:jc w:val="center"/>
      </w:pPr>
      <w:r>
        <w:t>2</w:t>
      </w:r>
    </w:p>
    <w:p w14:paraId="445FDA15" w14:textId="77777777" w:rsidR="004B49A5" w:rsidRDefault="00000000">
      <w:pPr>
        <w:spacing w:after="163" w:line="259" w:lineRule="auto"/>
        <w:ind w:left="0" w:firstLine="0"/>
      </w:pPr>
      <w:r>
        <w:rPr>
          <w:sz w:val="20"/>
        </w:rPr>
        <w:t xml:space="preserve"> </w:t>
      </w:r>
    </w:p>
    <w:p w14:paraId="2C3E26AC" w14:textId="77777777" w:rsidR="004B49A5" w:rsidRDefault="00000000">
      <w:pPr>
        <w:spacing w:after="333" w:line="259" w:lineRule="auto"/>
        <w:ind w:left="0" w:firstLine="0"/>
      </w:pPr>
      <w:r>
        <w:rPr>
          <w:sz w:val="20"/>
        </w:rPr>
        <w:t xml:space="preserve"> </w:t>
      </w:r>
      <w:r>
        <w:rPr>
          <w:sz w:val="3"/>
          <w:vertAlign w:val="subscript"/>
        </w:rPr>
        <w:t xml:space="preserve"> </w:t>
      </w:r>
    </w:p>
    <w:p w14:paraId="675E50E0" w14:textId="77777777" w:rsidR="004B49A5" w:rsidRDefault="00000000">
      <w:pPr>
        <w:pStyle w:val="Heading1"/>
        <w:ind w:left="2115" w:right="2820"/>
      </w:pPr>
      <w:r>
        <w:t xml:space="preserve">Appeals from the United States District Court for the District of Kansas (D.C. No. 2:14-MD-02591-JWL-JPO) </w:t>
      </w:r>
    </w:p>
    <w:p w14:paraId="28518AA7" w14:textId="77777777" w:rsidR="004B49A5" w:rsidRDefault="00000000">
      <w:pPr>
        <w:spacing w:after="20" w:line="259" w:lineRule="auto"/>
        <w:ind w:left="0" w:firstLine="0"/>
      </w:pPr>
      <w:r>
        <w:rPr>
          <w:b/>
          <w:sz w:val="20"/>
        </w:rPr>
        <w:t xml:space="preserve"> </w:t>
      </w:r>
    </w:p>
    <w:p w14:paraId="5B40E403" w14:textId="77777777" w:rsidR="004B49A5" w:rsidRDefault="00000000">
      <w:pPr>
        <w:spacing w:after="0" w:line="259" w:lineRule="auto"/>
        <w:ind w:left="0" w:firstLine="0"/>
      </w:pPr>
      <w:r>
        <w:rPr>
          <w:b/>
          <w:sz w:val="20"/>
        </w:rPr>
        <w:t xml:space="preserve"> </w:t>
      </w:r>
    </w:p>
    <w:p w14:paraId="63781B88" w14:textId="77777777" w:rsidR="004B49A5" w:rsidRDefault="00000000">
      <w:pPr>
        <w:spacing w:after="51" w:line="259" w:lineRule="auto"/>
        <w:ind w:left="2654" w:firstLine="0"/>
      </w:pPr>
      <w:r>
        <w:rPr>
          <w:rFonts w:ascii="Calibri" w:eastAsia="Calibri" w:hAnsi="Calibri" w:cs="Calibri"/>
          <w:noProof/>
          <w:sz w:val="22"/>
        </w:rPr>
        <mc:AlternateContent>
          <mc:Choice Requires="wpg">
            <w:drawing>
              <wp:inline distT="0" distB="0" distL="0" distR="0" wp14:anchorId="1227AB99" wp14:editId="16EED1BE">
                <wp:extent cx="2724023" cy="170815"/>
                <wp:effectExtent l="0" t="0" r="0" b="0"/>
                <wp:docPr id="32667" name="Group 32667"/>
                <wp:cNvGraphicFramePr/>
                <a:graphic xmlns:a="http://schemas.openxmlformats.org/drawingml/2006/main">
                  <a:graphicData uri="http://schemas.microsoft.com/office/word/2010/wordprocessingGroup">
                    <wpg:wgp>
                      <wpg:cNvGrpSpPr/>
                      <wpg:grpSpPr>
                        <a:xfrm>
                          <a:off x="0" y="0"/>
                          <a:ext cx="2724023" cy="170815"/>
                          <a:chOff x="0" y="0"/>
                          <a:chExt cx="2724023" cy="170815"/>
                        </a:xfrm>
                      </wpg:grpSpPr>
                      <wps:wsp>
                        <wps:cNvPr id="420" name="Shape 420"/>
                        <wps:cNvSpPr/>
                        <wps:spPr>
                          <a:xfrm>
                            <a:off x="0" y="0"/>
                            <a:ext cx="2724023" cy="0"/>
                          </a:xfrm>
                          <a:custGeom>
                            <a:avLst/>
                            <a:gdLst/>
                            <a:ahLst/>
                            <a:cxnLst/>
                            <a:rect l="0" t="0" r="0" b="0"/>
                            <a:pathLst>
                              <a:path w="2724023">
                                <a:moveTo>
                                  <a:pt x="0" y="0"/>
                                </a:moveTo>
                                <a:lnTo>
                                  <a:pt x="2724023" y="0"/>
                                </a:lnTo>
                              </a:path>
                            </a:pathLst>
                          </a:custGeom>
                          <a:ln w="6614" cap="flat">
                            <a:round/>
                          </a:ln>
                        </wps:spPr>
                        <wps:style>
                          <a:lnRef idx="1">
                            <a:srgbClr val="000000"/>
                          </a:lnRef>
                          <a:fillRef idx="0">
                            <a:srgbClr val="000000">
                              <a:alpha val="0"/>
                            </a:srgbClr>
                          </a:fillRef>
                          <a:effectRef idx="0">
                            <a:scrgbClr r="0" g="0" b="0"/>
                          </a:effectRef>
                          <a:fontRef idx="none"/>
                        </wps:style>
                        <wps:bodyPr/>
                      </wps:wsp>
                      <wps:wsp>
                        <wps:cNvPr id="421" name="Shape 421"/>
                        <wps:cNvSpPr/>
                        <wps:spPr>
                          <a:xfrm>
                            <a:off x="0" y="170815"/>
                            <a:ext cx="2724023" cy="0"/>
                          </a:xfrm>
                          <a:custGeom>
                            <a:avLst/>
                            <a:gdLst/>
                            <a:ahLst/>
                            <a:cxnLst/>
                            <a:rect l="0" t="0" r="0" b="0"/>
                            <a:pathLst>
                              <a:path w="2724023">
                                <a:moveTo>
                                  <a:pt x="0" y="0"/>
                                </a:moveTo>
                                <a:lnTo>
                                  <a:pt x="2724023" y="0"/>
                                </a:lnTo>
                              </a:path>
                            </a:pathLst>
                          </a:custGeom>
                          <a:ln w="66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667" style="width:214.49pt;height:13.45pt;mso-position-horizontal-relative:char;mso-position-vertical-relative:line" coordsize="27240,1708">
                <v:shape id="Shape 420" style="position:absolute;width:27240;height:0;left:0;top:0;" coordsize="2724023,0" path="m0,0l2724023,0">
                  <v:stroke weight="0.52079pt" endcap="flat" joinstyle="round" on="true" color="#000000"/>
                  <v:fill on="false" color="#000000" opacity="0"/>
                </v:shape>
                <v:shape id="Shape 421" style="position:absolute;width:27240;height:0;left:0;top:1708;" coordsize="2724023,0" path="m0,0l2724023,0">
                  <v:stroke weight="0.52079pt" endcap="flat" joinstyle="round" on="true" color="#000000"/>
                  <v:fill on="false" color="#000000" opacity="0"/>
                </v:shape>
              </v:group>
            </w:pict>
          </mc:Fallback>
        </mc:AlternateContent>
      </w:r>
    </w:p>
    <w:p w14:paraId="11C52573" w14:textId="77777777" w:rsidR="004B49A5" w:rsidRDefault="00000000">
      <w:pPr>
        <w:spacing w:after="36" w:line="259" w:lineRule="auto"/>
        <w:ind w:left="121" w:firstLine="0"/>
        <w:jc w:val="center"/>
      </w:pPr>
      <w:r>
        <w:rPr>
          <w:sz w:val="20"/>
        </w:rPr>
        <w:t xml:space="preserve">* </w:t>
      </w:r>
      <w:proofErr w:type="gramStart"/>
      <w:r>
        <w:rPr>
          <w:sz w:val="20"/>
        </w:rPr>
        <w:t>* *</w:t>
      </w:r>
      <w:proofErr w:type="gramEnd"/>
      <w:r>
        <w:rPr>
          <w:sz w:val="20"/>
        </w:rPr>
        <w:t xml:space="preserve">* </w:t>
      </w:r>
    </w:p>
    <w:p w14:paraId="533A559D" w14:textId="77777777" w:rsidR="004B49A5" w:rsidRDefault="00000000">
      <w:pPr>
        <w:spacing w:after="0" w:line="259" w:lineRule="auto"/>
        <w:ind w:left="0" w:firstLine="0"/>
      </w:pPr>
      <w:r>
        <w:t xml:space="preserve"> </w:t>
      </w:r>
    </w:p>
    <w:p w14:paraId="7FF341A5" w14:textId="77777777" w:rsidR="004B49A5" w:rsidRDefault="00000000">
      <w:pPr>
        <w:spacing w:line="259" w:lineRule="auto"/>
        <w:ind w:left="115" w:right="36"/>
      </w:pPr>
      <w:r>
        <w:t xml:space="preserve">Before </w:t>
      </w:r>
      <w:r>
        <w:rPr>
          <w:b/>
        </w:rPr>
        <w:t>HOLMES</w:t>
      </w:r>
      <w:r>
        <w:t xml:space="preserve">, Chief </w:t>
      </w:r>
      <w:proofErr w:type="gramStart"/>
      <w:r>
        <w:t>Judge, and</w:t>
      </w:r>
      <w:proofErr w:type="gramEnd"/>
      <w:r>
        <w:t xml:space="preserve"> </w:t>
      </w:r>
      <w:r>
        <w:rPr>
          <w:b/>
        </w:rPr>
        <w:t xml:space="preserve">BACHARACH </w:t>
      </w:r>
      <w:r>
        <w:t xml:space="preserve">and </w:t>
      </w:r>
      <w:proofErr w:type="spellStart"/>
      <w:r>
        <w:rPr>
          <w:b/>
        </w:rPr>
        <w:t>McHUGH</w:t>
      </w:r>
      <w:proofErr w:type="spellEnd"/>
      <w:r>
        <w:t xml:space="preserve">, Circuit Judges. </w:t>
      </w:r>
    </w:p>
    <w:p w14:paraId="322A6070" w14:textId="77777777" w:rsidR="004B49A5" w:rsidRDefault="00000000">
      <w:pPr>
        <w:spacing w:after="0" w:line="259" w:lineRule="auto"/>
        <w:ind w:left="0" w:firstLine="0"/>
      </w:pPr>
      <w:r>
        <w:rPr>
          <w:sz w:val="20"/>
        </w:rPr>
        <w:t xml:space="preserve"> </w:t>
      </w:r>
    </w:p>
    <w:p w14:paraId="1EC26827" w14:textId="77777777" w:rsidR="004B49A5" w:rsidRDefault="00000000">
      <w:pPr>
        <w:spacing w:after="313" w:line="259" w:lineRule="auto"/>
        <w:ind w:left="2654" w:firstLine="0"/>
      </w:pPr>
      <w:r>
        <w:rPr>
          <w:rFonts w:ascii="Calibri" w:eastAsia="Calibri" w:hAnsi="Calibri" w:cs="Calibri"/>
          <w:noProof/>
          <w:sz w:val="22"/>
        </w:rPr>
        <mc:AlternateContent>
          <mc:Choice Requires="wpg">
            <w:drawing>
              <wp:inline distT="0" distB="0" distL="0" distR="0" wp14:anchorId="62F13299" wp14:editId="5A2F09D9">
                <wp:extent cx="2724023" cy="6614"/>
                <wp:effectExtent l="0" t="0" r="0" b="0"/>
                <wp:docPr id="32668" name="Group 32668"/>
                <wp:cNvGraphicFramePr/>
                <a:graphic xmlns:a="http://schemas.openxmlformats.org/drawingml/2006/main">
                  <a:graphicData uri="http://schemas.microsoft.com/office/word/2010/wordprocessingGroup">
                    <wpg:wgp>
                      <wpg:cNvGrpSpPr/>
                      <wpg:grpSpPr>
                        <a:xfrm>
                          <a:off x="0" y="0"/>
                          <a:ext cx="2724023" cy="6614"/>
                          <a:chOff x="0" y="0"/>
                          <a:chExt cx="2724023" cy="6614"/>
                        </a:xfrm>
                      </wpg:grpSpPr>
                      <wps:wsp>
                        <wps:cNvPr id="422" name="Shape 422"/>
                        <wps:cNvSpPr/>
                        <wps:spPr>
                          <a:xfrm>
                            <a:off x="0" y="0"/>
                            <a:ext cx="2724023" cy="0"/>
                          </a:xfrm>
                          <a:custGeom>
                            <a:avLst/>
                            <a:gdLst/>
                            <a:ahLst/>
                            <a:cxnLst/>
                            <a:rect l="0" t="0" r="0" b="0"/>
                            <a:pathLst>
                              <a:path w="2724023">
                                <a:moveTo>
                                  <a:pt x="0" y="0"/>
                                </a:moveTo>
                                <a:lnTo>
                                  <a:pt x="2724023" y="0"/>
                                </a:lnTo>
                              </a:path>
                            </a:pathLst>
                          </a:custGeom>
                          <a:ln w="66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668" style="width:214.49pt;height:0.52079pt;mso-position-horizontal-relative:char;mso-position-vertical-relative:line" coordsize="27240,66">
                <v:shape id="Shape 422" style="position:absolute;width:27240;height:0;left:0;top:0;" coordsize="2724023,0" path="m0,0l2724023,0">
                  <v:stroke weight="0.52079pt" endcap="flat" joinstyle="round" on="true" color="#000000"/>
                  <v:fill on="false" color="#000000" opacity="0"/>
                </v:shape>
              </v:group>
            </w:pict>
          </mc:Fallback>
        </mc:AlternateContent>
      </w:r>
    </w:p>
    <w:p w14:paraId="2322743D" w14:textId="77777777" w:rsidR="004B49A5" w:rsidRDefault="00000000">
      <w:pPr>
        <w:spacing w:line="259" w:lineRule="auto"/>
        <w:ind w:left="115" w:right="36"/>
      </w:pPr>
      <w:r>
        <w:rPr>
          <w:b/>
        </w:rPr>
        <w:t>HOLMES</w:t>
      </w:r>
      <w:r>
        <w:t xml:space="preserve">, Chief Judge. </w:t>
      </w:r>
    </w:p>
    <w:p w14:paraId="7BD21A5A" w14:textId="77777777" w:rsidR="004B49A5" w:rsidRDefault="00000000">
      <w:pPr>
        <w:spacing w:after="0" w:line="259" w:lineRule="auto"/>
        <w:ind w:left="0" w:firstLine="0"/>
      </w:pPr>
      <w:r>
        <w:t xml:space="preserve"> </w:t>
      </w:r>
    </w:p>
    <w:p w14:paraId="4649F8DD" w14:textId="77777777" w:rsidR="004B49A5" w:rsidRDefault="00000000">
      <w:pPr>
        <w:ind w:left="105" w:right="36" w:firstLine="720"/>
      </w:pPr>
      <w:r>
        <w:t xml:space="preserve">These appeals concern attorneys’ fees awarded following a historic class action settlement. Numerous plaintiffs from multiple different states—but, mainly, Kansas, </w:t>
      </w:r>
    </w:p>
    <w:p w14:paraId="1EDD0E07" w14:textId="77777777" w:rsidR="004B49A5" w:rsidRDefault="00000000">
      <w:pPr>
        <w:ind w:left="115" w:right="433"/>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5999A3BF" wp14:editId="762BAF06">
                <wp:simplePos x="0" y="0"/>
                <wp:positionH relativeFrom="page">
                  <wp:posOffset>2533015</wp:posOffset>
                </wp:positionH>
                <wp:positionV relativeFrom="page">
                  <wp:posOffset>0</wp:posOffset>
                </wp:positionV>
                <wp:extent cx="2724023" cy="824357"/>
                <wp:effectExtent l="0" t="0" r="0" b="0"/>
                <wp:wrapTopAndBottom/>
                <wp:docPr id="32669" name="Group 32669"/>
                <wp:cNvGraphicFramePr/>
                <a:graphic xmlns:a="http://schemas.openxmlformats.org/drawingml/2006/main">
                  <a:graphicData uri="http://schemas.microsoft.com/office/word/2010/wordprocessingGroup">
                    <wpg:wgp>
                      <wpg:cNvGrpSpPr/>
                      <wpg:grpSpPr>
                        <a:xfrm>
                          <a:off x="0" y="0"/>
                          <a:ext cx="2724023" cy="824357"/>
                          <a:chOff x="0" y="0"/>
                          <a:chExt cx="2724023" cy="824357"/>
                        </a:xfrm>
                      </wpg:grpSpPr>
                      <wps:wsp>
                        <wps:cNvPr id="620" name="Shape 620"/>
                        <wps:cNvSpPr/>
                        <wps:spPr>
                          <a:xfrm>
                            <a:off x="0" y="824357"/>
                            <a:ext cx="2724023" cy="0"/>
                          </a:xfrm>
                          <a:custGeom>
                            <a:avLst/>
                            <a:gdLst/>
                            <a:ahLst/>
                            <a:cxnLst/>
                            <a:rect l="0" t="0" r="0" b="0"/>
                            <a:pathLst>
                              <a:path w="2724023">
                                <a:moveTo>
                                  <a:pt x="0" y="0"/>
                                </a:moveTo>
                                <a:lnTo>
                                  <a:pt x="2724023" y="0"/>
                                </a:lnTo>
                              </a:path>
                            </a:pathLst>
                          </a:custGeom>
                          <a:ln w="6614" cap="flat">
                            <a:round/>
                          </a:ln>
                        </wps:spPr>
                        <wps:style>
                          <a:lnRef idx="1">
                            <a:srgbClr val="000000"/>
                          </a:lnRef>
                          <a:fillRef idx="0">
                            <a:srgbClr val="000000">
                              <a:alpha val="0"/>
                            </a:srgbClr>
                          </a:fillRef>
                          <a:effectRef idx="0">
                            <a:scrgbClr r="0" g="0" b="0"/>
                          </a:effectRef>
                          <a:fontRef idx="none"/>
                        </wps:style>
                        <wps:bodyPr/>
                      </wps:wsp>
                      <wps:wsp>
                        <wps:cNvPr id="37056" name="Shape 37056"/>
                        <wps:cNvSpPr/>
                        <wps:spPr>
                          <a:xfrm>
                            <a:off x="1415415" y="0"/>
                            <a:ext cx="12191" cy="634111"/>
                          </a:xfrm>
                          <a:custGeom>
                            <a:avLst/>
                            <a:gdLst/>
                            <a:ahLst/>
                            <a:cxnLst/>
                            <a:rect l="0" t="0" r="0" b="0"/>
                            <a:pathLst>
                              <a:path w="12191" h="634111">
                                <a:moveTo>
                                  <a:pt x="0" y="0"/>
                                </a:moveTo>
                                <a:lnTo>
                                  <a:pt x="12191" y="0"/>
                                </a:lnTo>
                                <a:lnTo>
                                  <a:pt x="12191" y="634111"/>
                                </a:lnTo>
                                <a:lnTo>
                                  <a:pt x="0" y="63411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669" style="width:214.49pt;height:64.91pt;position:absolute;mso-position-horizontal-relative:page;mso-position-horizontal:absolute;margin-left:199.45pt;mso-position-vertical-relative:page;margin-top:0pt;" coordsize="27240,8243">
                <v:shape id="Shape 620" style="position:absolute;width:27240;height:0;left:0;top:8243;" coordsize="2724023,0" path="m0,0l2724023,0">
                  <v:stroke weight="0.52079pt" endcap="flat" joinstyle="round" on="true" color="#000000"/>
                  <v:fill on="false" color="#000000" opacity="0"/>
                </v:shape>
                <v:shape id="Shape 37057" style="position:absolute;width:121;height:6341;left:14154;top:0;" coordsize="12191,634111" path="m0,0l12191,0l12191,634111l0,634111l0,0">
                  <v:stroke weight="0pt" endcap="flat" joinstyle="round" on="false" color="#000000" opacity="0"/>
                  <v:fill on="true" color="#000000"/>
                </v:shape>
                <w10:wrap type="topAndBottom"/>
              </v:group>
            </w:pict>
          </mc:Fallback>
        </mc:AlternateContent>
      </w:r>
      <w:r>
        <w:t xml:space="preserve">Minnesota, and Illinois—sued Syngenta AG (“Syngenta”), an agricultural company. The suits against Syngenta were organized into complex, federal multi-district litigation </w:t>
      </w:r>
    </w:p>
    <w:p w14:paraId="216FF0EC" w14:textId="77777777" w:rsidR="004B49A5" w:rsidRDefault="00000000">
      <w:pPr>
        <w:spacing w:after="283" w:line="259" w:lineRule="auto"/>
        <w:ind w:left="115" w:right="36"/>
      </w:pPr>
      <w:r>
        <w:t xml:space="preserve">(“MDL”) based in a court in the United States District Court for the District of Kansas </w:t>
      </w:r>
    </w:p>
    <w:p w14:paraId="5E7A410F" w14:textId="77777777" w:rsidR="004B49A5" w:rsidRDefault="00000000">
      <w:pPr>
        <w:spacing w:after="273" w:line="259" w:lineRule="auto"/>
        <w:ind w:left="115" w:right="36"/>
      </w:pPr>
      <w:r>
        <w:t xml:space="preserve">(“Kansas district court”). Syngenta ultimately settled with the class action plaintiffs. The </w:t>
      </w:r>
    </w:p>
    <w:p w14:paraId="131EC68D" w14:textId="77777777" w:rsidR="004B49A5" w:rsidRDefault="00000000">
      <w:pPr>
        <w:spacing w:after="28"/>
        <w:ind w:left="115" w:right="152"/>
      </w:pPr>
      <w:proofErr w:type="gramStart"/>
      <w:r>
        <w:t>Kansas</w:t>
      </w:r>
      <w:proofErr w:type="gramEnd"/>
      <w:r>
        <w:t xml:space="preserve"> district court allocated approximately $503 million in attorneys’ fees and expense awards stemming from the settlement to the myriad firms participating in the class action. </w:t>
      </w:r>
    </w:p>
    <w:p w14:paraId="1EB3CA7E" w14:textId="77777777" w:rsidR="004B49A5" w:rsidRDefault="00000000">
      <w:pPr>
        <w:ind w:left="105" w:right="877" w:firstLine="720"/>
      </w:pPr>
      <w:r>
        <w:t xml:space="preserve">Appellants in this case—the various plaintiffs’ lawyers and law firms that took part in the MDL against Syngenta—challenge numerous orders published by the Kansas district court concerning the apportionment and allocation of that $503 million fee pie. </w:t>
      </w:r>
    </w:p>
    <w:p w14:paraId="2DA6A615" w14:textId="180E0C94" w:rsidR="004B49A5" w:rsidRDefault="00000000" w:rsidP="002A1433">
      <w:pPr>
        <w:ind w:left="115" w:right="745"/>
      </w:pPr>
      <w:r>
        <w:t>Having concluded it possessed significant authority to craft the allocation of attorneys’ fees in the most reasonable manner, the Kansas district court had adopted a two-stage, “general approach” of an appointed special master to the allocation of the attorneys’ fee award—“by which the award is first allocated among the three common benefit pools [i.e., for Kansas, Minnesota, and Illinois] and the IRPA pool [i.e., the pool for individually retained private attorneys],” Joint App., Vol. 23, at 5357 (Kan. D. Ct. Mem. and Order, filed Dec. 31, 2018) (“December 31, 2018, Fee Allocation Order”), and then, second, disbursed to individual firms. Appellees—also lawyers and law firms from Kansas, Minnesota, and Illinois, that acted as co-lead counsel (“CLCs” or “Leadership”) and by-and-</w:t>
      </w:r>
      <w:r>
        <w:lastRenderedPageBreak/>
        <w:t>large, spearheaded the litigation against Syngenta in the three main fora— oppose Appellants’ arguments, and they ask us to affirm the Kansas district court’s fee- allocation orders.</w:t>
      </w:r>
      <w:r>
        <w:rPr>
          <w:vertAlign w:val="superscript"/>
        </w:rPr>
        <w:footnoteReference w:id="1"/>
      </w:r>
      <w:r>
        <w:t xml:space="preserve"> </w:t>
      </w:r>
    </w:p>
    <w:p w14:paraId="55679E86" w14:textId="0C8865E5" w:rsidR="004B49A5" w:rsidRDefault="00000000" w:rsidP="003060F1">
      <w:pPr>
        <w:spacing w:after="33"/>
        <w:ind w:left="105" w:right="381" w:firstLine="720"/>
      </w:pPr>
      <w:r>
        <w:t xml:space="preserve">Exercising jurisdiction pursuant to 28 U.S.C. § 1291, we fully </w:t>
      </w:r>
      <w:r>
        <w:rPr>
          <w:b/>
        </w:rPr>
        <w:t xml:space="preserve">affirm </w:t>
      </w:r>
      <w:r>
        <w:t xml:space="preserve">the Kansas district court’s post-judgment attorneys’ fees orders challenged in these appeals. </w:t>
      </w:r>
      <w:r>
        <w:rPr>
          <w:sz w:val="20"/>
        </w:rPr>
        <w:t xml:space="preserve"> </w:t>
      </w:r>
    </w:p>
    <w:p w14:paraId="4C911FC7" w14:textId="77777777" w:rsidR="004B49A5" w:rsidRDefault="00000000">
      <w:pPr>
        <w:tabs>
          <w:tab w:val="center" w:pos="3837"/>
          <w:tab w:val="center" w:pos="5151"/>
        </w:tabs>
        <w:spacing w:after="295" w:line="249" w:lineRule="auto"/>
        <w:ind w:left="0" w:firstLine="0"/>
      </w:pPr>
      <w:r>
        <w:rPr>
          <w:rFonts w:ascii="Calibri" w:eastAsia="Calibri" w:hAnsi="Calibri" w:cs="Calibri"/>
          <w:sz w:val="22"/>
        </w:rPr>
        <w:tab/>
      </w:r>
      <w:r>
        <w:rPr>
          <w:b/>
        </w:rPr>
        <w:t>I</w:t>
      </w:r>
      <w:proofErr w:type="gramStart"/>
      <w:r>
        <w:rPr>
          <w:b/>
        </w:rPr>
        <w:t>.</w:t>
      </w:r>
      <w:r>
        <w:rPr>
          <w:rFonts w:ascii="Arial" w:eastAsia="Arial" w:hAnsi="Arial" w:cs="Arial"/>
          <w:b/>
        </w:rPr>
        <w:t xml:space="preserve"> </w:t>
      </w:r>
      <w:r>
        <w:rPr>
          <w:rFonts w:ascii="Arial" w:eastAsia="Arial" w:hAnsi="Arial" w:cs="Arial"/>
          <w:b/>
        </w:rPr>
        <w:tab/>
      </w:r>
      <w:r>
        <w:rPr>
          <w:b/>
        </w:rPr>
        <w:t>Background</w:t>
      </w:r>
      <w:proofErr w:type="gramEnd"/>
      <w:r>
        <w:rPr>
          <w:b/>
        </w:rPr>
        <w:t xml:space="preserve"> </w:t>
      </w:r>
    </w:p>
    <w:p w14:paraId="767CEBAF" w14:textId="77777777" w:rsidR="004B49A5" w:rsidRDefault="00000000">
      <w:pPr>
        <w:pStyle w:val="Heading1"/>
        <w:tabs>
          <w:tab w:val="center" w:pos="3088"/>
          <w:tab w:val="center" w:pos="5144"/>
        </w:tabs>
        <w:ind w:left="0" w:right="0" w:firstLine="0"/>
        <w:jc w:val="left"/>
      </w:pPr>
      <w:r>
        <w:rPr>
          <w:rFonts w:ascii="Calibri" w:eastAsia="Calibri" w:hAnsi="Calibri" w:cs="Calibri"/>
          <w:b w:val="0"/>
          <w:sz w:val="22"/>
        </w:rPr>
        <w:tab/>
      </w:r>
      <w:r>
        <w:t>A</w:t>
      </w:r>
      <w:proofErr w:type="gramStart"/>
      <w:r>
        <w:t>.</w:t>
      </w:r>
      <w:r>
        <w:rPr>
          <w:rFonts w:ascii="Arial" w:eastAsia="Arial" w:hAnsi="Arial" w:cs="Arial"/>
        </w:rPr>
        <w:t xml:space="preserve"> </w:t>
      </w:r>
      <w:r>
        <w:rPr>
          <w:rFonts w:ascii="Arial" w:eastAsia="Arial" w:hAnsi="Arial" w:cs="Arial"/>
        </w:rPr>
        <w:tab/>
      </w:r>
      <w:r>
        <w:t>Summary</w:t>
      </w:r>
      <w:proofErr w:type="gramEnd"/>
      <w:r>
        <w:t xml:space="preserve"> of the Litigation </w:t>
      </w:r>
    </w:p>
    <w:p w14:paraId="316A99FA" w14:textId="77777777" w:rsidR="004B49A5" w:rsidRDefault="00000000">
      <w:pPr>
        <w:spacing w:after="0" w:line="259" w:lineRule="auto"/>
        <w:ind w:left="0" w:firstLine="0"/>
      </w:pPr>
      <w:r>
        <w:rPr>
          <w:b/>
        </w:rPr>
        <w:t xml:space="preserve"> </w:t>
      </w:r>
    </w:p>
    <w:p w14:paraId="61A1D9F8" w14:textId="77777777" w:rsidR="004B49A5" w:rsidRDefault="00000000" w:rsidP="00B914E3">
      <w:pPr>
        <w:spacing w:after="0" w:line="259" w:lineRule="auto"/>
        <w:ind w:left="0"/>
        <w:jc w:val="center"/>
      </w:pPr>
      <w:r>
        <w:t xml:space="preserve">The appeals at issue here stem from various lawsuits filed against Syngenta. </w:t>
      </w:r>
    </w:p>
    <w:p w14:paraId="1933EA3E" w14:textId="77777777" w:rsidR="004B49A5" w:rsidRDefault="00000000" w:rsidP="00B914E3">
      <w:pPr>
        <w:spacing w:after="0" w:line="259" w:lineRule="auto"/>
        <w:ind w:left="0" w:firstLine="0"/>
      </w:pPr>
      <w:r>
        <w:t xml:space="preserve"> </w:t>
      </w:r>
    </w:p>
    <w:p w14:paraId="77AE1C9E" w14:textId="77777777" w:rsidR="004B49A5" w:rsidRDefault="00000000" w:rsidP="00B914E3">
      <w:pPr>
        <w:spacing w:after="0"/>
        <w:ind w:left="0"/>
      </w:pPr>
      <w:r>
        <w:t xml:space="preserve">Syngenta commercialized and released two genetically modified (“GMO”) corn seeds under the brand names </w:t>
      </w:r>
      <w:proofErr w:type="spellStart"/>
      <w:r>
        <w:t>Agrisure</w:t>
      </w:r>
      <w:proofErr w:type="spellEnd"/>
      <w:r>
        <w:t xml:space="preserve"> Viptera and </w:t>
      </w:r>
      <w:proofErr w:type="spellStart"/>
      <w:r>
        <w:t>Agrisure</w:t>
      </w:r>
      <w:proofErr w:type="spellEnd"/>
      <w:r>
        <w:t xml:space="preserve"> </w:t>
      </w:r>
      <w:proofErr w:type="spellStart"/>
      <w:r>
        <w:t>Duracade</w:t>
      </w:r>
      <w:proofErr w:type="spellEnd"/>
      <w:r>
        <w:t xml:space="preserve"> before obtaining China’s regulatory approval to import such genetically modified seeds. After discovering the Syngenta GMO corn seeds in its American imports, China closed its markets to American corn, depressing corn prices and thereby injuring producers. Beginning in 2014, corn farmers and others in the corn industry filed thousands of lawsuits against Syngenta in </w:t>
      </w:r>
      <w:r>
        <w:lastRenderedPageBreak/>
        <w:t>several federal and state jurisdictions; these suits took various forms, including class actions, mass tort actions, and individual actions.</w:t>
      </w:r>
      <w:r>
        <w:rPr>
          <w:vertAlign w:val="superscript"/>
        </w:rPr>
        <w:footnoteReference w:id="2"/>
      </w:r>
      <w:r>
        <w:t xml:space="preserve"> </w:t>
      </w:r>
    </w:p>
    <w:p w14:paraId="3B668D87" w14:textId="53AB94C5" w:rsidR="004B49A5" w:rsidRDefault="00000000" w:rsidP="00B914E3">
      <w:pPr>
        <w:spacing w:after="0"/>
        <w:ind w:left="0" w:firstLine="720"/>
      </w:pPr>
      <w:r>
        <w:t xml:space="preserve">In December 2014, the Judicial Panel on Multidistrict Litigation consolidated hundreds of these suits into an MDL centered in the Kansas district court. A similar process occurred in Minnesota, where thousands of suits were consolidated in a state court (“Minnesota state court”). And finally, similar suits were litigated in a court in the United States District Court for the Southern District of Illinois (“Illinois district court”). </w:t>
      </w:r>
    </w:p>
    <w:p w14:paraId="68503527" w14:textId="77777777" w:rsidR="004B49A5" w:rsidRDefault="00000000" w:rsidP="00B914E3">
      <w:pPr>
        <w:spacing w:after="0" w:line="483" w:lineRule="auto"/>
        <w:ind w:left="0"/>
        <w:jc w:val="center"/>
      </w:pPr>
      <w:r>
        <w:t xml:space="preserve">In an order entered on January 22, 2015, the Kansas district court appointed several attorneys as “co-lead counsel” for the Kansas MDL. Joint App., Vol. 21, at 4749 </w:t>
      </w:r>
    </w:p>
    <w:p w14:paraId="68141373" w14:textId="77777777" w:rsidR="004B49A5" w:rsidRDefault="00000000" w:rsidP="00B914E3">
      <w:pPr>
        <w:spacing w:after="0"/>
        <w:ind w:left="0"/>
      </w:pPr>
      <w:r>
        <w:t xml:space="preserve">(Kan. Special Master’s R&amp;R, filed Nov. 21, 2018) (“November 2018 Fee Allocation R&amp;R”) (quoting Joint App., Vol. 2, at 482 (Kan. D. Ct. Order Concerning Appointment of Counsel, filed Jan. 22, 2015)). “The order authorized Kansas MDL Leadership, in their role as co-lead counsel, to ‘organize and supervise the efforts of plaintiffs’ counsel in a manner to ensure that the pretrial and trial preparation for the plaintiffs is conducted effectively, efficiently, expeditiously, and economically’ and ‘to encourage full cooperation and efficiency among all plaintiffs’ counsel.’” </w:t>
      </w:r>
      <w:r>
        <w:rPr>
          <w:i/>
        </w:rPr>
        <w:t xml:space="preserve">Id. </w:t>
      </w:r>
      <w:r>
        <w:t xml:space="preserve">(quoting Joint App., Vol. </w:t>
      </w:r>
    </w:p>
    <w:p w14:paraId="653B0D66" w14:textId="77777777" w:rsidR="004B49A5" w:rsidRDefault="00000000" w:rsidP="00B914E3">
      <w:pPr>
        <w:spacing w:after="0" w:line="259" w:lineRule="auto"/>
        <w:ind w:left="0"/>
      </w:pPr>
      <w:r>
        <w:t xml:space="preserve">2, at 482–83). </w:t>
      </w:r>
    </w:p>
    <w:p w14:paraId="257DEE1A" w14:textId="77777777" w:rsidR="004B49A5" w:rsidRDefault="00000000" w:rsidP="00B914E3">
      <w:pPr>
        <w:spacing w:after="0"/>
        <w:ind w:left="0" w:firstLine="720"/>
      </w:pPr>
      <w:r>
        <w:lastRenderedPageBreak/>
        <w:t xml:space="preserve">On the Minnesota front, firms like Watts Guerra LLP (“Watts Guerra”), along with several others, brought thousands of individual and class action lawsuits in Minnesota state court against Syngenta. The Minnesota state court also appointed certain counsel to a Minnesota Plaintiffs’ Executive Committee to ensure “the efficient, coordinated litigation of the Minnesota cases.” </w:t>
      </w:r>
      <w:r>
        <w:rPr>
          <w:i/>
        </w:rPr>
        <w:t>Id.</w:t>
      </w:r>
      <w:r>
        <w:t xml:space="preserve">, Vol. 21, at 4752. Attorneys from </w:t>
      </w:r>
    </w:p>
    <w:p w14:paraId="6B24326F" w14:textId="77777777" w:rsidR="004B49A5" w:rsidRDefault="00000000" w:rsidP="00B914E3">
      <w:pPr>
        <w:spacing w:after="0"/>
        <w:ind w:left="0"/>
      </w:pPr>
      <w:r>
        <w:t xml:space="preserve">Watts Guerra and the Paul Byrd Law Firm, PLLC (“Byrd”) were among the several appointees. Meanwhile, in Illinois, multiple suits percolated through state and federal court. </w:t>
      </w:r>
    </w:p>
    <w:p w14:paraId="66AFC81B" w14:textId="77777777" w:rsidR="004B49A5" w:rsidRDefault="00000000" w:rsidP="00B914E3">
      <w:pPr>
        <w:spacing w:after="0" w:line="259" w:lineRule="auto"/>
        <w:ind w:left="0"/>
        <w:jc w:val="center"/>
      </w:pPr>
      <w:r>
        <w:t xml:space="preserve">* * * * </w:t>
      </w:r>
    </w:p>
    <w:p w14:paraId="009C9059" w14:textId="77777777" w:rsidR="004B49A5" w:rsidRDefault="00000000" w:rsidP="00B914E3">
      <w:pPr>
        <w:pStyle w:val="Heading1"/>
        <w:tabs>
          <w:tab w:val="center" w:pos="1412"/>
          <w:tab w:val="center" w:pos="5141"/>
        </w:tabs>
        <w:spacing w:after="0"/>
        <w:ind w:left="0" w:right="0" w:firstLine="0"/>
        <w:jc w:val="left"/>
      </w:pPr>
      <w:r>
        <w:rPr>
          <w:rFonts w:ascii="Calibri" w:eastAsia="Calibri" w:hAnsi="Calibri" w:cs="Calibri"/>
          <w:b w:val="0"/>
          <w:sz w:val="22"/>
        </w:rPr>
        <w:tab/>
      </w:r>
      <w:r>
        <w:t>B</w:t>
      </w:r>
      <w:proofErr w:type="gramStart"/>
      <w:r>
        <w:t>.</w:t>
      </w:r>
      <w:r>
        <w:rPr>
          <w:rFonts w:ascii="Arial" w:eastAsia="Arial" w:hAnsi="Arial" w:cs="Arial"/>
        </w:rPr>
        <w:t xml:space="preserve"> </w:t>
      </w:r>
      <w:r>
        <w:rPr>
          <w:rFonts w:ascii="Arial" w:eastAsia="Arial" w:hAnsi="Arial" w:cs="Arial"/>
        </w:rPr>
        <w:tab/>
      </w:r>
      <w:r>
        <w:t>Aggregation</w:t>
      </w:r>
      <w:proofErr w:type="gramEnd"/>
      <w:r>
        <w:t xml:space="preserve"> and Allocation of the Attorneys’ Fee Award </w:t>
      </w:r>
    </w:p>
    <w:p w14:paraId="115A6653" w14:textId="77777777" w:rsidR="004B49A5" w:rsidRDefault="00000000" w:rsidP="00B914E3">
      <w:pPr>
        <w:spacing w:after="0" w:line="259" w:lineRule="auto"/>
        <w:ind w:left="0" w:firstLine="0"/>
      </w:pPr>
      <w:r>
        <w:rPr>
          <w:b/>
        </w:rPr>
        <w:t xml:space="preserve"> </w:t>
      </w:r>
    </w:p>
    <w:p w14:paraId="54143646" w14:textId="77777777" w:rsidR="004B49A5" w:rsidRDefault="00000000" w:rsidP="00B914E3">
      <w:pPr>
        <w:spacing w:after="0"/>
        <w:ind w:left="0" w:firstLine="720"/>
      </w:pPr>
      <w:r>
        <w:t xml:space="preserve">Below we summarize the filings relevant to the Kansas district court’s fee allocation process and, therefore, relevant to the instant appeals. </w:t>
      </w:r>
    </w:p>
    <w:p w14:paraId="267302A5" w14:textId="78771FA8" w:rsidR="004B49A5" w:rsidRDefault="004B49A5" w:rsidP="00B914E3">
      <w:pPr>
        <w:spacing w:after="0" w:line="259" w:lineRule="auto"/>
        <w:ind w:left="0"/>
        <w:jc w:val="center"/>
      </w:pPr>
    </w:p>
    <w:p w14:paraId="2539429E" w14:textId="77777777" w:rsidR="004B49A5" w:rsidRDefault="00000000" w:rsidP="00B914E3">
      <w:pPr>
        <w:spacing w:after="0"/>
        <w:ind w:left="0" w:firstLine="720"/>
      </w:pPr>
      <w:r>
        <w:t xml:space="preserve">To give a big picture account of what happened: The allocation process implemented by the court turned on a four-pool fee allocation scheme, featuring three </w:t>
      </w:r>
    </w:p>
    <w:p w14:paraId="20BD769A" w14:textId="77777777" w:rsidR="004B49A5" w:rsidRDefault="00000000" w:rsidP="00B914E3">
      <w:pPr>
        <w:spacing w:after="0"/>
        <w:ind w:left="0"/>
      </w:pPr>
      <w:r>
        <w:t>“</w:t>
      </w:r>
      <w:proofErr w:type="gramStart"/>
      <w:r>
        <w:t>common</w:t>
      </w:r>
      <w:proofErr w:type="gramEnd"/>
      <w:r>
        <w:t xml:space="preserve"> benefit pools” corresponding with the Kansas, Minnesota, and Illinois litigations and </w:t>
      </w:r>
      <w:r>
        <w:rPr>
          <w:shd w:val="clear" w:color="auto" w:fill="FFFF00"/>
        </w:rPr>
        <w:t>an “IRPA pool” for the work of individually retained private attorneys (“IRPAs”).</w:t>
      </w:r>
      <w:r>
        <w:t xml:space="preserve"> Attorneys were assigned to one of the three common benefit pools based on where they performed the bulk of their work. They could then petition for an attorneys’ fee award from their designated pool for any common benefit </w:t>
      </w:r>
      <w:proofErr w:type="gramStart"/>
      <w:r>
        <w:t>work—i.e</w:t>
      </w:r>
      <w:proofErr w:type="gramEnd"/>
      <w:r>
        <w:t xml:space="preserve">., work that benefitted the settlement class or the overall settlement negotiation process—irrespective of where that work was performed. </w:t>
      </w:r>
    </w:p>
    <w:p w14:paraId="2DFA827F" w14:textId="77777777" w:rsidR="003060F1" w:rsidRDefault="00000000" w:rsidP="00B914E3">
      <w:pPr>
        <w:spacing w:after="0" w:line="484" w:lineRule="auto"/>
        <w:ind w:left="0" w:firstLine="720"/>
      </w:pPr>
      <w:r>
        <w:rPr>
          <w:shd w:val="clear" w:color="auto" w:fill="FFFF00"/>
        </w:rPr>
        <w:t xml:space="preserve">To the Kansas common benefit pool, the court allocated slightly under half of the aggregate attorneys’ fee award; to the Minnesota pool, slightly less than a quarter; to the </w:t>
      </w:r>
      <w:r>
        <w:rPr>
          <w:shd w:val="clear" w:color="auto" w:fill="FFFF00"/>
        </w:rPr>
        <w:lastRenderedPageBreak/>
        <w:t xml:space="preserve">Illinois pool, just over 15%; and to the IRPA pool, 12%. The IRPA pool was intended to compensate attorneys for </w:t>
      </w:r>
      <w:r>
        <w:rPr>
          <w:i/>
          <w:shd w:val="clear" w:color="auto" w:fill="FFFF00"/>
        </w:rPr>
        <w:t>non</w:t>
      </w:r>
      <w:r>
        <w:rPr>
          <w:shd w:val="clear" w:color="auto" w:fill="FFFF00"/>
        </w:rPr>
        <w:t>-common benefit work they performed on behalf of individual clients, and attorneys’ recoveries would be dictated by their clients’ claim recoveries from the Settlement.</w:t>
      </w:r>
      <w:r>
        <w:t xml:space="preserve"> </w:t>
      </w:r>
    </w:p>
    <w:p w14:paraId="657D524B" w14:textId="495A72FF" w:rsidR="004B49A5" w:rsidRDefault="00000000" w:rsidP="00B914E3">
      <w:pPr>
        <w:spacing w:after="0" w:line="484" w:lineRule="auto"/>
        <w:ind w:left="0" w:firstLine="720"/>
      </w:pPr>
      <w:r>
        <w:t>1</w:t>
      </w:r>
      <w:proofErr w:type="gramStart"/>
      <w:r>
        <w:t>.</w:t>
      </w:r>
      <w:r>
        <w:rPr>
          <w:rFonts w:ascii="Arial" w:eastAsia="Arial" w:hAnsi="Arial" w:cs="Arial"/>
        </w:rPr>
        <w:t xml:space="preserve"> </w:t>
      </w:r>
      <w:r>
        <w:rPr>
          <w:rFonts w:ascii="Arial" w:eastAsia="Arial" w:hAnsi="Arial" w:cs="Arial"/>
        </w:rPr>
        <w:tab/>
      </w:r>
      <w:r>
        <w:t>The</w:t>
      </w:r>
      <w:proofErr w:type="gramEnd"/>
      <w:r>
        <w:t xml:space="preserve"> Kansas District Court’s Aggregate Fee Order &amp; Final Order and Judgment </w:t>
      </w:r>
    </w:p>
    <w:p w14:paraId="037249C4" w14:textId="77777777" w:rsidR="004B49A5" w:rsidRDefault="00000000" w:rsidP="00B914E3">
      <w:pPr>
        <w:spacing w:after="0" w:line="259" w:lineRule="auto"/>
        <w:ind w:left="0" w:firstLine="0"/>
      </w:pPr>
      <w:r>
        <w:rPr>
          <w:b/>
        </w:rPr>
        <w:t xml:space="preserve"> </w:t>
      </w:r>
    </w:p>
    <w:p w14:paraId="5284A145" w14:textId="77777777" w:rsidR="004B49A5" w:rsidRDefault="00000000" w:rsidP="00B914E3">
      <w:pPr>
        <w:spacing w:after="0"/>
        <w:ind w:left="0" w:firstLine="720"/>
      </w:pPr>
      <w:r>
        <w:t xml:space="preserve">On December 7, 2018, the Kansas district court approved the class settlement agreement. </w:t>
      </w:r>
      <w:r>
        <w:rPr>
          <w:shd w:val="clear" w:color="auto" w:fill="FFFF00"/>
        </w:rPr>
        <w:t>As stated, the court awarded one-third of the gross settlement amount—i.e.,</w:t>
      </w:r>
      <w:r>
        <w:t xml:space="preserve"> </w:t>
      </w:r>
      <w:r>
        <w:rPr>
          <w:shd w:val="clear" w:color="auto" w:fill="FFFF00"/>
        </w:rPr>
        <w:t>$503,333,333.33 out of the $1.51 billion settlement fund—as attorneys’ fees.</w:t>
      </w:r>
      <w:r>
        <w:t xml:space="preserve"> To start, the court concluded it “ha[d] authority to award attorney fees and expenses from the settlement fund” pursuant to Rule 23(h) of the Federal Rules of Civil Procedure, which “provides that ‘[</w:t>
      </w:r>
      <w:proofErr w:type="spellStart"/>
      <w:r>
        <w:t>i</w:t>
      </w:r>
      <w:proofErr w:type="spellEnd"/>
      <w:r>
        <w:t xml:space="preserve">]n a certified class action, the court may award reasonable attorney’s fees and nontaxable costs that are authorized by law.’” </w:t>
      </w:r>
      <w:r>
        <w:rPr>
          <w:vertAlign w:val="superscript"/>
        </w:rPr>
        <w:t>3</w:t>
      </w:r>
      <w:r>
        <w:t xml:space="preserve"> Joint App., Vol. 22, at 5111 </w:t>
      </w:r>
    </w:p>
    <w:p w14:paraId="452BAF54" w14:textId="77777777" w:rsidR="004B49A5" w:rsidRDefault="00000000" w:rsidP="00B914E3">
      <w:pPr>
        <w:spacing w:after="0" w:line="259" w:lineRule="auto"/>
        <w:ind w:left="0"/>
      </w:pPr>
      <w:r>
        <w:t xml:space="preserve">(Kan. D. Ct. Mem. and Order, filed Dec. 7, 2018) (second alteration in original) (quoting </w:t>
      </w:r>
    </w:p>
    <w:p w14:paraId="37F20C7F" w14:textId="77777777" w:rsidR="004B49A5" w:rsidRDefault="00000000" w:rsidP="00B914E3">
      <w:pPr>
        <w:spacing w:after="0" w:line="259" w:lineRule="auto"/>
        <w:ind w:left="0"/>
      </w:pPr>
      <w:r>
        <w:t>F</w:t>
      </w:r>
      <w:r>
        <w:rPr>
          <w:sz w:val="21"/>
        </w:rPr>
        <w:t>ED</w:t>
      </w:r>
      <w:r>
        <w:t>. R. C</w:t>
      </w:r>
      <w:r>
        <w:rPr>
          <w:sz w:val="21"/>
        </w:rPr>
        <w:t>IV</w:t>
      </w:r>
      <w:r>
        <w:t xml:space="preserve">. P. 23(h)). Furthermore, the settlement agreement “expressly contemplate[d] </w:t>
      </w:r>
    </w:p>
    <w:p w14:paraId="5BD63BF4" w14:textId="77777777" w:rsidR="004B49A5" w:rsidRDefault="00000000" w:rsidP="00B914E3">
      <w:pPr>
        <w:spacing w:after="0" w:line="259" w:lineRule="auto"/>
        <w:ind w:left="0" w:firstLine="0"/>
      </w:pPr>
      <w:r>
        <w:rPr>
          <w:sz w:val="20"/>
        </w:rPr>
        <w:t xml:space="preserve"> </w:t>
      </w:r>
    </w:p>
    <w:p w14:paraId="44C6D4FC" w14:textId="77777777" w:rsidR="004B49A5" w:rsidRDefault="00000000" w:rsidP="00B914E3">
      <w:pPr>
        <w:spacing w:after="0" w:line="259" w:lineRule="auto"/>
        <w:ind w:left="0" w:firstLine="0"/>
      </w:pPr>
      <w:r>
        <w:rPr>
          <w:rFonts w:ascii="Calibri" w:eastAsia="Calibri" w:hAnsi="Calibri" w:cs="Calibri"/>
          <w:noProof/>
          <w:sz w:val="22"/>
        </w:rPr>
        <mc:AlternateContent>
          <mc:Choice Requires="wpg">
            <w:drawing>
              <wp:inline distT="0" distB="0" distL="0" distR="0" wp14:anchorId="04E674D1" wp14:editId="181C1E51">
                <wp:extent cx="1828800" cy="8382"/>
                <wp:effectExtent l="0" t="0" r="0" b="0"/>
                <wp:docPr id="34896" name="Group 34896"/>
                <wp:cNvGraphicFramePr/>
                <a:graphic xmlns:a="http://schemas.openxmlformats.org/drawingml/2006/main">
                  <a:graphicData uri="http://schemas.microsoft.com/office/word/2010/wordprocessingGroup">
                    <wpg:wgp>
                      <wpg:cNvGrpSpPr/>
                      <wpg:grpSpPr>
                        <a:xfrm>
                          <a:off x="0" y="0"/>
                          <a:ext cx="1828800" cy="8382"/>
                          <a:chOff x="0" y="0"/>
                          <a:chExt cx="1828800" cy="8382"/>
                        </a:xfrm>
                      </wpg:grpSpPr>
                      <wps:wsp>
                        <wps:cNvPr id="37058" name="Shape 3705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96" style="width:144pt;height:0.660004pt;mso-position-horizontal-relative:char;mso-position-vertical-relative:line" coordsize="18288,83">
                <v:shape id="Shape 37059"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1AE59D1E" w14:textId="77777777" w:rsidR="004B49A5" w:rsidRDefault="00000000" w:rsidP="00B914E3">
      <w:pPr>
        <w:tabs>
          <w:tab w:val="center" w:pos="883"/>
          <w:tab w:val="center" w:pos="3004"/>
        </w:tabs>
        <w:spacing w:after="0" w:line="259" w:lineRule="auto"/>
        <w:ind w:left="0" w:firstLine="0"/>
      </w:pPr>
      <w:r>
        <w:rPr>
          <w:rFonts w:ascii="Calibri" w:eastAsia="Calibri" w:hAnsi="Calibri" w:cs="Calibri"/>
          <w:sz w:val="22"/>
        </w:rPr>
        <w:tab/>
      </w:r>
      <w:r>
        <w:rPr>
          <w:vertAlign w:val="superscript"/>
        </w:rPr>
        <w:t>3</w:t>
      </w:r>
      <w:r>
        <w:t xml:space="preserve"> </w:t>
      </w:r>
      <w:r>
        <w:tab/>
        <w:t xml:space="preserve">In full, Rule 23(h) provides: </w:t>
      </w:r>
    </w:p>
    <w:p w14:paraId="75C94C01" w14:textId="77777777" w:rsidR="004B49A5" w:rsidRDefault="00000000" w:rsidP="00B914E3">
      <w:pPr>
        <w:spacing w:after="0" w:line="240" w:lineRule="auto"/>
        <w:ind w:left="0"/>
        <w:jc w:val="both"/>
      </w:pPr>
      <w:r>
        <w:t xml:space="preserve">In a certified class action, the court may award reasonable </w:t>
      </w:r>
      <w:proofErr w:type="gramStart"/>
      <w:r>
        <w:t>attorney’s</w:t>
      </w:r>
      <w:proofErr w:type="gramEnd"/>
      <w:r>
        <w:t xml:space="preserve"> fees and nontaxable costs that are authorized by law or by the parties’ agreement. The following procedures apply: </w:t>
      </w:r>
    </w:p>
    <w:p w14:paraId="4675C6D6" w14:textId="77777777" w:rsidR="004B49A5" w:rsidRDefault="00000000" w:rsidP="00B914E3">
      <w:pPr>
        <w:numPr>
          <w:ilvl w:val="0"/>
          <w:numId w:val="1"/>
        </w:numPr>
        <w:spacing w:after="0" w:line="240" w:lineRule="auto"/>
        <w:ind w:left="0"/>
      </w:pPr>
      <w:r>
        <w:t xml:space="preserve">A claim for an award must be made by motion under Rule 54(d)(2), subject to the provisions of this subdivision (h), at </w:t>
      </w:r>
      <w:proofErr w:type="gramStart"/>
      <w:r>
        <w:t>a time</w:t>
      </w:r>
      <w:proofErr w:type="gramEnd"/>
      <w:r>
        <w:t xml:space="preserve"> the court sets. Notice of the motion must be served on all parties and, for motions by class counsel, directed to class members in a reasonable manner. </w:t>
      </w:r>
    </w:p>
    <w:p w14:paraId="2F59DEFA" w14:textId="77777777" w:rsidR="004B49A5" w:rsidRDefault="00000000" w:rsidP="00B914E3">
      <w:pPr>
        <w:spacing w:after="0" w:line="259" w:lineRule="auto"/>
        <w:ind w:left="0" w:firstLine="0"/>
      </w:pPr>
      <w:r>
        <w:t xml:space="preserve"> </w:t>
      </w:r>
    </w:p>
    <w:p w14:paraId="25CBF17E" w14:textId="77777777" w:rsidR="004B49A5" w:rsidRDefault="00000000" w:rsidP="00B914E3">
      <w:pPr>
        <w:numPr>
          <w:ilvl w:val="0"/>
          <w:numId w:val="1"/>
        </w:numPr>
        <w:spacing w:after="0" w:line="240" w:lineRule="auto"/>
        <w:ind w:left="0"/>
      </w:pPr>
      <w:r>
        <w:t xml:space="preserve">A class member, or a party from whom payment is sought, may object to the motion. </w:t>
      </w:r>
    </w:p>
    <w:p w14:paraId="1BFC2BFE" w14:textId="77777777" w:rsidR="004B49A5" w:rsidRDefault="00000000" w:rsidP="00B914E3">
      <w:pPr>
        <w:spacing w:after="0" w:line="259" w:lineRule="auto"/>
        <w:ind w:left="0" w:firstLine="0"/>
      </w:pPr>
      <w:r>
        <w:t xml:space="preserve"> </w:t>
      </w:r>
    </w:p>
    <w:p w14:paraId="3430721C" w14:textId="77777777" w:rsidR="004B49A5" w:rsidRDefault="00000000" w:rsidP="00B914E3">
      <w:pPr>
        <w:numPr>
          <w:ilvl w:val="0"/>
          <w:numId w:val="1"/>
        </w:numPr>
        <w:spacing w:after="0" w:line="240" w:lineRule="auto"/>
        <w:ind w:left="0"/>
      </w:pPr>
      <w:r>
        <w:t xml:space="preserve">The court may hold a hearing and must find the facts and state its legal conclusions under Rule 52(a). </w:t>
      </w:r>
    </w:p>
    <w:p w14:paraId="419676E9" w14:textId="77777777" w:rsidR="004B49A5" w:rsidRDefault="00000000" w:rsidP="00B914E3">
      <w:pPr>
        <w:numPr>
          <w:ilvl w:val="0"/>
          <w:numId w:val="1"/>
        </w:numPr>
        <w:spacing w:after="0" w:line="240" w:lineRule="auto"/>
        <w:ind w:left="0"/>
      </w:pPr>
      <w:r>
        <w:lastRenderedPageBreak/>
        <w:t xml:space="preserve">The court may </w:t>
      </w:r>
      <w:proofErr w:type="gramStart"/>
      <w:r>
        <w:t>refer</w:t>
      </w:r>
      <w:proofErr w:type="gramEnd"/>
      <w:r>
        <w:t xml:space="preserve"> issues related to the amount of the award to a special master or a magistrate judge, as provided in Rule 54(d)(2)(D). </w:t>
      </w:r>
    </w:p>
    <w:p w14:paraId="445CA136" w14:textId="77777777" w:rsidR="004B49A5" w:rsidRDefault="00000000" w:rsidP="00B914E3">
      <w:pPr>
        <w:spacing w:after="0" w:line="259" w:lineRule="auto"/>
        <w:ind w:left="0" w:firstLine="0"/>
      </w:pPr>
      <w:r>
        <w:t xml:space="preserve"> </w:t>
      </w:r>
    </w:p>
    <w:p w14:paraId="30A162EB" w14:textId="77777777" w:rsidR="004B49A5" w:rsidRDefault="00000000" w:rsidP="00B914E3">
      <w:pPr>
        <w:spacing w:after="0" w:line="259" w:lineRule="auto"/>
        <w:ind w:left="0"/>
      </w:pPr>
      <w:r>
        <w:t>F</w:t>
      </w:r>
      <w:r>
        <w:rPr>
          <w:sz w:val="21"/>
        </w:rPr>
        <w:t>ED</w:t>
      </w:r>
      <w:r>
        <w:t>. R. C</w:t>
      </w:r>
      <w:r>
        <w:rPr>
          <w:sz w:val="21"/>
        </w:rPr>
        <w:t>IV</w:t>
      </w:r>
      <w:r>
        <w:t>. P. 23(h)(1)</w:t>
      </w:r>
      <w:proofErr w:type="gramStart"/>
      <w:r>
        <w:t>–(</w:t>
      </w:r>
      <w:proofErr w:type="gramEnd"/>
      <w:r>
        <w:t xml:space="preserve">4). </w:t>
      </w:r>
    </w:p>
    <w:p w14:paraId="0F0FF494" w14:textId="77777777" w:rsidR="004B49A5" w:rsidRDefault="00000000" w:rsidP="00B914E3">
      <w:pPr>
        <w:spacing w:after="0"/>
        <w:ind w:left="0"/>
      </w:pPr>
      <w:r>
        <w:t xml:space="preserve">an award of attorney fees and expenses to counsel who performed work for the benefit of the settlement class </w:t>
      </w:r>
      <w:proofErr w:type="gramStart"/>
      <w:r>
        <w:t>members.”</w:t>
      </w:r>
      <w:proofErr w:type="gramEnd"/>
      <w:r>
        <w:t xml:space="preserve"> </w:t>
      </w:r>
      <w:r>
        <w:rPr>
          <w:i/>
        </w:rPr>
        <w:t xml:space="preserve">Id. </w:t>
      </w:r>
      <w:r>
        <w:t xml:space="preserve">Attorneys’ fees were “also authorized under the common fund doctrine.” </w:t>
      </w:r>
      <w:r>
        <w:rPr>
          <w:i/>
        </w:rPr>
        <w:t xml:space="preserve">Id. </w:t>
      </w:r>
      <w:r>
        <w:t>“[P]</w:t>
      </w:r>
      <w:proofErr w:type="spellStart"/>
      <w:r>
        <w:t>ursuant</w:t>
      </w:r>
      <w:proofErr w:type="spellEnd"/>
      <w:r>
        <w:t xml:space="preserve"> to Rule 23(h) and the common-fund doctrine,” </w:t>
      </w:r>
      <w:proofErr w:type="gramStart"/>
      <w:r>
        <w:t>then,</w:t>
      </w:r>
      <w:proofErr w:type="gramEnd"/>
      <w:r>
        <w:t xml:space="preserve"> the district court “award[ed] a percentage of the fund”—here, 33.33%</w:t>
      </w:r>
      <w:proofErr w:type="gramStart"/>
      <w:r>
        <w:t>—“</w:t>
      </w:r>
      <w:proofErr w:type="gramEnd"/>
      <w:r>
        <w:t xml:space="preserve">sufficient to permit reasonable attorney fees for all work that contributed to the class settlement.” </w:t>
      </w:r>
      <w:r>
        <w:rPr>
          <w:i/>
        </w:rPr>
        <w:t xml:space="preserve">Id. </w:t>
      </w:r>
      <w:r>
        <w:t xml:space="preserve">at 5112. </w:t>
      </w:r>
    </w:p>
    <w:p w14:paraId="72268CA8" w14:textId="77777777" w:rsidR="004B49A5" w:rsidRDefault="00000000" w:rsidP="00B914E3">
      <w:pPr>
        <w:spacing w:after="0"/>
        <w:ind w:left="0" w:firstLine="720"/>
      </w:pPr>
      <w:r>
        <w:rPr>
          <w:shd w:val="clear" w:color="auto" w:fill="FFFF00"/>
        </w:rPr>
        <w:t>Next, the court set about justifying its percentage fee award</w:t>
      </w:r>
      <w:r>
        <w:t xml:space="preserve">. Guiding this analysis were the “so-called </w:t>
      </w:r>
      <w:r>
        <w:rPr>
          <w:i/>
        </w:rPr>
        <w:t xml:space="preserve">Johnson </w:t>
      </w:r>
      <w:r>
        <w:t xml:space="preserve">factors.” </w:t>
      </w:r>
      <w:r>
        <w:rPr>
          <w:i/>
        </w:rPr>
        <w:t xml:space="preserve">Id. </w:t>
      </w:r>
      <w:r>
        <w:t xml:space="preserve">at 5112–13; </w:t>
      </w:r>
      <w:r>
        <w:rPr>
          <w:i/>
        </w:rPr>
        <w:t xml:space="preserve">see Johnson v. Ga. Highway </w:t>
      </w:r>
    </w:p>
    <w:p w14:paraId="4BEF0064" w14:textId="77777777" w:rsidR="004B49A5" w:rsidRDefault="00000000" w:rsidP="00B914E3">
      <w:pPr>
        <w:spacing w:after="0" w:line="259" w:lineRule="auto"/>
        <w:ind w:left="0"/>
      </w:pPr>
      <w:r>
        <w:rPr>
          <w:i/>
        </w:rPr>
        <w:t>Express, Inc.</w:t>
      </w:r>
      <w:r>
        <w:t xml:space="preserve">, 488 F.2d 714 (5th Cir. 1974), </w:t>
      </w:r>
      <w:r>
        <w:rPr>
          <w:i/>
        </w:rPr>
        <w:t xml:space="preserve">abrogated on other grounds by Blanchard v. </w:t>
      </w:r>
    </w:p>
    <w:p w14:paraId="2AEEE3CE" w14:textId="77777777" w:rsidR="004B49A5" w:rsidRDefault="00000000" w:rsidP="00B914E3">
      <w:pPr>
        <w:spacing w:after="0" w:line="492" w:lineRule="auto"/>
        <w:ind w:left="0"/>
        <w:jc w:val="both"/>
      </w:pPr>
      <w:r>
        <w:rPr>
          <w:i/>
        </w:rPr>
        <w:t>Bergeron</w:t>
      </w:r>
      <w:r>
        <w:t>, 489 U.S. 87 (1989).</w:t>
      </w:r>
      <w:r>
        <w:rPr>
          <w:vertAlign w:val="superscript"/>
        </w:rPr>
        <w:t>4</w:t>
      </w:r>
      <w:r>
        <w:t xml:space="preserve"> Additionally, “[</w:t>
      </w:r>
      <w:proofErr w:type="spellStart"/>
      <w:r>
        <w:t>i</w:t>
      </w:r>
      <w:proofErr w:type="spellEnd"/>
      <w:r>
        <w:t xml:space="preserve">]n percentage-of-the-fund cases, courts often engage in a ‘cross-check’ of the fee award against the lodestar figure accounting for counsel’s hours and hourly rates.” Joint App., Vol. 22, at 5113 (alteration in original) </w:t>
      </w:r>
    </w:p>
    <w:p w14:paraId="29A629C2" w14:textId="77777777" w:rsidR="004B49A5" w:rsidRDefault="00000000" w:rsidP="00B914E3">
      <w:pPr>
        <w:spacing w:after="0" w:line="259" w:lineRule="auto"/>
        <w:ind w:left="0" w:firstLine="0"/>
      </w:pPr>
      <w:r>
        <w:rPr>
          <w:sz w:val="20"/>
        </w:rPr>
        <w:t xml:space="preserve"> </w:t>
      </w:r>
    </w:p>
    <w:p w14:paraId="669CBBBC" w14:textId="77777777" w:rsidR="004B49A5" w:rsidRDefault="00000000" w:rsidP="00B914E3">
      <w:pPr>
        <w:spacing w:after="0" w:line="259" w:lineRule="auto"/>
        <w:ind w:left="0" w:firstLine="0"/>
      </w:pPr>
      <w:r>
        <w:rPr>
          <w:sz w:val="20"/>
        </w:rPr>
        <w:t xml:space="preserve"> </w:t>
      </w:r>
    </w:p>
    <w:p w14:paraId="25DB0758" w14:textId="77777777" w:rsidR="004B49A5" w:rsidRDefault="00000000" w:rsidP="00B914E3">
      <w:pPr>
        <w:spacing w:after="0" w:line="259" w:lineRule="auto"/>
        <w:ind w:left="0" w:firstLine="0"/>
      </w:pPr>
      <w:r>
        <w:rPr>
          <w:sz w:val="20"/>
        </w:rPr>
        <w:t xml:space="preserve"> </w:t>
      </w:r>
    </w:p>
    <w:p w14:paraId="5EB591F5" w14:textId="77777777" w:rsidR="004B49A5" w:rsidRDefault="00000000" w:rsidP="00B914E3">
      <w:pPr>
        <w:spacing w:after="0" w:line="259" w:lineRule="auto"/>
        <w:ind w:left="0" w:firstLine="0"/>
      </w:pPr>
      <w:r>
        <w:rPr>
          <w:sz w:val="20"/>
        </w:rPr>
        <w:t xml:space="preserve"> </w:t>
      </w:r>
    </w:p>
    <w:p w14:paraId="76AD5FC8" w14:textId="77777777" w:rsidR="004B49A5" w:rsidRDefault="00000000" w:rsidP="00B914E3">
      <w:pPr>
        <w:spacing w:after="0" w:line="259" w:lineRule="auto"/>
        <w:ind w:left="0" w:firstLine="0"/>
      </w:pPr>
      <w:r>
        <w:rPr>
          <w:sz w:val="20"/>
        </w:rPr>
        <w:t xml:space="preserve"> </w:t>
      </w:r>
    </w:p>
    <w:p w14:paraId="74407E8E" w14:textId="77777777" w:rsidR="004B49A5" w:rsidRDefault="00000000" w:rsidP="00B914E3">
      <w:pPr>
        <w:spacing w:after="0" w:line="259" w:lineRule="auto"/>
        <w:ind w:left="0" w:firstLine="0"/>
      </w:pPr>
      <w:r>
        <w:rPr>
          <w:rFonts w:ascii="Calibri" w:eastAsia="Calibri" w:hAnsi="Calibri" w:cs="Calibri"/>
          <w:noProof/>
          <w:sz w:val="22"/>
        </w:rPr>
        <mc:AlternateContent>
          <mc:Choice Requires="wpg">
            <w:drawing>
              <wp:inline distT="0" distB="0" distL="0" distR="0" wp14:anchorId="09C3B93C" wp14:editId="34A5E1EE">
                <wp:extent cx="1828800" cy="8382"/>
                <wp:effectExtent l="0" t="0" r="0" b="0"/>
                <wp:docPr id="33789" name="Group 33789"/>
                <wp:cNvGraphicFramePr/>
                <a:graphic xmlns:a="http://schemas.openxmlformats.org/drawingml/2006/main">
                  <a:graphicData uri="http://schemas.microsoft.com/office/word/2010/wordprocessingGroup">
                    <wpg:wgp>
                      <wpg:cNvGrpSpPr/>
                      <wpg:grpSpPr>
                        <a:xfrm>
                          <a:off x="0" y="0"/>
                          <a:ext cx="1828800" cy="8382"/>
                          <a:chOff x="0" y="0"/>
                          <a:chExt cx="1828800" cy="8382"/>
                        </a:xfrm>
                      </wpg:grpSpPr>
                      <wps:wsp>
                        <wps:cNvPr id="37060" name="Shape 3706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89" style="width:144pt;height:0.660004pt;mso-position-horizontal-relative:char;mso-position-vertical-relative:line" coordsize="18288,83">
                <v:shape id="Shape 37061"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6943F403" w14:textId="77777777" w:rsidR="004B49A5" w:rsidRDefault="00000000" w:rsidP="00B914E3">
      <w:pPr>
        <w:spacing w:after="0" w:line="282" w:lineRule="auto"/>
        <w:ind w:left="0" w:firstLine="720"/>
      </w:pPr>
      <w:r>
        <w:rPr>
          <w:vertAlign w:val="superscript"/>
        </w:rPr>
        <w:t>4</w:t>
      </w:r>
      <w:r>
        <w:t xml:space="preserve"> As we have had occasion to recite them, these factors—by which a court assesses the reasonableness and propriety of an attorneys’ fees award—are </w:t>
      </w:r>
    </w:p>
    <w:p w14:paraId="6EF4FC9D" w14:textId="77777777" w:rsidR="004B49A5" w:rsidRDefault="00000000" w:rsidP="00B914E3">
      <w:pPr>
        <w:spacing w:after="0" w:line="240" w:lineRule="auto"/>
        <w:ind w:left="0"/>
        <w:jc w:val="both"/>
      </w:pPr>
      <w:r>
        <w:t xml:space="preserve">(1) the time and labor involved; (2) the novelty and difficulty of the questions; (3) the skill requisite to perform the legal service properly; (4) the preclusion of other employment by the attorney due to acceptance of the case; (5) the customary fee; (6) any prearranged fee—this is helpful but not determinative; (7) time limitations imposed by the client or the circumstances; (8) the amount involved and the results obtained; (9) the experience, reputation, and ability of the attorneys; (10) the undesirability of the case; (11) the nature and length of the professional relationship with the client; and (12) awards in similar cases. </w:t>
      </w:r>
    </w:p>
    <w:p w14:paraId="478C17F5" w14:textId="77777777" w:rsidR="004B49A5" w:rsidRDefault="00000000" w:rsidP="00B914E3">
      <w:pPr>
        <w:spacing w:after="0" w:line="259" w:lineRule="auto"/>
        <w:ind w:left="0" w:firstLine="0"/>
      </w:pPr>
      <w:r>
        <w:t xml:space="preserve"> </w:t>
      </w:r>
    </w:p>
    <w:p w14:paraId="0E8CD45A" w14:textId="5BDAE716" w:rsidR="004B49A5" w:rsidRDefault="00000000" w:rsidP="00B914E3">
      <w:pPr>
        <w:spacing w:after="0" w:line="259" w:lineRule="auto"/>
        <w:ind w:left="0"/>
      </w:pPr>
      <w:r>
        <w:rPr>
          <w:i/>
        </w:rPr>
        <w:t>Brown v. Phillips Petroleum Co.</w:t>
      </w:r>
      <w:r>
        <w:t>, 838 F.2d 451, 454–55 (10th Cir. 1988). (</w:t>
      </w:r>
      <w:proofErr w:type="gramStart"/>
      <w:r>
        <w:t>quoting</w:t>
      </w:r>
      <w:proofErr w:type="gramEnd"/>
      <w:r>
        <w:t xml:space="preserve"> </w:t>
      </w:r>
      <w:proofErr w:type="gramStart"/>
      <w:r>
        <w:rPr>
          <w:i/>
        </w:rPr>
        <w:t>In</w:t>
      </w:r>
      <w:proofErr w:type="gramEnd"/>
      <w:r>
        <w:rPr>
          <w:i/>
        </w:rPr>
        <w:t xml:space="preserve"> re: Urethane Antitrust Litig.</w:t>
      </w:r>
      <w:r>
        <w:t xml:space="preserve">, No. 04-1616-JWL, 2016 WL 4060156, at *7 (D. </w:t>
      </w:r>
    </w:p>
    <w:p w14:paraId="4BBB2F27" w14:textId="77777777" w:rsidR="004B49A5" w:rsidRDefault="00000000" w:rsidP="00B914E3">
      <w:pPr>
        <w:spacing w:after="0" w:line="259" w:lineRule="auto"/>
        <w:ind w:left="0"/>
      </w:pPr>
      <w:r>
        <w:lastRenderedPageBreak/>
        <w:t>Kan. July 29, 2016)).</w:t>
      </w:r>
      <w:r>
        <w:rPr>
          <w:vertAlign w:val="superscript"/>
        </w:rPr>
        <w:t>5</w:t>
      </w:r>
      <w:r>
        <w:t xml:space="preserve"> </w:t>
      </w:r>
    </w:p>
    <w:p w14:paraId="670CB652" w14:textId="77777777" w:rsidR="004B49A5" w:rsidRDefault="00000000" w:rsidP="00B914E3">
      <w:pPr>
        <w:spacing w:after="0" w:line="259" w:lineRule="auto"/>
        <w:ind w:left="0"/>
      </w:pPr>
      <w:r>
        <w:t xml:space="preserve">As to the </w:t>
      </w:r>
      <w:r>
        <w:rPr>
          <w:i/>
        </w:rPr>
        <w:t xml:space="preserve">Johnson </w:t>
      </w:r>
      <w:r>
        <w:t xml:space="preserve">factors, the court found that all but the eleventh factor </w:t>
      </w:r>
    </w:p>
    <w:p w14:paraId="6DBB48BE" w14:textId="77777777" w:rsidR="004B49A5" w:rsidRDefault="00000000" w:rsidP="00B914E3">
      <w:pPr>
        <w:spacing w:after="0"/>
        <w:ind w:left="0"/>
      </w:pPr>
      <w:r>
        <w:t>“</w:t>
      </w:r>
      <w:proofErr w:type="gramStart"/>
      <w:r>
        <w:t>overwhelmingly</w:t>
      </w:r>
      <w:proofErr w:type="gramEnd"/>
      <w:r>
        <w:t xml:space="preserve"> support[ed]” a “substantial [fee] award.” </w:t>
      </w:r>
      <w:r>
        <w:rPr>
          <w:i/>
        </w:rPr>
        <w:t xml:space="preserve">Id. </w:t>
      </w:r>
      <w:r>
        <w:t>Summarizing, the court found that the one-third fee was reasonable because: (1) “</w:t>
      </w:r>
      <w:proofErr w:type="spellStart"/>
      <w:r>
        <w:t>th</w:t>
      </w:r>
      <w:proofErr w:type="spellEnd"/>
      <w:r>
        <w:t>[e] litigation required very extensive time and labor by plaintiffs’ attorneys (</w:t>
      </w:r>
      <w:r>
        <w:rPr>
          <w:i/>
        </w:rPr>
        <w:t xml:space="preserve">Johnson </w:t>
      </w:r>
      <w:r>
        <w:t xml:space="preserve">factor 1)”; (2) the “good pace” of the litigation “required counsel to perform their work subject to significant time limitations (factor 7)”; (3) the litigation “involved very novel and difficult questions of law and fact (factor 2)”; (4) “[t]he complex and difficult nature of the litigation, which spanned across multiple jurisdictions and which involved multiple types of plaintiffs and claims, required a great deal of skill from plaintiffs’ counsel (factor 3)”; (5) “the most prominent and productive plaintiffs’ counsel in </w:t>
      </w:r>
      <w:proofErr w:type="spellStart"/>
      <w:r>
        <w:t>th</w:t>
      </w:r>
      <w:proofErr w:type="spellEnd"/>
      <w:r>
        <w:t xml:space="preserve">[e] litigation were very experienced, had very good reputations, were excellent attorneys, and performed excellent work </w:t>
      </w:r>
    </w:p>
    <w:p w14:paraId="44E2A2E0" w14:textId="77777777" w:rsidR="004B49A5" w:rsidRDefault="00000000" w:rsidP="00B914E3">
      <w:pPr>
        <w:spacing w:after="0" w:line="259" w:lineRule="auto"/>
        <w:ind w:left="0" w:firstLine="0"/>
      </w:pPr>
      <w:r>
        <w:rPr>
          <w:sz w:val="20"/>
        </w:rPr>
        <w:t xml:space="preserve"> </w:t>
      </w:r>
    </w:p>
    <w:p w14:paraId="458F3CF9" w14:textId="77777777" w:rsidR="004B49A5" w:rsidRDefault="00000000" w:rsidP="00B914E3">
      <w:pPr>
        <w:spacing w:after="0" w:line="259" w:lineRule="auto"/>
        <w:ind w:left="0" w:firstLine="0"/>
      </w:pPr>
      <w:r>
        <w:rPr>
          <w:sz w:val="20"/>
        </w:rPr>
        <w:t xml:space="preserve"> </w:t>
      </w:r>
    </w:p>
    <w:p w14:paraId="2322EEE1" w14:textId="77777777" w:rsidR="004B49A5" w:rsidRDefault="00000000" w:rsidP="00B914E3">
      <w:pPr>
        <w:spacing w:after="0" w:line="259" w:lineRule="auto"/>
        <w:ind w:left="0" w:firstLine="0"/>
      </w:pPr>
      <w:r>
        <w:rPr>
          <w:rFonts w:ascii="Calibri" w:eastAsia="Calibri" w:hAnsi="Calibri" w:cs="Calibri"/>
          <w:noProof/>
          <w:sz w:val="22"/>
        </w:rPr>
        <mc:AlternateContent>
          <mc:Choice Requires="wpg">
            <w:drawing>
              <wp:inline distT="0" distB="0" distL="0" distR="0" wp14:anchorId="5AD9249A" wp14:editId="575E0A2D">
                <wp:extent cx="1828800" cy="8382"/>
                <wp:effectExtent l="0" t="0" r="0" b="0"/>
                <wp:docPr id="33682" name="Group 33682"/>
                <wp:cNvGraphicFramePr/>
                <a:graphic xmlns:a="http://schemas.openxmlformats.org/drawingml/2006/main">
                  <a:graphicData uri="http://schemas.microsoft.com/office/word/2010/wordprocessingGroup">
                    <wpg:wgp>
                      <wpg:cNvGrpSpPr/>
                      <wpg:grpSpPr>
                        <a:xfrm>
                          <a:off x="0" y="0"/>
                          <a:ext cx="1828800" cy="8382"/>
                          <a:chOff x="0" y="0"/>
                          <a:chExt cx="1828800" cy="8382"/>
                        </a:xfrm>
                      </wpg:grpSpPr>
                      <wps:wsp>
                        <wps:cNvPr id="37062" name="Shape 3706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2" style="width:144pt;height:0.660004pt;mso-position-horizontal-relative:char;mso-position-vertical-relative:line" coordsize="18288,83">
                <v:shape id="Shape 37063"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0E330016" w14:textId="77777777" w:rsidR="004B49A5" w:rsidRDefault="00000000" w:rsidP="00B914E3">
      <w:pPr>
        <w:spacing w:after="0" w:line="244" w:lineRule="auto"/>
        <w:ind w:left="0" w:firstLine="720"/>
      </w:pPr>
      <w:r>
        <w:rPr>
          <w:vertAlign w:val="superscript"/>
        </w:rPr>
        <w:t>5</w:t>
      </w:r>
      <w:r>
        <w:t xml:space="preserve"> The well-established lodestar method may be briefly described in the following manner: </w:t>
      </w:r>
    </w:p>
    <w:p w14:paraId="5597175E" w14:textId="77777777" w:rsidR="004B49A5" w:rsidRDefault="00000000" w:rsidP="00B914E3">
      <w:pPr>
        <w:spacing w:after="0" w:line="240" w:lineRule="auto"/>
        <w:ind w:left="0"/>
        <w:jc w:val="both"/>
      </w:pPr>
      <w:r w:rsidRPr="002A1433">
        <w:rPr>
          <w:highlight w:val="yellow"/>
        </w:rPr>
        <w:t>Under this [lodestar] approach, in determining a reasonable fee award, a court must first multiply the hours reasonably spent by a normal hourly rate for noncontingent work to arrive at a lodestar figure. This lodestar should then be further considered for adjustments, known as ‘multiples,’ for contingency and quality factors, when appropriate, in arriving at a reasonable fee.</w:t>
      </w:r>
      <w:r>
        <w:t xml:space="preserve"> </w:t>
      </w:r>
    </w:p>
    <w:p w14:paraId="20686703" w14:textId="77777777" w:rsidR="004B49A5" w:rsidRDefault="00000000" w:rsidP="00B914E3">
      <w:pPr>
        <w:spacing w:after="0" w:line="259" w:lineRule="auto"/>
        <w:ind w:left="0" w:firstLine="0"/>
      </w:pPr>
      <w:r>
        <w:t xml:space="preserve"> </w:t>
      </w:r>
    </w:p>
    <w:p w14:paraId="7C3A34C7" w14:textId="77777777" w:rsidR="003060F1" w:rsidRDefault="00000000" w:rsidP="00B914E3">
      <w:pPr>
        <w:spacing w:after="0" w:line="240" w:lineRule="auto"/>
        <w:ind w:left="0"/>
      </w:pPr>
      <w:r>
        <w:t>1 Alba Conte, A</w:t>
      </w:r>
      <w:r>
        <w:rPr>
          <w:sz w:val="21"/>
        </w:rPr>
        <w:t xml:space="preserve">TTORNEY </w:t>
      </w:r>
      <w:r>
        <w:t>F</w:t>
      </w:r>
      <w:r>
        <w:rPr>
          <w:sz w:val="21"/>
        </w:rPr>
        <w:t xml:space="preserve">EE </w:t>
      </w:r>
      <w:r>
        <w:t>A</w:t>
      </w:r>
      <w:r>
        <w:rPr>
          <w:sz w:val="21"/>
        </w:rPr>
        <w:t xml:space="preserve">WARDS </w:t>
      </w:r>
      <w:r>
        <w:t>§ 2:3 (3d ed.), Westlaw (database up</w:t>
      </w:r>
      <w:r w:rsidR="003060F1">
        <w:t>d</w:t>
      </w:r>
      <w:r>
        <w:t xml:space="preserve">ated June 2022). </w:t>
      </w:r>
    </w:p>
    <w:p w14:paraId="50BFF641" w14:textId="58A34958" w:rsidR="004B49A5" w:rsidRDefault="00000000" w:rsidP="00B914E3">
      <w:pPr>
        <w:spacing w:after="0" w:line="240" w:lineRule="auto"/>
        <w:ind w:left="0"/>
      </w:pPr>
      <w:r>
        <w:t xml:space="preserve">(factor 9)”; (6) “the demands of </w:t>
      </w:r>
      <w:proofErr w:type="spellStart"/>
      <w:r>
        <w:t>th</w:t>
      </w:r>
      <w:proofErr w:type="spellEnd"/>
      <w:r>
        <w:t xml:space="preserve">[e] litigation, especially for lead counsel in the various courts, precluded other employment . . . (factor 4)”; (7) “a one-third fee is customary in contingent-fee cases (factor 5)”; and “many plaintiffs in </w:t>
      </w:r>
      <w:proofErr w:type="spellStart"/>
      <w:r>
        <w:t>th</w:t>
      </w:r>
      <w:proofErr w:type="spellEnd"/>
      <w:r>
        <w:t>[e] case agreed to contingent- fee arrangements that allowed for fees of at least 40 percent of any recovery (factor 6)”; and (8) “the amount at stake,” “the excellent results obtained for plaintiffs,” the “difficulties faced by plaintiffs in succeeding on the[</w:t>
      </w:r>
      <w:proofErr w:type="spellStart"/>
      <w:r>
        <w:t>ir</w:t>
      </w:r>
      <w:proofErr w:type="spellEnd"/>
      <w:r>
        <w:t xml:space="preserve">] claims,” and “a consideration of awards in similar cases” (factors 8, 10, and 12) all justified a substantial aggregate fee award. </w:t>
      </w:r>
      <w:r>
        <w:rPr>
          <w:i/>
        </w:rPr>
        <w:t xml:space="preserve">Id. </w:t>
      </w:r>
      <w:r>
        <w:t xml:space="preserve">at 5114–18. The court also noted that, “unlike some other class actions, this case did not involve a government investigation or prosecution of the defendant, and thus </w:t>
      </w:r>
      <w:r>
        <w:lastRenderedPageBreak/>
        <w:t xml:space="preserve">plaintiffs’ counsel </w:t>
      </w:r>
      <w:proofErr w:type="gramStart"/>
      <w:r>
        <w:t>were</w:t>
      </w:r>
      <w:proofErr w:type="gramEnd"/>
      <w:r>
        <w:t xml:space="preserve"> forced to undertake all of t</w:t>
      </w:r>
      <w:r w:rsidR="003060F1">
        <w:t>h</w:t>
      </w:r>
      <w:r>
        <w:t xml:space="preserve">e necessary investigation and discovery”—which further supported a substantial fee award. </w:t>
      </w:r>
      <w:r>
        <w:rPr>
          <w:i/>
        </w:rPr>
        <w:t xml:space="preserve">Id. </w:t>
      </w:r>
      <w:r>
        <w:t xml:space="preserve">at 5115. </w:t>
      </w:r>
    </w:p>
    <w:p w14:paraId="6F56EC4F" w14:textId="77777777" w:rsidR="004B49A5" w:rsidRDefault="00000000" w:rsidP="00B914E3">
      <w:pPr>
        <w:spacing w:after="0" w:line="484" w:lineRule="auto"/>
        <w:ind w:left="0" w:firstLine="720"/>
      </w:pPr>
      <w:r>
        <w:rPr>
          <w:shd w:val="clear" w:color="auto" w:fill="FFFF00"/>
        </w:rPr>
        <w:t xml:space="preserve">As well, the court reasoned that “a cross-check of the relevant lodestar amount” confirmed “the reasonableness of a one-third award.” </w:t>
      </w:r>
      <w:r>
        <w:rPr>
          <w:i/>
          <w:shd w:val="clear" w:color="auto" w:fill="FFFF00"/>
        </w:rPr>
        <w:t xml:space="preserve">Id. </w:t>
      </w:r>
      <w:r>
        <w:rPr>
          <w:shd w:val="clear" w:color="auto" w:fill="FFFF00"/>
        </w:rPr>
        <w:t xml:space="preserve">at 5120. The court </w:t>
      </w:r>
    </w:p>
    <w:p w14:paraId="74B48496" w14:textId="77777777" w:rsidR="004B49A5" w:rsidRDefault="00000000" w:rsidP="00B914E3">
      <w:pPr>
        <w:spacing w:after="0" w:line="484" w:lineRule="auto"/>
        <w:ind w:left="0"/>
      </w:pPr>
      <w:r>
        <w:rPr>
          <w:shd w:val="clear" w:color="auto" w:fill="FFFF00"/>
        </w:rPr>
        <w:t>“</w:t>
      </w:r>
      <w:proofErr w:type="gramStart"/>
      <w:r>
        <w:rPr>
          <w:shd w:val="clear" w:color="auto" w:fill="FFFF00"/>
        </w:rPr>
        <w:t>consider</w:t>
      </w:r>
      <w:proofErr w:type="gramEnd"/>
      <w:r>
        <w:rPr>
          <w:shd w:val="clear" w:color="auto" w:fill="FFFF00"/>
        </w:rPr>
        <w:t>[ed] all fee applications submitted by plaintiffs’ attorneys” in constructing the applicable lodestar, “[b]</w:t>
      </w:r>
      <w:proofErr w:type="spellStart"/>
      <w:r>
        <w:rPr>
          <w:shd w:val="clear" w:color="auto" w:fill="FFFF00"/>
        </w:rPr>
        <w:t>ecause</w:t>
      </w:r>
      <w:proofErr w:type="spellEnd"/>
      <w:r>
        <w:rPr>
          <w:shd w:val="clear" w:color="auto" w:fill="FFFF00"/>
        </w:rPr>
        <w:t xml:space="preserve"> </w:t>
      </w:r>
      <w:proofErr w:type="spellStart"/>
      <w:r>
        <w:rPr>
          <w:shd w:val="clear" w:color="auto" w:fill="FFFF00"/>
        </w:rPr>
        <w:t>th</w:t>
      </w:r>
      <w:proofErr w:type="spellEnd"/>
      <w:r>
        <w:rPr>
          <w:shd w:val="clear" w:color="auto" w:fill="FFFF00"/>
        </w:rPr>
        <w:t xml:space="preserve">[e] award [was] intended to account for all contingent fee recoveries from payments to class members from the settlement fund.” </w:t>
      </w:r>
      <w:r>
        <w:rPr>
          <w:i/>
          <w:shd w:val="clear" w:color="auto" w:fill="FFFF00"/>
        </w:rPr>
        <w:t xml:space="preserve">Id. </w:t>
      </w:r>
      <w:r>
        <w:rPr>
          <w:shd w:val="clear" w:color="auto" w:fill="FFFF00"/>
        </w:rPr>
        <w:t xml:space="preserve">Further, the court found reasonable the counsels’ average hourly rate, which was under $500, and </w:t>
      </w:r>
    </w:p>
    <w:p w14:paraId="4C4F724A" w14:textId="77777777" w:rsidR="004B49A5" w:rsidRDefault="00000000" w:rsidP="00B914E3">
      <w:pPr>
        <w:spacing w:after="0" w:line="484" w:lineRule="auto"/>
        <w:ind w:left="0"/>
      </w:pPr>
      <w:r>
        <w:rPr>
          <w:shd w:val="clear" w:color="auto" w:fill="FFFF00"/>
        </w:rPr>
        <w:t>“</w:t>
      </w:r>
      <w:proofErr w:type="gramStart"/>
      <w:r>
        <w:rPr>
          <w:shd w:val="clear" w:color="auto" w:fill="FFFF00"/>
        </w:rPr>
        <w:t>the</w:t>
      </w:r>
      <w:proofErr w:type="gramEnd"/>
      <w:r>
        <w:rPr>
          <w:shd w:val="clear" w:color="auto" w:fill="FFFF00"/>
        </w:rPr>
        <w:t xml:space="preserve"> number of hours expended,” “considering the scope and complexity of </w:t>
      </w:r>
      <w:proofErr w:type="spellStart"/>
      <w:r>
        <w:rPr>
          <w:shd w:val="clear" w:color="auto" w:fill="FFFF00"/>
        </w:rPr>
        <w:t>th</w:t>
      </w:r>
      <w:proofErr w:type="spellEnd"/>
      <w:r>
        <w:rPr>
          <w:shd w:val="clear" w:color="auto" w:fill="FFFF00"/>
        </w:rPr>
        <w:t xml:space="preserve">[e] litigation.” </w:t>
      </w:r>
      <w:r>
        <w:rPr>
          <w:i/>
          <w:shd w:val="clear" w:color="auto" w:fill="FFFF00"/>
        </w:rPr>
        <w:t xml:space="preserve">Id. </w:t>
      </w:r>
      <w:r>
        <w:rPr>
          <w:shd w:val="clear" w:color="auto" w:fill="FFFF00"/>
        </w:rPr>
        <w:t>This information yielded a “total lodestar amount [of] approximately</w:t>
      </w:r>
      <w:r>
        <w:t xml:space="preserve"> </w:t>
      </w:r>
    </w:p>
    <w:p w14:paraId="1EE06E35" w14:textId="77777777" w:rsidR="004B49A5" w:rsidRDefault="00000000" w:rsidP="00B914E3">
      <w:pPr>
        <w:spacing w:after="0" w:line="484" w:lineRule="auto"/>
        <w:ind w:left="0"/>
      </w:pPr>
      <w:r>
        <w:rPr>
          <w:shd w:val="clear" w:color="auto" w:fill="FFFF00"/>
        </w:rPr>
        <w:t xml:space="preserve">$357 million”; application of a 1.4 multiplier to the lodestar, then, generated the aggregate fee award of roughly $503 million. </w:t>
      </w:r>
      <w:r>
        <w:rPr>
          <w:i/>
          <w:shd w:val="clear" w:color="auto" w:fill="FFFF00"/>
        </w:rPr>
        <w:t>Id</w:t>
      </w:r>
      <w:r>
        <w:t xml:space="preserve">. “That multiplier,” noted the court, </w:t>
      </w:r>
    </w:p>
    <w:p w14:paraId="22F09B42" w14:textId="77777777" w:rsidR="004B49A5" w:rsidRDefault="00000000" w:rsidP="00B914E3">
      <w:pPr>
        <w:spacing w:after="0" w:line="259" w:lineRule="auto"/>
        <w:ind w:left="0"/>
      </w:pPr>
      <w:r>
        <w:t xml:space="preserve">“[was] extremely modest </w:t>
      </w:r>
      <w:proofErr w:type="gramStart"/>
      <w:r>
        <w:t>in light of</w:t>
      </w:r>
      <w:proofErr w:type="gramEnd"/>
      <w:r>
        <w:t xml:space="preserve"> the great risk undertaken in pursuing </w:t>
      </w:r>
      <w:proofErr w:type="gramStart"/>
      <w:r>
        <w:t>the[</w:t>
      </w:r>
      <w:proofErr w:type="gramEnd"/>
      <w:r>
        <w:t xml:space="preserve">] claims on </w:t>
      </w:r>
    </w:p>
    <w:p w14:paraId="60F98AAC" w14:textId="77777777" w:rsidR="004B49A5" w:rsidRDefault="00000000" w:rsidP="00B914E3">
      <w:pPr>
        <w:spacing w:after="0"/>
        <w:ind w:left="0"/>
      </w:pPr>
      <w:r>
        <w:t xml:space="preserve">a contingent-fee basis.” </w:t>
      </w:r>
      <w:r>
        <w:rPr>
          <w:i/>
        </w:rPr>
        <w:t xml:space="preserve">Id. </w:t>
      </w:r>
      <w:r>
        <w:t xml:space="preserve">Thus, based on the </w:t>
      </w:r>
      <w:r>
        <w:rPr>
          <w:i/>
        </w:rPr>
        <w:t xml:space="preserve">Johnson </w:t>
      </w:r>
      <w:r>
        <w:t>factors and the lodestar cross</w:t>
      </w:r>
      <w:proofErr w:type="gramStart"/>
      <w:r>
        <w:t>- check</w:t>
      </w:r>
      <w:proofErr w:type="gramEnd"/>
      <w:r>
        <w:t xml:space="preserve">, the court found a total fee award in the amount of one-third of the gross settlement fund to be justified in this case. </w:t>
      </w:r>
    </w:p>
    <w:p w14:paraId="6049C1F2" w14:textId="77777777" w:rsidR="004B49A5" w:rsidRDefault="00000000" w:rsidP="00B914E3">
      <w:pPr>
        <w:spacing w:after="0" w:line="259" w:lineRule="auto"/>
        <w:ind w:left="0"/>
        <w:jc w:val="center"/>
      </w:pPr>
      <w:r>
        <w:t xml:space="preserve">In the Judgment issued that same day, the court noted that it “retain[ed] . . . </w:t>
      </w:r>
    </w:p>
    <w:p w14:paraId="08A25C79" w14:textId="77777777" w:rsidR="004B49A5" w:rsidRDefault="00000000" w:rsidP="00B914E3">
      <w:pPr>
        <w:spacing w:after="0"/>
        <w:ind w:left="0"/>
      </w:pPr>
      <w:r>
        <w:t xml:space="preserve">continuing and exclusive jurisdiction to interpret, implement, administer, and enforce the Settlement Agreement, to distribute, allocate, and decide any disputes among counsel related to attorneys’ fees, costs and expenses, and to implement and complete the claims administration and distribution process.” </w:t>
      </w:r>
      <w:r>
        <w:rPr>
          <w:i/>
        </w:rPr>
        <w:t xml:space="preserve">Id. </w:t>
      </w:r>
      <w:r>
        <w:t xml:space="preserve">at 5133 (Kan. D. Ct. Final Order and </w:t>
      </w:r>
    </w:p>
    <w:p w14:paraId="57C25596" w14:textId="77777777" w:rsidR="004B49A5" w:rsidRDefault="00000000" w:rsidP="00B914E3">
      <w:pPr>
        <w:spacing w:after="0" w:line="259" w:lineRule="auto"/>
        <w:ind w:left="0"/>
      </w:pPr>
      <w:proofErr w:type="gramStart"/>
      <w:r>
        <w:t>Judgment,</w:t>
      </w:r>
      <w:proofErr w:type="gramEnd"/>
      <w:r>
        <w:t xml:space="preserve"> filed Dec. 7, 2018). </w:t>
      </w:r>
    </w:p>
    <w:p w14:paraId="555A4E35" w14:textId="77777777" w:rsidR="004B49A5" w:rsidRDefault="00000000" w:rsidP="00B914E3">
      <w:pPr>
        <w:spacing w:after="0" w:line="259" w:lineRule="auto"/>
        <w:ind w:left="0"/>
        <w:jc w:val="center"/>
      </w:pPr>
      <w:r>
        <w:t xml:space="preserve">* * * * </w:t>
      </w:r>
    </w:p>
    <w:p w14:paraId="69C4814F" w14:textId="27B4ABFD" w:rsidR="004B49A5" w:rsidRDefault="00000000" w:rsidP="00B914E3">
      <w:pPr>
        <w:spacing w:after="0" w:line="259" w:lineRule="auto"/>
        <w:ind w:left="0" w:firstLine="0"/>
      </w:pPr>
      <w:r>
        <w:t xml:space="preserve"> a</w:t>
      </w:r>
      <w:proofErr w:type="gramStart"/>
      <w:r>
        <w:t>.</w:t>
      </w:r>
      <w:r>
        <w:rPr>
          <w:rFonts w:ascii="Arial" w:eastAsia="Arial" w:hAnsi="Arial" w:cs="Arial"/>
        </w:rPr>
        <w:t xml:space="preserve"> </w:t>
      </w:r>
      <w:r>
        <w:rPr>
          <w:rFonts w:ascii="Arial" w:eastAsia="Arial" w:hAnsi="Arial" w:cs="Arial"/>
        </w:rPr>
        <w:tab/>
      </w:r>
      <w:r>
        <w:t>The</w:t>
      </w:r>
      <w:proofErr w:type="gramEnd"/>
      <w:r>
        <w:t xml:space="preserve"> Percentage-of-the-Fund vs. Lodestar Methods in the Class Action Context </w:t>
      </w:r>
    </w:p>
    <w:p w14:paraId="5DABBB6C" w14:textId="77777777" w:rsidR="002A1433" w:rsidRDefault="002A1433" w:rsidP="00B914E3">
      <w:pPr>
        <w:spacing w:after="0" w:line="259" w:lineRule="auto"/>
        <w:ind w:left="0" w:firstLine="0"/>
      </w:pPr>
    </w:p>
    <w:p w14:paraId="32A1B194" w14:textId="77777777" w:rsidR="004B49A5" w:rsidRDefault="00000000" w:rsidP="00B914E3">
      <w:pPr>
        <w:spacing w:after="0"/>
        <w:ind w:left="0" w:firstLine="720"/>
      </w:pPr>
      <w:r>
        <w:t xml:space="preserve">Arguing that their lodestar figure is presumptively reasonable, Kansas Appellants contend that they should have “receive[d] their respective lodestars.” Kan. </w:t>
      </w:r>
      <w:proofErr w:type="spellStart"/>
      <w:r>
        <w:t>Aplts</w:t>
      </w:r>
      <w:proofErr w:type="spellEnd"/>
      <w:r>
        <w:t xml:space="preserve">.’ Opening </w:t>
      </w:r>
      <w:r>
        <w:lastRenderedPageBreak/>
        <w:t xml:space="preserve">Br. at 52–53. In that respect, Kansas Appellants backhandedly argue that, as a rule, the district court erred in applying a percentage-of-the-fund method, rather than a lodestar method, in determining their fee award. </w:t>
      </w:r>
    </w:p>
    <w:p w14:paraId="00265A9A" w14:textId="77777777" w:rsidR="004B49A5" w:rsidRDefault="00000000" w:rsidP="00B914E3">
      <w:pPr>
        <w:spacing w:after="0"/>
        <w:ind w:left="0" w:firstLine="720"/>
      </w:pPr>
      <w:r>
        <w:t>We have already asked—and answered</w:t>
      </w:r>
      <w:proofErr w:type="gramStart"/>
      <w:r>
        <w:t>—“whether</w:t>
      </w:r>
      <w:proofErr w:type="gramEnd"/>
      <w:r>
        <w:t xml:space="preserve"> a fee award based on a percentage of a common fund . . . is </w:t>
      </w:r>
      <w:r>
        <w:rPr>
          <w:i/>
        </w:rPr>
        <w:t xml:space="preserve">per se </w:t>
      </w:r>
      <w:r>
        <w:t xml:space="preserve">unreasonable.” </w:t>
      </w:r>
      <w:r>
        <w:rPr>
          <w:i/>
        </w:rPr>
        <w:t>Brown</w:t>
      </w:r>
      <w:r>
        <w:t xml:space="preserve">, 838 F.2d at 454. It is not. </w:t>
      </w:r>
      <w:r>
        <w:rPr>
          <w:i/>
        </w:rPr>
        <w:t xml:space="preserve">See id. </w:t>
      </w:r>
      <w:r>
        <w:t>(“</w:t>
      </w:r>
      <w:r>
        <w:rPr>
          <w:shd w:val="clear" w:color="auto" w:fill="FFFF00"/>
        </w:rPr>
        <w:t xml:space="preserve">We hold, therefore, that the award of attorneys’ fees on a percentage basis </w:t>
      </w:r>
    </w:p>
    <w:p w14:paraId="5A6E85A2" w14:textId="77777777" w:rsidR="004B49A5" w:rsidRDefault="00000000" w:rsidP="00B914E3">
      <w:pPr>
        <w:spacing w:after="0" w:line="259" w:lineRule="auto"/>
        <w:ind w:left="0"/>
      </w:pPr>
      <w:r>
        <w:rPr>
          <w:shd w:val="clear" w:color="auto" w:fill="FFFF00"/>
        </w:rPr>
        <w:t xml:space="preserve">in a common fund case is not </w:t>
      </w:r>
      <w:r>
        <w:rPr>
          <w:i/>
          <w:shd w:val="clear" w:color="auto" w:fill="FFFF00"/>
        </w:rPr>
        <w:t xml:space="preserve">per se </w:t>
      </w:r>
      <w:r>
        <w:rPr>
          <w:shd w:val="clear" w:color="auto" w:fill="FFFF00"/>
        </w:rPr>
        <w:t>an abuse of discretion.”);</w:t>
      </w:r>
      <w:r>
        <w:t xml:space="preserve"> </w:t>
      </w:r>
      <w:r>
        <w:rPr>
          <w:i/>
        </w:rPr>
        <w:t>accord Blum v. Stenson</w:t>
      </w:r>
      <w:r>
        <w:t xml:space="preserve">, </w:t>
      </w:r>
    </w:p>
    <w:p w14:paraId="50A0193C" w14:textId="77777777" w:rsidR="004B49A5" w:rsidRDefault="00000000" w:rsidP="00B914E3">
      <w:pPr>
        <w:spacing w:after="0"/>
        <w:ind w:left="0"/>
      </w:pPr>
      <w:r>
        <w:t xml:space="preserve">465 U.S. 886, 900 n.16 (1984) (noting that “under the ‘common fund doctrine,’ . . . a reasonable fee is based on a percentage of the fund bestowed on the class”). </w:t>
      </w:r>
      <w:r>
        <w:rPr>
          <w:shd w:val="clear" w:color="auto" w:fill="FFFF00"/>
        </w:rPr>
        <w:t>That is because the “award of attorneys’ fees is based on substantially different underlying purposes in a common fund case” than in other kinds of cases,</w:t>
      </w:r>
      <w:r>
        <w:t xml:space="preserve"> </w:t>
      </w:r>
      <w:r>
        <w:rPr>
          <w:i/>
        </w:rPr>
        <w:t>Brown</w:t>
      </w:r>
      <w:r>
        <w:t xml:space="preserve">, 838 F.2d at 454— such as those involving fee-shifting statutes, </w:t>
      </w:r>
      <w:r>
        <w:rPr>
          <w:i/>
        </w:rPr>
        <w:t>see Perdue v. Kenny A. ex rel. Winn</w:t>
      </w:r>
      <w:r>
        <w:t xml:space="preserve">, 559 U.S. 542, 551 (2010) (explaining that the lodestar method accords with “the aim of fee- shifting statutes”). </w:t>
      </w:r>
    </w:p>
    <w:p w14:paraId="28F4F2EE" w14:textId="77777777" w:rsidR="004B49A5" w:rsidRDefault="00000000" w:rsidP="00B914E3">
      <w:pPr>
        <w:spacing w:after="0"/>
        <w:ind w:left="0" w:firstLine="720"/>
      </w:pPr>
      <w:r>
        <w:t xml:space="preserve">Ordinarily, under the “American Rule,” prevailing litigants are responsible for paying their own attorneys’ fees. </w:t>
      </w:r>
      <w:r>
        <w:rPr>
          <w:i/>
        </w:rPr>
        <w:t>Hardt v. Reliance Standard Life Ins. Co.</w:t>
      </w:r>
      <w:r>
        <w:t xml:space="preserve">, 560 U.S. 242, 253 (2010). But the class action context offers an exception to this rule through the </w:t>
      </w:r>
    </w:p>
    <w:p w14:paraId="58187006" w14:textId="77777777" w:rsidR="004B49A5" w:rsidRDefault="00000000" w:rsidP="00B914E3">
      <w:pPr>
        <w:spacing w:after="0"/>
        <w:ind w:left="0"/>
      </w:pPr>
      <w:r>
        <w:t>“</w:t>
      </w:r>
      <w:proofErr w:type="gramStart"/>
      <w:r>
        <w:t>common</w:t>
      </w:r>
      <w:proofErr w:type="gramEnd"/>
      <w:r>
        <w:t xml:space="preserve"> fund” doctrine. </w:t>
      </w:r>
      <w:r>
        <w:rPr>
          <w:i/>
        </w:rPr>
        <w:t>Boeing Co. v. Van Gemert</w:t>
      </w:r>
      <w:r>
        <w:t xml:space="preserve">, 444 U.S. 472, 478 (1980). In large class actions such as this, a relatively small handful of plaintiffs bear the cost of </w:t>
      </w:r>
      <w:proofErr w:type="gramStart"/>
      <w:r>
        <w:t>suit</w:t>
      </w:r>
      <w:proofErr w:type="gramEnd"/>
      <w:r>
        <w:t xml:space="preserve">. </w:t>
      </w:r>
      <w:r>
        <w:rPr>
          <w:i/>
        </w:rPr>
        <w:t>See Mills</w:t>
      </w:r>
      <w:r>
        <w:t xml:space="preserve">, 396 U.S. at 392. If those plaintiffs prevail, their success benefits the entire class. </w:t>
      </w:r>
      <w:r>
        <w:rPr>
          <w:i/>
        </w:rPr>
        <w:t xml:space="preserve">Id. </w:t>
      </w:r>
      <w:r>
        <w:t xml:space="preserve">Were the American Rule to apply in this context, the named class plaintiffs would shoulder the costs of suit—including attorneys’ fees—for the entire class, even as the remainder of the class reaps the benefits of their labor. </w:t>
      </w:r>
      <w:r>
        <w:rPr>
          <w:i/>
        </w:rPr>
        <w:t>See Rosenbaum v. MacAllister</w:t>
      </w:r>
      <w:r>
        <w:t xml:space="preserve">, 64 F.3d 1439, </w:t>
      </w:r>
      <w:r>
        <w:lastRenderedPageBreak/>
        <w:t>1444 (10th Cir. 1995). The common fund doctrine prevents such unjust enrichment by enabling class action attorneys to extract fees from the collective award, thereby “spread[</w:t>
      </w:r>
      <w:proofErr w:type="spellStart"/>
      <w:r>
        <w:t>ing</w:t>
      </w:r>
      <w:proofErr w:type="spellEnd"/>
      <w:r>
        <w:t xml:space="preserve">] the costs [of suit] proportionately among” the ascertainable class. </w:t>
      </w:r>
    </w:p>
    <w:p w14:paraId="3C8E6EAC" w14:textId="77777777" w:rsidR="004B49A5" w:rsidRDefault="00000000" w:rsidP="00B914E3">
      <w:pPr>
        <w:spacing w:after="0"/>
        <w:ind w:left="0"/>
      </w:pPr>
      <w:r>
        <w:rPr>
          <w:i/>
        </w:rPr>
        <w:t>Hall v. Cole</w:t>
      </w:r>
      <w:r>
        <w:t xml:space="preserve">, 412 U.S. 1, 5 (1973) (quoting </w:t>
      </w:r>
      <w:r>
        <w:rPr>
          <w:i/>
        </w:rPr>
        <w:t>Mills</w:t>
      </w:r>
      <w:r>
        <w:t xml:space="preserve">, 396 U.S. at 393–94); </w:t>
      </w:r>
      <w:r>
        <w:rPr>
          <w:i/>
        </w:rPr>
        <w:t>see also Boeing</w:t>
      </w:r>
      <w:r>
        <w:t xml:space="preserve">, 444 U.S. at 478 (noting the Court’s “consistent[]” recognition that the common fund entitles an attorney who recovers common, or collective, benefits for persons other than herself or her client to a “reasonable . . . fee from the fund as a whole”); </w:t>
      </w:r>
      <w:r>
        <w:rPr>
          <w:i/>
        </w:rPr>
        <w:t xml:space="preserve">Chambers v. </w:t>
      </w:r>
    </w:p>
    <w:p w14:paraId="7625BFC4" w14:textId="77777777" w:rsidR="004B49A5" w:rsidRDefault="00000000" w:rsidP="00B914E3">
      <w:pPr>
        <w:spacing w:after="0"/>
        <w:ind w:left="0"/>
      </w:pPr>
      <w:r>
        <w:rPr>
          <w:i/>
        </w:rPr>
        <w:t>NASCO, Inc.</w:t>
      </w:r>
      <w:r>
        <w:t xml:space="preserve">, 501 U.S. 32, 45 (1991) (noting that the common fund doctrine “derives not from a court’s power to control litigants, but from its historic equity jurisdiction, . . . and allows a court to award attorney’s fees to a party whose litigation efforts directly benefit </w:t>
      </w:r>
    </w:p>
    <w:p w14:paraId="213AB00D" w14:textId="77777777" w:rsidR="004B49A5" w:rsidRDefault="00000000" w:rsidP="00B914E3">
      <w:pPr>
        <w:spacing w:after="0" w:line="259" w:lineRule="auto"/>
        <w:ind w:left="0"/>
      </w:pPr>
      <w:r>
        <w:t xml:space="preserve">others”). </w:t>
      </w:r>
    </w:p>
    <w:p w14:paraId="6380A149" w14:textId="77777777" w:rsidR="004B49A5" w:rsidRDefault="00000000" w:rsidP="00B914E3">
      <w:pPr>
        <w:spacing w:after="0" w:line="259" w:lineRule="auto"/>
        <w:ind w:left="0" w:firstLine="0"/>
      </w:pPr>
      <w:r>
        <w:t xml:space="preserve"> </w:t>
      </w:r>
    </w:p>
    <w:p w14:paraId="58B8610F" w14:textId="77777777" w:rsidR="004B49A5" w:rsidRDefault="00000000" w:rsidP="00B914E3">
      <w:pPr>
        <w:spacing w:after="0" w:line="484" w:lineRule="auto"/>
        <w:ind w:left="0" w:firstLine="720"/>
      </w:pPr>
      <w:r>
        <w:rPr>
          <w:shd w:val="clear" w:color="auto" w:fill="FFFF00"/>
        </w:rPr>
        <w:t>Similar equitable considerations, together with ethical concerns, permit courts to award fees on a percentage-of-the-fund basis, as opposed to the lodestar method.</w:t>
      </w:r>
      <w:r>
        <w:t xml:space="preserve"> </w:t>
      </w:r>
      <w:r>
        <w:rPr>
          <w:i/>
        </w:rPr>
        <w:t xml:space="preserve">See </w:t>
      </w:r>
    </w:p>
    <w:p w14:paraId="347059BC" w14:textId="77777777" w:rsidR="004B49A5" w:rsidRDefault="00000000" w:rsidP="00B914E3">
      <w:pPr>
        <w:spacing w:after="0"/>
        <w:ind w:left="0"/>
      </w:pPr>
      <w:r>
        <w:rPr>
          <w:i/>
        </w:rPr>
        <w:t>Gottlieb v. Barry</w:t>
      </w:r>
      <w:r>
        <w:t xml:space="preserve">, 43 F.3d 474, 482 (10th Cir. 1994) (recognizing that “[m]any courts have addressed the propriety of utilizing the percentage of the fund instead of the lodestar in calculating attorneys’ fees in common fund cases”); </w:t>
      </w:r>
      <w:r>
        <w:rPr>
          <w:i/>
        </w:rPr>
        <w:t>Voulgaris v. Array Biopharma</w:t>
      </w:r>
      <w:r>
        <w:t xml:space="preserve">, </w:t>
      </w:r>
    </w:p>
    <w:p w14:paraId="552F609B" w14:textId="77777777" w:rsidR="004B49A5" w:rsidRDefault="00000000" w:rsidP="00B914E3">
      <w:pPr>
        <w:spacing w:after="0" w:line="259" w:lineRule="auto"/>
        <w:ind w:left="0"/>
      </w:pPr>
      <w:r>
        <w:rPr>
          <w:i/>
        </w:rPr>
        <w:t>Inc.</w:t>
      </w:r>
      <w:r>
        <w:t xml:space="preserve">, No. 22-1003, 2023 WL ---, Slip. Op. at 4 (10th Cir. Feb. 27, 2023) (recognizing that </w:t>
      </w:r>
    </w:p>
    <w:p w14:paraId="1599F5F3" w14:textId="77777777" w:rsidR="004B49A5" w:rsidRDefault="00000000" w:rsidP="00B914E3">
      <w:pPr>
        <w:spacing w:after="0"/>
        <w:ind w:left="0"/>
      </w:pPr>
      <w:r>
        <w:t xml:space="preserve">“[t]wo methods exist for determining attorneys’ fee awards in common-fund class action </w:t>
      </w:r>
      <w:proofErr w:type="gramStart"/>
      <w:r>
        <w:t>cases[</w:t>
      </w:r>
      <w:proofErr w:type="gramEnd"/>
      <w:r>
        <w:t xml:space="preserve">,]” including “the percentage-of-the fund method”). To be sure, the lodestar method “produces an award that </w:t>
      </w:r>
      <w:r>
        <w:rPr>
          <w:i/>
        </w:rPr>
        <w:t xml:space="preserve">roughly </w:t>
      </w:r>
      <w:r>
        <w:t xml:space="preserve">approximates the fee that the prevailing attorney would have received if he or she had been representing a paying client who was billed by the hour in a </w:t>
      </w:r>
      <w:r>
        <w:rPr>
          <w:i/>
        </w:rPr>
        <w:t>comparable case</w:t>
      </w:r>
      <w:r>
        <w:t>.”</w:t>
      </w:r>
      <w:r>
        <w:rPr>
          <w:vertAlign w:val="superscript"/>
        </w:rPr>
        <w:t>41</w:t>
      </w:r>
      <w:r>
        <w:t xml:space="preserve"> </w:t>
      </w:r>
      <w:r>
        <w:rPr>
          <w:i/>
        </w:rPr>
        <w:t>Perdue</w:t>
      </w:r>
      <w:r>
        <w:t xml:space="preserve">, 559 U.S. at 551 (second emphasis added). </w:t>
      </w:r>
      <w:r>
        <w:rPr>
          <w:shd w:val="clear" w:color="auto" w:fill="FFFF00"/>
        </w:rPr>
        <w:t xml:space="preserve">But some courts have found that using the lodestar approach in common fund cases </w:t>
      </w:r>
    </w:p>
    <w:p w14:paraId="4E7D245F" w14:textId="77777777" w:rsidR="004B49A5" w:rsidRDefault="00000000" w:rsidP="00B914E3">
      <w:pPr>
        <w:spacing w:after="0" w:line="484" w:lineRule="auto"/>
        <w:ind w:left="0"/>
      </w:pPr>
      <w:r>
        <w:rPr>
          <w:shd w:val="clear" w:color="auto" w:fill="FFFF00"/>
        </w:rPr>
        <w:lastRenderedPageBreak/>
        <w:t>“</w:t>
      </w:r>
      <w:proofErr w:type="gramStart"/>
      <w:r>
        <w:rPr>
          <w:shd w:val="clear" w:color="auto" w:fill="FFFF00"/>
        </w:rPr>
        <w:t>encourages</w:t>
      </w:r>
      <w:proofErr w:type="gramEnd"/>
      <w:r>
        <w:rPr>
          <w:shd w:val="clear" w:color="auto" w:fill="FFFF00"/>
        </w:rPr>
        <w:t xml:space="preserve"> significant elements of inefficiency” because the method incentivizes attorneys to “spend as many hours as possible,” resulting in fewer settlements.</w:t>
      </w:r>
      <w:r>
        <w:t xml:space="preserve"> </w:t>
      </w:r>
      <w:r>
        <w:rPr>
          <w:i/>
        </w:rPr>
        <w:t>Swedish Hosp. Corp. v. Shalala</w:t>
      </w:r>
      <w:r>
        <w:t xml:space="preserve">, 1 F.3d 1261, 1268 (D.C. Cir. 1993). </w:t>
      </w:r>
      <w:r>
        <w:rPr>
          <w:shd w:val="clear" w:color="auto" w:fill="FFFF00"/>
        </w:rPr>
        <w:t>Moreover, unlike in traditional litigation, a common-fund beneficiary is less incentivized to scrutinize her attorney’s lodestar-based fee petition because she is one of many receiving a small slice of the collective pie.</w:t>
      </w:r>
      <w:r>
        <w:t xml:space="preserve"> </w:t>
      </w:r>
      <w:r>
        <w:rPr>
          <w:i/>
        </w:rPr>
        <w:t xml:space="preserve">Cf. </w:t>
      </w:r>
      <w:r>
        <w:t xml:space="preserve">Jonathan R. Macey &amp; Geoffrey P. Miller, </w:t>
      </w:r>
      <w:r>
        <w:rPr>
          <w:i/>
        </w:rPr>
        <w:t xml:space="preserve">The Plaintiffs’ </w:t>
      </w:r>
    </w:p>
    <w:p w14:paraId="31E93A16" w14:textId="77777777" w:rsidR="004B49A5" w:rsidRDefault="00000000" w:rsidP="00B914E3">
      <w:pPr>
        <w:spacing w:after="0" w:line="259" w:lineRule="auto"/>
        <w:ind w:left="0"/>
      </w:pPr>
      <w:r>
        <w:rPr>
          <w:i/>
        </w:rPr>
        <w:t xml:space="preserve">Attorney’s Role in Class Action and Derivative Litigation: Economic Analysis and </w:t>
      </w:r>
    </w:p>
    <w:p w14:paraId="4D9929F0" w14:textId="77777777" w:rsidR="004B49A5" w:rsidRDefault="00000000" w:rsidP="00B914E3">
      <w:pPr>
        <w:spacing w:after="0" w:line="259" w:lineRule="auto"/>
        <w:ind w:left="0" w:firstLine="0"/>
      </w:pPr>
      <w:r>
        <w:rPr>
          <w:i/>
          <w:sz w:val="20"/>
        </w:rPr>
        <w:t xml:space="preserve"> </w:t>
      </w:r>
    </w:p>
    <w:p w14:paraId="07EAC3D1" w14:textId="77777777" w:rsidR="004B49A5" w:rsidRDefault="00000000" w:rsidP="00B914E3">
      <w:pPr>
        <w:spacing w:after="0" w:line="259" w:lineRule="auto"/>
        <w:ind w:left="0" w:firstLine="0"/>
      </w:pPr>
      <w:r>
        <w:rPr>
          <w:rFonts w:ascii="Calibri" w:eastAsia="Calibri" w:hAnsi="Calibri" w:cs="Calibri"/>
          <w:noProof/>
          <w:sz w:val="22"/>
        </w:rPr>
        <mc:AlternateContent>
          <mc:Choice Requires="wpg">
            <w:drawing>
              <wp:inline distT="0" distB="0" distL="0" distR="0" wp14:anchorId="4DB93F35" wp14:editId="56BAAC72">
                <wp:extent cx="1828800" cy="8381"/>
                <wp:effectExtent l="0" t="0" r="0" b="0"/>
                <wp:docPr id="34714" name="Group 34714"/>
                <wp:cNvGraphicFramePr/>
                <a:graphic xmlns:a="http://schemas.openxmlformats.org/drawingml/2006/main">
                  <a:graphicData uri="http://schemas.microsoft.com/office/word/2010/wordprocessingGroup">
                    <wpg:wgp>
                      <wpg:cNvGrpSpPr/>
                      <wpg:grpSpPr>
                        <a:xfrm>
                          <a:off x="0" y="0"/>
                          <a:ext cx="1828800" cy="8381"/>
                          <a:chOff x="0" y="0"/>
                          <a:chExt cx="1828800" cy="8381"/>
                        </a:xfrm>
                      </wpg:grpSpPr>
                      <wps:wsp>
                        <wps:cNvPr id="37064" name="Shape 3706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714" style="width:144pt;height:0.659912pt;mso-position-horizontal-relative:char;mso-position-vertical-relative:line" coordsize="18288,83">
                <v:shape id="Shape 37065"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5466E46B" w14:textId="77777777" w:rsidR="004B49A5" w:rsidRDefault="00000000" w:rsidP="00B914E3">
      <w:pPr>
        <w:spacing w:after="0" w:line="244" w:lineRule="auto"/>
        <w:ind w:left="0" w:firstLine="720"/>
      </w:pPr>
      <w:r>
        <w:rPr>
          <w:vertAlign w:val="superscript"/>
        </w:rPr>
        <w:t>41</w:t>
      </w:r>
      <w:r>
        <w:t xml:space="preserve"> </w:t>
      </w:r>
      <w:r>
        <w:tab/>
        <w:t xml:space="preserve">To the extent that Kansas Appellants argue that </w:t>
      </w:r>
      <w:r>
        <w:rPr>
          <w:i/>
        </w:rPr>
        <w:t xml:space="preserve">Perdue </w:t>
      </w:r>
      <w:r>
        <w:t xml:space="preserve">required the district court to apply the lodestar method, their argument is unavailing in this case, as </w:t>
      </w:r>
      <w:r>
        <w:rPr>
          <w:i/>
        </w:rPr>
        <w:t xml:space="preserve">Perdue </w:t>
      </w:r>
      <w:r>
        <w:t xml:space="preserve">was a </w:t>
      </w:r>
      <w:r>
        <w:rPr>
          <w:i/>
        </w:rPr>
        <w:t xml:space="preserve">fee-shifting </w:t>
      </w:r>
      <w:r>
        <w:t xml:space="preserve">case. </w:t>
      </w:r>
      <w:r>
        <w:rPr>
          <w:i/>
        </w:rPr>
        <w:t xml:space="preserve">See </w:t>
      </w:r>
      <w:r>
        <w:t xml:space="preserve">559 U.S. at 546. </w:t>
      </w:r>
    </w:p>
    <w:p w14:paraId="0A55BF41" w14:textId="77777777" w:rsidR="004B49A5" w:rsidRDefault="00000000" w:rsidP="00B914E3">
      <w:pPr>
        <w:spacing w:after="0" w:line="259" w:lineRule="auto"/>
        <w:ind w:left="0" w:firstLine="0"/>
      </w:pPr>
      <w:r>
        <w:t xml:space="preserve"> </w:t>
      </w:r>
    </w:p>
    <w:p w14:paraId="1696E70C" w14:textId="77777777" w:rsidR="004B49A5" w:rsidRDefault="00000000" w:rsidP="00B914E3">
      <w:pPr>
        <w:spacing w:after="0" w:line="484" w:lineRule="auto"/>
        <w:ind w:left="0"/>
      </w:pPr>
      <w:r>
        <w:rPr>
          <w:i/>
        </w:rPr>
        <w:t>Recommendations for Reform</w:t>
      </w:r>
      <w:r>
        <w:t>, 58 U. C</w:t>
      </w:r>
      <w:r>
        <w:rPr>
          <w:sz w:val="21"/>
        </w:rPr>
        <w:t>HI</w:t>
      </w:r>
      <w:r>
        <w:t>. L. R</w:t>
      </w:r>
      <w:r>
        <w:rPr>
          <w:sz w:val="21"/>
        </w:rPr>
        <w:t>EV</w:t>
      </w:r>
      <w:r>
        <w:t xml:space="preserve">. 1, 26 n.79 (1991) (discussing incentives to object). </w:t>
      </w:r>
      <w:r>
        <w:rPr>
          <w:shd w:val="clear" w:color="auto" w:fill="FFFF00"/>
        </w:rPr>
        <w:t>As well, and as this case illustrates, applying the lodestar method to a common fund case can fail to account for the productive quality of an attorney’s labor, that is, whether an attorney’s time meaningfully contributed to benefits conferred on the class.</w:t>
      </w:r>
      <w:r>
        <w:t xml:space="preserve"> </w:t>
      </w:r>
      <w:r>
        <w:rPr>
          <w:i/>
        </w:rPr>
        <w:t xml:space="preserve">See generally </w:t>
      </w:r>
      <w:r>
        <w:t xml:space="preserve">Report of the Third Circuit Task Force, </w:t>
      </w:r>
      <w:r>
        <w:rPr>
          <w:i/>
        </w:rPr>
        <w:t xml:space="preserve">Court Awarded </w:t>
      </w:r>
      <w:proofErr w:type="spellStart"/>
      <w:r>
        <w:rPr>
          <w:i/>
        </w:rPr>
        <w:t>Att’y</w:t>
      </w:r>
      <w:proofErr w:type="spellEnd"/>
      <w:r>
        <w:rPr>
          <w:i/>
        </w:rPr>
        <w:t xml:space="preserve"> Fees</w:t>
      </w:r>
      <w:r>
        <w:t xml:space="preserve">, </w:t>
      </w:r>
    </w:p>
    <w:p w14:paraId="362A874F" w14:textId="77777777" w:rsidR="004B49A5" w:rsidRDefault="00000000" w:rsidP="00B914E3">
      <w:pPr>
        <w:spacing w:after="0" w:line="484" w:lineRule="auto"/>
        <w:ind w:left="0"/>
      </w:pPr>
      <w:r>
        <w:t xml:space="preserve">108 F.R.D. 237, 265 (1986) (noting that an attorney’s “contribution to a prompt or a delayed resolution of the action” is one factor to consider in awarding fees). </w:t>
      </w:r>
      <w:r>
        <w:rPr>
          <w:shd w:val="clear" w:color="auto" w:fill="FFFF00"/>
        </w:rPr>
        <w:t xml:space="preserve">In a common fund case, the </w:t>
      </w:r>
      <w:proofErr w:type="gramStart"/>
      <w:r>
        <w:rPr>
          <w:shd w:val="clear" w:color="auto" w:fill="FFFF00"/>
        </w:rPr>
        <w:t>fund,</w:t>
      </w:r>
      <w:proofErr w:type="gramEnd"/>
      <w:r>
        <w:rPr>
          <w:shd w:val="clear" w:color="auto" w:fill="FFFF00"/>
        </w:rPr>
        <w:t xml:space="preserve"> </w:t>
      </w:r>
      <w:proofErr w:type="gramStart"/>
      <w:r>
        <w:rPr>
          <w:shd w:val="clear" w:color="auto" w:fill="FFFF00"/>
        </w:rPr>
        <w:t>itself,</w:t>
      </w:r>
      <w:proofErr w:type="gramEnd"/>
      <w:r>
        <w:rPr>
          <w:shd w:val="clear" w:color="auto" w:fill="FFFF00"/>
        </w:rPr>
        <w:t xml:space="preserve"> is the measure of an attorney’s success.</w:t>
      </w:r>
      <w:r>
        <w:t xml:space="preserve"> </w:t>
      </w:r>
      <w:r>
        <w:rPr>
          <w:shd w:val="clear" w:color="auto" w:fill="FFFF00"/>
        </w:rPr>
        <w:t>Thus, under the percentage-of-the-fund method, “inefficiently expended hours only serve to reduce the per hour compensation of the attorney expending them.”</w:t>
      </w:r>
      <w:r>
        <w:t xml:space="preserve"> </w:t>
      </w:r>
      <w:r>
        <w:rPr>
          <w:i/>
        </w:rPr>
        <w:t>Swedish Hosp.</w:t>
      </w:r>
      <w:r>
        <w:t xml:space="preserve">, 1 F.3d </w:t>
      </w:r>
    </w:p>
    <w:p w14:paraId="1895B446" w14:textId="77777777" w:rsidR="004B49A5" w:rsidRDefault="00000000" w:rsidP="00B914E3">
      <w:pPr>
        <w:spacing w:after="0" w:line="259" w:lineRule="auto"/>
        <w:ind w:left="0"/>
      </w:pPr>
      <w:r>
        <w:t xml:space="preserve">at 1269. </w:t>
      </w:r>
    </w:p>
    <w:p w14:paraId="42319B59" w14:textId="77777777" w:rsidR="004B49A5" w:rsidRDefault="00000000" w:rsidP="00B914E3">
      <w:pPr>
        <w:spacing w:after="0"/>
        <w:ind w:left="0" w:firstLine="720"/>
      </w:pPr>
      <w:r>
        <w:t xml:space="preserve">Our decision in </w:t>
      </w:r>
      <w:r>
        <w:rPr>
          <w:i/>
        </w:rPr>
        <w:t xml:space="preserve">Gottlieb </w:t>
      </w:r>
      <w:r>
        <w:t xml:space="preserve">is instructive. There, multiple shareholders filed </w:t>
      </w:r>
      <w:proofErr w:type="gramStart"/>
      <w:r>
        <w:t>suit</w:t>
      </w:r>
      <w:proofErr w:type="gramEnd"/>
      <w:r>
        <w:t xml:space="preserve"> against MiniScribe; the district court, however, only certified one case to proceed as a class action. </w:t>
      </w:r>
      <w:r>
        <w:rPr>
          <w:i/>
        </w:rPr>
        <w:t>See Gottlieb</w:t>
      </w:r>
      <w:r>
        <w:t xml:space="preserve">, 43 F.3d at 481. On the eve of a non-class-action suit initiated by </w:t>
      </w:r>
      <w:r>
        <w:lastRenderedPageBreak/>
        <w:t xml:space="preserve">MiniScribe’s trustee, the parties reached a global settlement. </w:t>
      </w:r>
      <w:r>
        <w:rPr>
          <w:i/>
        </w:rPr>
        <w:t xml:space="preserve">See id. </w:t>
      </w:r>
      <w:r>
        <w:t xml:space="preserve">The district court allocated $44 million of the $128 million fund to the one certified shareholder class. </w:t>
      </w:r>
      <w:r>
        <w:rPr>
          <w:i/>
        </w:rPr>
        <w:t xml:space="preserve">See id. </w:t>
      </w:r>
      <w:r>
        <w:rPr>
          <w:shd w:val="clear" w:color="auto" w:fill="FFFF00"/>
        </w:rPr>
        <w:t>The district court also awarded attorneys’ fees but, in doing so, rejected the percentage-of-the-fund method in favor of the lodestar method</w:t>
      </w:r>
      <w:r>
        <w:t xml:space="preserve">. </w:t>
      </w:r>
      <w:r>
        <w:rPr>
          <w:i/>
        </w:rPr>
        <w:t xml:space="preserve">See id. </w:t>
      </w:r>
      <w:r>
        <w:t xml:space="preserve">at 484–85. </w:t>
      </w:r>
      <w:r>
        <w:rPr>
          <w:shd w:val="clear" w:color="auto" w:fill="FFFF00"/>
        </w:rPr>
        <w:t>In reversing</w:t>
      </w:r>
      <w:r>
        <w:t xml:space="preserve">, we first acknowledged that the settlement “created a ‘common fund’ from </w:t>
      </w:r>
    </w:p>
    <w:p w14:paraId="04218ED6" w14:textId="77777777" w:rsidR="004B49A5" w:rsidRDefault="00000000" w:rsidP="00B914E3">
      <w:pPr>
        <w:spacing w:after="0" w:line="259" w:lineRule="auto"/>
        <w:ind w:left="0"/>
      </w:pPr>
      <w:r>
        <w:t>which the plaintiff class obtained a benefit” and, accordingly, “[a]</w:t>
      </w:r>
      <w:proofErr w:type="spellStart"/>
      <w:r>
        <w:t>ttorneys</w:t>
      </w:r>
      <w:proofErr w:type="spellEnd"/>
      <w:r>
        <w:t xml:space="preserve">’ fees [were] </w:t>
      </w:r>
    </w:p>
    <w:p w14:paraId="167151A1" w14:textId="5AF5B70F" w:rsidR="004B49A5" w:rsidRDefault="004B49A5" w:rsidP="00B914E3">
      <w:pPr>
        <w:spacing w:after="0" w:line="259" w:lineRule="auto"/>
        <w:ind w:left="0"/>
        <w:jc w:val="center"/>
      </w:pPr>
    </w:p>
    <w:p w14:paraId="14555593" w14:textId="77777777" w:rsidR="004B49A5" w:rsidRDefault="00000000" w:rsidP="00B914E3">
      <w:pPr>
        <w:spacing w:after="0" w:line="259" w:lineRule="auto"/>
        <w:ind w:left="0"/>
      </w:pPr>
      <w:r>
        <w:t xml:space="preserve">appropriately awarded from that fund, on the theory ‘that persons who obtain the benefit </w:t>
      </w:r>
    </w:p>
    <w:p w14:paraId="28C091D7" w14:textId="77777777" w:rsidR="004B49A5" w:rsidRDefault="00000000" w:rsidP="00B914E3">
      <w:pPr>
        <w:spacing w:after="0" w:line="259" w:lineRule="auto"/>
        <w:ind w:left="0"/>
      </w:pPr>
      <w:r>
        <w:t xml:space="preserve">of a lawsuit without contributing to its costs are unjustly enriched at the </w:t>
      </w:r>
      <w:proofErr w:type="gramStart"/>
      <w:r>
        <w:t>successful</w:t>
      </w:r>
      <w:proofErr w:type="gramEnd"/>
      <w:r>
        <w:t xml:space="preserve"> </w:t>
      </w:r>
    </w:p>
    <w:p w14:paraId="7EA7A9BC" w14:textId="77777777" w:rsidR="004B49A5" w:rsidRDefault="00000000" w:rsidP="00B914E3">
      <w:pPr>
        <w:spacing w:after="0" w:line="259" w:lineRule="auto"/>
        <w:ind w:left="0" w:firstLine="0"/>
      </w:pPr>
      <w:r>
        <w:t xml:space="preserve"> </w:t>
      </w:r>
    </w:p>
    <w:p w14:paraId="0127A030" w14:textId="77777777" w:rsidR="004B49A5" w:rsidRDefault="00000000" w:rsidP="00B914E3">
      <w:pPr>
        <w:spacing w:after="0" w:line="484" w:lineRule="auto"/>
        <w:ind w:left="0"/>
      </w:pPr>
      <w:r>
        <w:t xml:space="preserve">litigant’s expense.’” </w:t>
      </w:r>
      <w:r>
        <w:rPr>
          <w:i/>
        </w:rPr>
        <w:t xml:space="preserve">Id. </w:t>
      </w:r>
      <w:r>
        <w:t xml:space="preserve">at 482 (quoting </w:t>
      </w:r>
      <w:r>
        <w:rPr>
          <w:i/>
        </w:rPr>
        <w:t>Boeing</w:t>
      </w:r>
      <w:r>
        <w:t xml:space="preserve">, 444 U.S. at 478). </w:t>
      </w:r>
      <w:r>
        <w:rPr>
          <w:shd w:val="clear" w:color="auto" w:fill="FFFF00"/>
        </w:rPr>
        <w:t>Faced with the question of whether the “proper methodology for awarding attorneys’ fees out of a common fund” entailed a percentage-of-the-fund approach or a lodestar analysis, we expressed a preference for the percentage-of-the-fund approach where a special master made detailed factual findings in support of the approach</w:t>
      </w:r>
      <w:r>
        <w:t xml:space="preserve">. </w:t>
      </w:r>
      <w:r>
        <w:rPr>
          <w:i/>
        </w:rPr>
        <w:t xml:space="preserve">Id. </w:t>
      </w:r>
      <w:r>
        <w:t xml:space="preserve">at 482, 487–88; </w:t>
      </w:r>
      <w:r>
        <w:rPr>
          <w:i/>
        </w:rPr>
        <w:t xml:space="preserve">see also </w:t>
      </w:r>
    </w:p>
    <w:p w14:paraId="683913E6" w14:textId="77777777" w:rsidR="004B49A5" w:rsidRDefault="00000000" w:rsidP="00B914E3">
      <w:pPr>
        <w:spacing w:after="0" w:line="484" w:lineRule="auto"/>
        <w:ind w:left="0"/>
      </w:pPr>
      <w:r>
        <w:rPr>
          <w:i/>
        </w:rPr>
        <w:t>Brown</w:t>
      </w:r>
      <w:r>
        <w:t>, 838 F.2d at 454 (</w:t>
      </w:r>
      <w:r>
        <w:rPr>
          <w:shd w:val="clear" w:color="auto" w:fill="FFFF00"/>
        </w:rPr>
        <w:t>“The Supreme Court . . . explicitly described a percentage calculation as a ‘reasonable fee’ in [common fund] cases.” (</w:t>
      </w:r>
      <w:proofErr w:type="gramStart"/>
      <w:r>
        <w:rPr>
          <w:shd w:val="clear" w:color="auto" w:fill="FFFF00"/>
        </w:rPr>
        <w:t>quoting</w:t>
      </w:r>
      <w:proofErr w:type="gramEnd"/>
      <w:r>
        <w:rPr>
          <w:shd w:val="clear" w:color="auto" w:fill="FFFF00"/>
        </w:rPr>
        <w:t xml:space="preserve"> </w:t>
      </w:r>
      <w:r>
        <w:rPr>
          <w:i/>
          <w:shd w:val="clear" w:color="auto" w:fill="FFFF00"/>
        </w:rPr>
        <w:t>Blum</w:t>
      </w:r>
      <w:r>
        <w:rPr>
          <w:shd w:val="clear" w:color="auto" w:fill="FFFF00"/>
        </w:rPr>
        <w:t>, 465 U.S.</w:t>
      </w:r>
      <w:r>
        <w:t xml:space="preserve"> </w:t>
      </w:r>
    </w:p>
    <w:p w14:paraId="70BD3CD0" w14:textId="77777777" w:rsidR="004B49A5" w:rsidRDefault="00000000" w:rsidP="00B914E3">
      <w:pPr>
        <w:spacing w:after="0" w:line="259" w:lineRule="auto"/>
        <w:ind w:left="0"/>
      </w:pPr>
      <w:r>
        <w:rPr>
          <w:shd w:val="clear" w:color="auto" w:fill="FFFF00"/>
        </w:rPr>
        <w:t>at 900 n.16)).</w:t>
      </w:r>
      <w:r>
        <w:t xml:space="preserve"> </w:t>
      </w:r>
    </w:p>
    <w:p w14:paraId="26D2F033" w14:textId="77777777" w:rsidR="004B49A5" w:rsidRDefault="00000000" w:rsidP="00B914E3">
      <w:pPr>
        <w:spacing w:after="0"/>
        <w:ind w:left="0" w:firstLine="720"/>
      </w:pPr>
      <w:r>
        <w:rPr>
          <w:shd w:val="clear" w:color="auto" w:fill="FFFF00"/>
        </w:rPr>
        <w:t xml:space="preserve">However, because the touchstone of a fee award analysis is </w:t>
      </w:r>
      <w:proofErr w:type="gramStart"/>
      <w:r>
        <w:rPr>
          <w:shd w:val="clear" w:color="auto" w:fill="FFFF00"/>
        </w:rPr>
        <w:t>reasonableness</w:t>
      </w:r>
      <w:proofErr w:type="gramEnd"/>
      <w:r>
        <w:rPr>
          <w:shd w:val="clear" w:color="auto" w:fill="FFFF00"/>
        </w:rPr>
        <w:t>, we do not require rigid adherence to either the percentage-of-the-fund or lodestar methods in the common fund context.</w:t>
      </w:r>
      <w:r>
        <w:t xml:space="preserve"> </w:t>
      </w:r>
      <w:r>
        <w:rPr>
          <w:i/>
        </w:rPr>
        <w:t>See Gottlieb</w:t>
      </w:r>
      <w:r>
        <w:t xml:space="preserve">, 43 F.3d at 482–83. To illustrate reasonableness, district courts must “articulate specific reasons for [their] findings.” </w:t>
      </w:r>
      <w:r>
        <w:rPr>
          <w:i/>
        </w:rPr>
        <w:t>Uselton v. Com. Lovelace Motor Freight, Inc.</w:t>
      </w:r>
      <w:r>
        <w:t xml:space="preserve">, 9 F.3d 849, 853 (10th Cir. 1993). And, to guide those findings, we further require district courts to consider the factors outlined in </w:t>
      </w:r>
      <w:r>
        <w:rPr>
          <w:i/>
        </w:rPr>
        <w:t>Johnson</w:t>
      </w:r>
      <w:r>
        <w:t xml:space="preserve">, </w:t>
      </w:r>
    </w:p>
    <w:p w14:paraId="05559917" w14:textId="77777777" w:rsidR="004B49A5" w:rsidRDefault="00000000" w:rsidP="00B914E3">
      <w:pPr>
        <w:spacing w:after="0" w:line="259" w:lineRule="auto"/>
        <w:ind w:left="0"/>
      </w:pPr>
      <w:r>
        <w:t xml:space="preserve">488 F.2d at 717–19, regardless of which method is used. </w:t>
      </w:r>
      <w:r>
        <w:rPr>
          <w:i/>
        </w:rPr>
        <w:t>See Gottlieb</w:t>
      </w:r>
      <w:r>
        <w:t xml:space="preserve">, 43 F.3d at 483. </w:t>
      </w:r>
    </w:p>
    <w:p w14:paraId="3FDEC28D" w14:textId="77777777" w:rsidR="004B49A5" w:rsidRDefault="00000000" w:rsidP="00B914E3">
      <w:pPr>
        <w:spacing w:after="0"/>
        <w:ind w:left="0" w:firstLine="720"/>
      </w:pPr>
      <w:r>
        <w:lastRenderedPageBreak/>
        <w:t xml:space="preserve">Still, in keeping with our longstanding flexible posture, we have acknowledged that the </w:t>
      </w:r>
      <w:r>
        <w:rPr>
          <w:i/>
        </w:rPr>
        <w:t xml:space="preserve">Johnson </w:t>
      </w:r>
      <w:r>
        <w:t xml:space="preserve">factors’ applicability and weight in “common fund situations w[ill] undoubtedly be different” than in statutory fee situations, </w:t>
      </w:r>
      <w:r>
        <w:rPr>
          <w:i/>
        </w:rPr>
        <w:t>Uselton</w:t>
      </w:r>
      <w:r>
        <w:t xml:space="preserve">, 9 F.3d at 853, a point that we expounded on in </w:t>
      </w:r>
      <w:r>
        <w:rPr>
          <w:i/>
        </w:rPr>
        <w:t>Brown</w:t>
      </w:r>
      <w:r>
        <w:t xml:space="preserve">: </w:t>
      </w:r>
    </w:p>
    <w:p w14:paraId="5FDA61BB" w14:textId="77777777" w:rsidR="004B49A5" w:rsidRDefault="00000000" w:rsidP="00B914E3">
      <w:pPr>
        <w:spacing w:after="0" w:line="240" w:lineRule="auto"/>
        <w:ind w:left="0"/>
        <w:jc w:val="both"/>
      </w:pPr>
      <w:r>
        <w:t xml:space="preserve">Although the </w:t>
      </w:r>
      <w:r>
        <w:rPr>
          <w:i/>
        </w:rPr>
        <w:t xml:space="preserve">Johnson </w:t>
      </w:r>
      <w:r>
        <w:t xml:space="preserve">factors are relevant in determining a reasonable fee in a common fund case, the inherent differences between statutory </w:t>
      </w:r>
      <w:proofErr w:type="gramStart"/>
      <w:r>
        <w:t>fee</w:t>
      </w:r>
      <w:proofErr w:type="gramEnd"/>
      <w:r>
        <w:t xml:space="preserve"> and common fund cases could justify a trial judge’s decision to assign different </w:t>
      </w:r>
    </w:p>
    <w:p w14:paraId="64C08EA5" w14:textId="77777777" w:rsidR="004B49A5" w:rsidRDefault="00000000" w:rsidP="00B914E3">
      <w:pPr>
        <w:spacing w:after="0" w:line="240" w:lineRule="auto"/>
        <w:ind w:left="0"/>
        <w:jc w:val="both"/>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76633C" wp14:editId="22C9DC20">
                <wp:simplePos x="0" y="0"/>
                <wp:positionH relativeFrom="column">
                  <wp:posOffset>533349</wp:posOffset>
                </wp:positionH>
                <wp:positionV relativeFrom="paragraph">
                  <wp:posOffset>-7271</wp:posOffset>
                </wp:positionV>
                <wp:extent cx="5033137" cy="1518159"/>
                <wp:effectExtent l="0" t="0" r="0" b="0"/>
                <wp:wrapNone/>
                <wp:docPr id="36080" name="Group 36080"/>
                <wp:cNvGraphicFramePr/>
                <a:graphic xmlns:a="http://schemas.openxmlformats.org/drawingml/2006/main">
                  <a:graphicData uri="http://schemas.microsoft.com/office/word/2010/wordprocessingGroup">
                    <wpg:wgp>
                      <wpg:cNvGrpSpPr/>
                      <wpg:grpSpPr>
                        <a:xfrm>
                          <a:off x="0" y="0"/>
                          <a:ext cx="5033137" cy="1518159"/>
                          <a:chOff x="0" y="0"/>
                          <a:chExt cx="5033137" cy="1518159"/>
                        </a:xfrm>
                      </wpg:grpSpPr>
                      <wps:wsp>
                        <wps:cNvPr id="37066" name="Shape 37066"/>
                        <wps:cNvSpPr/>
                        <wps:spPr>
                          <a:xfrm>
                            <a:off x="3915791" y="0"/>
                            <a:ext cx="1115873" cy="188976"/>
                          </a:xfrm>
                          <a:custGeom>
                            <a:avLst/>
                            <a:gdLst/>
                            <a:ahLst/>
                            <a:cxnLst/>
                            <a:rect l="0" t="0" r="0" b="0"/>
                            <a:pathLst>
                              <a:path w="1115873" h="188976">
                                <a:moveTo>
                                  <a:pt x="0" y="0"/>
                                </a:moveTo>
                                <a:lnTo>
                                  <a:pt x="1115873" y="0"/>
                                </a:lnTo>
                                <a:lnTo>
                                  <a:pt x="1115873" y="188976"/>
                                </a:lnTo>
                                <a:lnTo>
                                  <a:pt x="0" y="1889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67" name="Shape 37067"/>
                        <wps:cNvSpPr/>
                        <wps:spPr>
                          <a:xfrm>
                            <a:off x="0" y="188976"/>
                            <a:ext cx="5004181" cy="190500"/>
                          </a:xfrm>
                          <a:custGeom>
                            <a:avLst/>
                            <a:gdLst/>
                            <a:ahLst/>
                            <a:cxnLst/>
                            <a:rect l="0" t="0" r="0" b="0"/>
                            <a:pathLst>
                              <a:path w="5004181" h="190500">
                                <a:moveTo>
                                  <a:pt x="0" y="0"/>
                                </a:moveTo>
                                <a:lnTo>
                                  <a:pt x="5004181" y="0"/>
                                </a:lnTo>
                                <a:lnTo>
                                  <a:pt x="5004181" y="190500"/>
                                </a:lnTo>
                                <a:lnTo>
                                  <a:pt x="0" y="1905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68" name="Shape 37068"/>
                        <wps:cNvSpPr/>
                        <wps:spPr>
                          <a:xfrm>
                            <a:off x="0" y="379476"/>
                            <a:ext cx="5033137" cy="188976"/>
                          </a:xfrm>
                          <a:custGeom>
                            <a:avLst/>
                            <a:gdLst/>
                            <a:ahLst/>
                            <a:cxnLst/>
                            <a:rect l="0" t="0" r="0" b="0"/>
                            <a:pathLst>
                              <a:path w="5033137" h="188976">
                                <a:moveTo>
                                  <a:pt x="0" y="0"/>
                                </a:moveTo>
                                <a:lnTo>
                                  <a:pt x="5033137" y="0"/>
                                </a:lnTo>
                                <a:lnTo>
                                  <a:pt x="5033137" y="188976"/>
                                </a:lnTo>
                                <a:lnTo>
                                  <a:pt x="0" y="1889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69" name="Shape 37069"/>
                        <wps:cNvSpPr/>
                        <wps:spPr>
                          <a:xfrm>
                            <a:off x="0" y="568402"/>
                            <a:ext cx="5033137" cy="190805"/>
                          </a:xfrm>
                          <a:custGeom>
                            <a:avLst/>
                            <a:gdLst/>
                            <a:ahLst/>
                            <a:cxnLst/>
                            <a:rect l="0" t="0" r="0" b="0"/>
                            <a:pathLst>
                              <a:path w="5033137" h="190805">
                                <a:moveTo>
                                  <a:pt x="0" y="0"/>
                                </a:moveTo>
                                <a:lnTo>
                                  <a:pt x="5033137" y="0"/>
                                </a:lnTo>
                                <a:lnTo>
                                  <a:pt x="5033137" y="190805"/>
                                </a:lnTo>
                                <a:lnTo>
                                  <a:pt x="0" y="19080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70" name="Shape 37070"/>
                        <wps:cNvSpPr/>
                        <wps:spPr>
                          <a:xfrm>
                            <a:off x="0" y="759206"/>
                            <a:ext cx="5033137" cy="190500"/>
                          </a:xfrm>
                          <a:custGeom>
                            <a:avLst/>
                            <a:gdLst/>
                            <a:ahLst/>
                            <a:cxnLst/>
                            <a:rect l="0" t="0" r="0" b="0"/>
                            <a:pathLst>
                              <a:path w="5033137" h="190500">
                                <a:moveTo>
                                  <a:pt x="0" y="0"/>
                                </a:moveTo>
                                <a:lnTo>
                                  <a:pt x="5033137" y="0"/>
                                </a:lnTo>
                                <a:lnTo>
                                  <a:pt x="5033137" y="190500"/>
                                </a:lnTo>
                                <a:lnTo>
                                  <a:pt x="0" y="1905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71" name="Shape 37071"/>
                        <wps:cNvSpPr/>
                        <wps:spPr>
                          <a:xfrm>
                            <a:off x="0" y="949706"/>
                            <a:ext cx="5033137" cy="188976"/>
                          </a:xfrm>
                          <a:custGeom>
                            <a:avLst/>
                            <a:gdLst/>
                            <a:ahLst/>
                            <a:cxnLst/>
                            <a:rect l="0" t="0" r="0" b="0"/>
                            <a:pathLst>
                              <a:path w="5033137" h="188976">
                                <a:moveTo>
                                  <a:pt x="0" y="0"/>
                                </a:moveTo>
                                <a:lnTo>
                                  <a:pt x="5033137" y="0"/>
                                </a:lnTo>
                                <a:lnTo>
                                  <a:pt x="5033137" y="188976"/>
                                </a:lnTo>
                                <a:lnTo>
                                  <a:pt x="0" y="1889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72" name="Shape 37072"/>
                        <wps:cNvSpPr/>
                        <wps:spPr>
                          <a:xfrm>
                            <a:off x="0" y="1138682"/>
                            <a:ext cx="5033137" cy="190500"/>
                          </a:xfrm>
                          <a:custGeom>
                            <a:avLst/>
                            <a:gdLst/>
                            <a:ahLst/>
                            <a:cxnLst/>
                            <a:rect l="0" t="0" r="0" b="0"/>
                            <a:pathLst>
                              <a:path w="5033137" h="190500">
                                <a:moveTo>
                                  <a:pt x="0" y="0"/>
                                </a:moveTo>
                                <a:lnTo>
                                  <a:pt x="5033137" y="0"/>
                                </a:lnTo>
                                <a:lnTo>
                                  <a:pt x="5033137" y="190500"/>
                                </a:lnTo>
                                <a:lnTo>
                                  <a:pt x="0" y="1905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7073" name="Shape 37073"/>
                        <wps:cNvSpPr/>
                        <wps:spPr>
                          <a:xfrm>
                            <a:off x="0" y="1329182"/>
                            <a:ext cx="3716147" cy="188976"/>
                          </a:xfrm>
                          <a:custGeom>
                            <a:avLst/>
                            <a:gdLst/>
                            <a:ahLst/>
                            <a:cxnLst/>
                            <a:rect l="0" t="0" r="0" b="0"/>
                            <a:pathLst>
                              <a:path w="3716147" h="188976">
                                <a:moveTo>
                                  <a:pt x="0" y="0"/>
                                </a:moveTo>
                                <a:lnTo>
                                  <a:pt x="3716147" y="0"/>
                                </a:lnTo>
                                <a:lnTo>
                                  <a:pt x="3716147" y="188976"/>
                                </a:lnTo>
                                <a:lnTo>
                                  <a:pt x="0" y="1889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6080" style="width:396.31pt;height:119.54pt;position:absolute;z-index:-2147483563;mso-position-horizontal-relative:text;mso-position-horizontal:absolute;margin-left:41.996pt;mso-position-vertical-relative:text;margin-top:-0.572632pt;" coordsize="50331,15181">
                <v:shape id="Shape 37074" style="position:absolute;width:11158;height:1889;left:39157;top:0;" coordsize="1115873,188976" path="m0,0l1115873,0l1115873,188976l0,188976l0,0">
                  <v:stroke weight="0pt" endcap="flat" joinstyle="miter" miterlimit="10" on="false" color="#000000" opacity="0"/>
                  <v:fill on="true" color="#ffff00"/>
                </v:shape>
                <v:shape id="Shape 37075" style="position:absolute;width:50041;height:1905;left:0;top:1889;" coordsize="5004181,190500" path="m0,0l5004181,0l5004181,190500l0,190500l0,0">
                  <v:stroke weight="0pt" endcap="flat" joinstyle="miter" miterlimit="10" on="false" color="#000000" opacity="0"/>
                  <v:fill on="true" color="#ffff00"/>
                </v:shape>
                <v:shape id="Shape 37076" style="position:absolute;width:50331;height:1889;left:0;top:3794;" coordsize="5033137,188976" path="m0,0l5033137,0l5033137,188976l0,188976l0,0">
                  <v:stroke weight="0pt" endcap="flat" joinstyle="miter" miterlimit="10" on="false" color="#000000" opacity="0"/>
                  <v:fill on="true" color="#ffff00"/>
                </v:shape>
                <v:shape id="Shape 37077" style="position:absolute;width:50331;height:1908;left:0;top:5684;" coordsize="5033137,190805" path="m0,0l5033137,0l5033137,190805l0,190805l0,0">
                  <v:stroke weight="0pt" endcap="flat" joinstyle="miter" miterlimit="10" on="false" color="#000000" opacity="0"/>
                  <v:fill on="true" color="#ffff00"/>
                </v:shape>
                <v:shape id="Shape 37078" style="position:absolute;width:50331;height:1905;left:0;top:7592;" coordsize="5033137,190500" path="m0,0l5033137,0l5033137,190500l0,190500l0,0">
                  <v:stroke weight="0pt" endcap="flat" joinstyle="miter" miterlimit="10" on="false" color="#000000" opacity="0"/>
                  <v:fill on="true" color="#ffff00"/>
                </v:shape>
                <v:shape id="Shape 37079" style="position:absolute;width:50331;height:1889;left:0;top:9497;" coordsize="5033137,188976" path="m0,0l5033137,0l5033137,188976l0,188976l0,0">
                  <v:stroke weight="0pt" endcap="flat" joinstyle="miter" miterlimit="10" on="false" color="#000000" opacity="0"/>
                  <v:fill on="true" color="#ffff00"/>
                </v:shape>
                <v:shape id="Shape 37080" style="position:absolute;width:50331;height:1905;left:0;top:11386;" coordsize="5033137,190500" path="m0,0l5033137,0l5033137,190500l0,190500l0,0">
                  <v:stroke weight="0pt" endcap="flat" joinstyle="miter" miterlimit="10" on="false" color="#000000" opacity="0"/>
                  <v:fill on="true" color="#ffff00"/>
                </v:shape>
                <v:shape id="Shape 37081" style="position:absolute;width:37161;height:1889;left:0;top:13291;" coordsize="3716147,188976" path="m0,0l3716147,0l3716147,188976l0,188976l0,0">
                  <v:stroke weight="0pt" endcap="flat" joinstyle="miter" miterlimit="10" on="false" color="#000000" opacity="0"/>
                  <v:fill on="true" color="#ffff00"/>
                </v:shape>
              </v:group>
            </w:pict>
          </mc:Fallback>
        </mc:AlternateContent>
      </w:r>
      <w:r>
        <w:t xml:space="preserve">relative weights to those factors in the two types of cases. For example, the first factor—time and labor required—is an essential touchstone for recovery in a statutory fee case where reasonableness is measured in part by reference to the lodestar analysis. In a common fund case, however, although time and labor required are appropriate considerations, the ninth </w:t>
      </w:r>
      <w:r>
        <w:rPr>
          <w:i/>
        </w:rPr>
        <w:t xml:space="preserve">Johnson </w:t>
      </w:r>
      <w:r>
        <w:t xml:space="preserve">factor—the amount </w:t>
      </w:r>
      <w:proofErr w:type="gramStart"/>
      <w:r>
        <w:t>involved</w:t>
      </w:r>
      <w:proofErr w:type="gramEnd"/>
      <w:r>
        <w:t xml:space="preserve"> and the results obtained—may be given greater weight when . . . the trial judge determines that . . . the efforts of </w:t>
      </w:r>
      <w:proofErr w:type="gramStart"/>
      <w:r>
        <w:t>counsel</w:t>
      </w:r>
      <w:proofErr w:type="gramEnd"/>
      <w:r>
        <w:t xml:space="preserve"> were instrumental in realizing recovery on behalf of the class.   [R]</w:t>
      </w:r>
      <w:proofErr w:type="spellStart"/>
      <w:r>
        <w:t>arely</w:t>
      </w:r>
      <w:proofErr w:type="spellEnd"/>
      <w:r>
        <w:t xml:space="preserve"> are </w:t>
      </w:r>
      <w:proofErr w:type="gramStart"/>
      <w:r>
        <w:t>all of</w:t>
      </w:r>
      <w:proofErr w:type="gramEnd"/>
      <w:r>
        <w:t xml:space="preserve"> the </w:t>
      </w:r>
      <w:r>
        <w:rPr>
          <w:i/>
        </w:rPr>
        <w:t xml:space="preserve">Johnson </w:t>
      </w:r>
      <w:r>
        <w:t xml:space="preserve">factors applicable; this is particularly so in a common fund situation. We hold here . . . that in awarding attorneys’ fees in a common fund case, the “time and labor involved” factor need not be evaluated using the lodestar formulation when, in the judgment of the trial court, a reasonable fee is derived by giving greater weight to other factors, the basis of which is clearly reflected in the record. </w:t>
      </w:r>
    </w:p>
    <w:p w14:paraId="4A2D3099" w14:textId="77777777" w:rsidR="004B49A5" w:rsidRDefault="00000000" w:rsidP="00B914E3">
      <w:pPr>
        <w:spacing w:after="0" w:line="259" w:lineRule="auto"/>
        <w:ind w:left="0" w:firstLine="0"/>
      </w:pPr>
      <w:r>
        <w:t xml:space="preserve"> </w:t>
      </w:r>
    </w:p>
    <w:p w14:paraId="42AE438F" w14:textId="77777777" w:rsidR="004B49A5" w:rsidRDefault="00000000" w:rsidP="00B914E3">
      <w:pPr>
        <w:spacing w:after="0" w:line="259" w:lineRule="auto"/>
        <w:ind w:left="0"/>
      </w:pPr>
      <w:r>
        <w:rPr>
          <w:i/>
        </w:rPr>
        <w:t>Brown</w:t>
      </w:r>
      <w:r>
        <w:t xml:space="preserve">, 838 F.2d at 456 (citation and footnote omitted). </w:t>
      </w:r>
    </w:p>
    <w:p w14:paraId="3262A6F5" w14:textId="77777777" w:rsidR="004B49A5" w:rsidRDefault="00000000" w:rsidP="00B914E3">
      <w:pPr>
        <w:spacing w:after="0"/>
        <w:ind w:left="0" w:firstLine="720"/>
      </w:pPr>
      <w:r>
        <w:t xml:space="preserve">Thus, we characterize this “percentage plus </w:t>
      </w:r>
      <w:r>
        <w:rPr>
          <w:i/>
        </w:rPr>
        <w:t xml:space="preserve">Johnson </w:t>
      </w:r>
      <w:r>
        <w:t xml:space="preserve">factors” framework as a “hybrid” approach to attorneys’ fees. </w:t>
      </w:r>
      <w:r>
        <w:rPr>
          <w:i/>
        </w:rPr>
        <w:t>See, e.g.</w:t>
      </w:r>
      <w:r>
        <w:t xml:space="preserve">, </w:t>
      </w:r>
      <w:r>
        <w:rPr>
          <w:i/>
        </w:rPr>
        <w:t xml:space="preserve">Chieftain Royalty Co. v. </w:t>
      </w:r>
      <w:proofErr w:type="spellStart"/>
      <w:r>
        <w:rPr>
          <w:i/>
        </w:rPr>
        <w:t>Enervest</w:t>
      </w:r>
      <w:proofErr w:type="spellEnd"/>
      <w:r>
        <w:rPr>
          <w:i/>
        </w:rPr>
        <w:t xml:space="preserve"> Energy </w:t>
      </w:r>
    </w:p>
    <w:p w14:paraId="0DABCEF6" w14:textId="77777777" w:rsidR="004B49A5" w:rsidRDefault="00000000" w:rsidP="00B914E3">
      <w:pPr>
        <w:spacing w:after="0" w:line="259" w:lineRule="auto"/>
        <w:ind w:left="0"/>
      </w:pPr>
      <w:r>
        <w:rPr>
          <w:i/>
        </w:rPr>
        <w:t>Institutional Fund XIII-A, L.P.</w:t>
      </w:r>
      <w:r>
        <w:t xml:space="preserve">, 888 F.3d 455, 459 (10th Cir. 2017) (“Our approach . . . </w:t>
      </w:r>
    </w:p>
    <w:p w14:paraId="132F7190" w14:textId="77777777" w:rsidR="004B49A5" w:rsidRDefault="00000000" w:rsidP="00B914E3">
      <w:pPr>
        <w:spacing w:after="0"/>
        <w:ind w:left="0"/>
      </w:pPr>
      <w:r>
        <w:t>‘</w:t>
      </w:r>
      <w:proofErr w:type="gramStart"/>
      <w:r>
        <w:t>has</w:t>
      </w:r>
      <w:proofErr w:type="gramEnd"/>
      <w:r>
        <w:t xml:space="preserve"> been called a “hybrid” approach, combining the percentage fee method with the specific factors traditionally used to calculate the lodestar [i.e., the </w:t>
      </w:r>
      <w:r>
        <w:rPr>
          <w:i/>
        </w:rPr>
        <w:t xml:space="preserve">Johnson </w:t>
      </w:r>
      <w:r>
        <w:t xml:space="preserve">factors].’” (quoting </w:t>
      </w:r>
      <w:r>
        <w:rPr>
          <w:i/>
        </w:rPr>
        <w:t>Gottlieb</w:t>
      </w:r>
      <w:r>
        <w:t xml:space="preserve">, 43 F.3d at 482–83)); </w:t>
      </w:r>
      <w:r>
        <w:rPr>
          <w:i/>
        </w:rPr>
        <w:t>Uselton</w:t>
      </w:r>
      <w:r>
        <w:t xml:space="preserve">, 9 F.3d at 853 (noting that we have </w:t>
      </w:r>
    </w:p>
    <w:p w14:paraId="1E244BA6" w14:textId="2C5C0C27" w:rsidR="004B49A5" w:rsidRDefault="00000000" w:rsidP="00B914E3">
      <w:pPr>
        <w:spacing w:after="0"/>
        <w:ind w:left="0"/>
      </w:pPr>
      <w:r>
        <w:t>“</w:t>
      </w:r>
      <w:proofErr w:type="gramStart"/>
      <w:r>
        <w:t>distinguished</w:t>
      </w:r>
      <w:proofErr w:type="gramEnd"/>
      <w:r>
        <w:t xml:space="preserve"> common fund cases from statutory fee cases and recognized the propriety of awarding attorneys’ fees in the former on a percentage of the fund, rather than lodestar, basis”); </w:t>
      </w:r>
      <w:r>
        <w:rPr>
          <w:i/>
        </w:rPr>
        <w:t xml:space="preserve">accord Fresno </w:t>
      </w:r>
      <w:proofErr w:type="spellStart"/>
      <w:r>
        <w:rPr>
          <w:i/>
        </w:rPr>
        <w:t>Cnty</w:t>
      </w:r>
      <w:proofErr w:type="spellEnd"/>
      <w:r>
        <w:rPr>
          <w:i/>
        </w:rPr>
        <w:t xml:space="preserve">. Emps.’ Ret. </w:t>
      </w:r>
      <w:proofErr w:type="spellStart"/>
      <w:r>
        <w:rPr>
          <w:i/>
        </w:rPr>
        <w:t>Ass’n</w:t>
      </w:r>
      <w:proofErr w:type="spellEnd"/>
      <w:r>
        <w:rPr>
          <w:i/>
        </w:rPr>
        <w:t xml:space="preserve"> v. Isaacson/Weaver Fam. Tr.</w:t>
      </w:r>
      <w:r>
        <w:t>, 925 F.3d 63, 68 (2d Cir. 2019) (“</w:t>
      </w:r>
      <w:r>
        <w:rPr>
          <w:shd w:val="clear" w:color="auto" w:fill="FFFF00"/>
        </w:rPr>
        <w:t>Under the common-fund doctrine, a district court may select ‘either the lodestar or percentage of the recovery methods’ to calculate fees. A common-fund-</w:t>
      </w:r>
      <w:r>
        <w:rPr>
          <w:shd w:val="clear" w:color="auto" w:fill="FFFF00"/>
        </w:rPr>
        <w:lastRenderedPageBreak/>
        <w:t xml:space="preserve">percentage fee must still be evaluated for reasonableness, but may exceed the lodestar—i.e., </w:t>
      </w:r>
      <w:r>
        <w:rPr>
          <w:i/>
          <w:shd w:val="clear" w:color="auto" w:fill="FFFF00"/>
        </w:rPr>
        <w:t>it may be less than, equal to, or greater than the lodestar</w:t>
      </w:r>
      <w:r>
        <w:rPr>
          <w:shd w:val="clear" w:color="auto" w:fill="FFFF00"/>
        </w:rPr>
        <w:t>.”</w:t>
      </w:r>
      <w:r>
        <w:t xml:space="preserve"> (emphasis added) (citation omitted) (quoting </w:t>
      </w:r>
      <w:r>
        <w:rPr>
          <w:i/>
        </w:rPr>
        <w:t>Goldberger v. Integrated Res., Inc.</w:t>
      </w:r>
      <w:r>
        <w:t xml:space="preserve">,209 F.3d 43, 45 </w:t>
      </w:r>
    </w:p>
    <w:p w14:paraId="7A1BCAD0" w14:textId="77777777" w:rsidR="004B49A5" w:rsidRDefault="00000000" w:rsidP="00B914E3">
      <w:pPr>
        <w:spacing w:after="0"/>
        <w:ind w:left="0"/>
      </w:pPr>
      <w:r>
        <w:t xml:space="preserve">(2d Cir. </w:t>
      </w:r>
      <w:proofErr w:type="gramStart"/>
      <w:r>
        <w:t>2000))</w:t>
      </w:r>
      <w:proofErr w:type="gramEnd"/>
      <w:r>
        <w:t xml:space="preserve">). This hybrid approach, in turn, helps ensure that the percentage-of-the- fund award remains reasonable. </w:t>
      </w:r>
    </w:p>
    <w:p w14:paraId="17407AE3" w14:textId="77777777" w:rsidR="004B49A5" w:rsidRDefault="00000000" w:rsidP="00B914E3">
      <w:pPr>
        <w:pStyle w:val="Heading1"/>
        <w:tabs>
          <w:tab w:val="center" w:pos="1645"/>
          <w:tab w:val="center" w:pos="5138"/>
        </w:tabs>
        <w:spacing w:after="0"/>
        <w:ind w:left="0" w:right="0" w:firstLine="0"/>
        <w:jc w:val="left"/>
      </w:pPr>
      <w:r>
        <w:rPr>
          <w:rFonts w:ascii="Calibri" w:eastAsia="Calibri" w:hAnsi="Calibri" w:cs="Calibri"/>
          <w:b w:val="0"/>
          <w:sz w:val="22"/>
        </w:rPr>
        <w:tab/>
      </w:r>
      <w:r>
        <w:t>b</w:t>
      </w:r>
      <w:proofErr w:type="gramStart"/>
      <w:r>
        <w:t>.</w:t>
      </w:r>
      <w:r>
        <w:rPr>
          <w:rFonts w:ascii="Arial" w:eastAsia="Arial" w:hAnsi="Arial" w:cs="Arial"/>
        </w:rPr>
        <w:t xml:space="preserve"> </w:t>
      </w:r>
      <w:r>
        <w:rPr>
          <w:rFonts w:ascii="Arial" w:eastAsia="Arial" w:hAnsi="Arial" w:cs="Arial"/>
        </w:rPr>
        <w:tab/>
      </w:r>
      <w:r>
        <w:t>Ensuring</w:t>
      </w:r>
      <w:proofErr w:type="gramEnd"/>
      <w:r>
        <w:t xml:space="preserve"> a Reasonable Fee and the </w:t>
      </w:r>
      <w:r>
        <w:rPr>
          <w:i/>
        </w:rPr>
        <w:t xml:space="preserve">Johnson </w:t>
      </w:r>
      <w:r>
        <w:t xml:space="preserve">Factors </w:t>
      </w:r>
    </w:p>
    <w:p w14:paraId="1FB70A8B" w14:textId="77777777" w:rsidR="004B49A5" w:rsidRDefault="00000000" w:rsidP="00B914E3">
      <w:pPr>
        <w:spacing w:after="0" w:line="259" w:lineRule="auto"/>
        <w:ind w:left="0" w:firstLine="0"/>
      </w:pPr>
      <w:r>
        <w:rPr>
          <w:b/>
        </w:rPr>
        <w:t xml:space="preserve"> </w:t>
      </w:r>
    </w:p>
    <w:p w14:paraId="4C1C3330" w14:textId="77777777" w:rsidR="004B49A5" w:rsidRDefault="00000000" w:rsidP="00B914E3">
      <w:pPr>
        <w:spacing w:after="0"/>
        <w:ind w:left="0" w:firstLine="720"/>
      </w:pPr>
      <w:r>
        <w:t xml:space="preserve">Accordingly, when Kansas Appellants insist that their lodestar figure, as a categorical rule, reflects </w:t>
      </w:r>
      <w:r>
        <w:rPr>
          <w:i/>
        </w:rPr>
        <w:t xml:space="preserve">the </w:t>
      </w:r>
      <w:r>
        <w:t xml:space="preserve">“reasonable rate,” they are wrong. </w:t>
      </w:r>
      <w:r>
        <w:rPr>
          <w:i/>
        </w:rPr>
        <w:t>See Brown</w:t>
      </w:r>
      <w:r>
        <w:t xml:space="preserve">, 838 F.2d at 454 (“We hold, therefore, that the award of attorneys’ fees on a percentage basis in a common fund case is not </w:t>
      </w:r>
      <w:r>
        <w:rPr>
          <w:i/>
        </w:rPr>
        <w:t xml:space="preserve">per se </w:t>
      </w:r>
      <w:r>
        <w:t xml:space="preserve">an abuse of discretion.”). </w:t>
      </w:r>
      <w:r>
        <w:rPr>
          <w:shd w:val="clear" w:color="auto" w:fill="FFFF00"/>
        </w:rPr>
        <w:t xml:space="preserve">Still, as the foregoing discussion makes clear, </w:t>
      </w:r>
      <w:proofErr w:type="gramStart"/>
      <w:r>
        <w:rPr>
          <w:shd w:val="clear" w:color="auto" w:fill="FFFF00"/>
        </w:rPr>
        <w:t>application</w:t>
      </w:r>
      <w:proofErr w:type="gramEnd"/>
      <w:r>
        <w:rPr>
          <w:shd w:val="clear" w:color="auto" w:fill="FFFF00"/>
        </w:rPr>
        <w:t xml:space="preserve"> of a percentage-of-the-fund method does not automatically result in a reasonable fee allocation.</w:t>
      </w:r>
      <w:r>
        <w:t xml:space="preserve"> So, with the framework just described in mind, we ask whether the district court misapplied the </w:t>
      </w:r>
      <w:r>
        <w:rPr>
          <w:i/>
        </w:rPr>
        <w:t xml:space="preserve">Johnson </w:t>
      </w:r>
      <w:r>
        <w:t xml:space="preserve">factors or otherwise unreasonably allocated the aggregate fee award. We conclude that Kansas Appellants have failed to establish that the district court abused its discretion in allocating the aggregate attorneys’ fee award in the way the court did—among and within the four pools—which is all we ask under our deferential abuse-of-discretion standard. </w:t>
      </w:r>
      <w:r>
        <w:rPr>
          <w:i/>
        </w:rPr>
        <w:t>See Garrett v. McRee</w:t>
      </w:r>
      <w:r>
        <w:t xml:space="preserve">, 201 F.2d 250, 254 (10th Cir. 1953) (“[W]e certainly should not disturb the exercise of [the district court’s] discretion as to apportionment [of an attorneys’ fee award] in the absence of clear abuse.”). It is readily apparent from the district court’s numerous allocation orders that it considered many of the </w:t>
      </w:r>
      <w:r>
        <w:rPr>
          <w:i/>
        </w:rPr>
        <w:t xml:space="preserve">Johnson </w:t>
      </w:r>
      <w:r>
        <w:t xml:space="preserve">factors—or at least their substance—along the way to the ultimate inquiry of its attorneys’ fee analysis: </w:t>
      </w:r>
    </w:p>
    <w:p w14:paraId="29149EA8" w14:textId="77777777" w:rsidR="003060F1" w:rsidRDefault="00000000" w:rsidP="00B914E3">
      <w:pPr>
        <w:spacing w:after="0"/>
        <w:ind w:left="0"/>
      </w:pPr>
      <w:r>
        <w:t xml:space="preserve">whether the fee is reasonable. </w:t>
      </w:r>
    </w:p>
    <w:p w14:paraId="3241C1BD" w14:textId="1FB23F9C" w:rsidR="003060F1" w:rsidRDefault="003060F1" w:rsidP="00B914E3">
      <w:pPr>
        <w:pStyle w:val="ListParagraph"/>
        <w:numPr>
          <w:ilvl w:val="0"/>
          <w:numId w:val="2"/>
        </w:numPr>
        <w:spacing w:after="0"/>
        <w:ind w:left="0" w:firstLine="0"/>
      </w:pPr>
      <w:r>
        <w:lastRenderedPageBreak/>
        <w:t xml:space="preserve">Allocations Between the Pools </w:t>
      </w:r>
    </w:p>
    <w:p w14:paraId="5B1D3C5E" w14:textId="1C34D7A6" w:rsidR="004B49A5" w:rsidRDefault="00000000" w:rsidP="00B914E3">
      <w:pPr>
        <w:pStyle w:val="ListParagraph"/>
        <w:spacing w:after="0"/>
        <w:ind w:left="0" w:firstLine="0"/>
      </w:pPr>
      <w:r w:rsidRPr="003060F1">
        <w:rPr>
          <w:shd w:val="clear" w:color="auto" w:fill="FFFF00"/>
        </w:rPr>
        <w:t>We turn to the allocations between the Kansas and IRPA pools</w:t>
      </w:r>
      <w:r>
        <w:t xml:space="preserve">; Kansas Appellants object to the disparity between the two. In view of the </w:t>
      </w:r>
      <w:r w:rsidRPr="003060F1">
        <w:rPr>
          <w:i/>
        </w:rPr>
        <w:t xml:space="preserve">Johnson </w:t>
      </w:r>
      <w:r>
        <w:t xml:space="preserve">factors, the Kansas </w:t>
      </w:r>
    </w:p>
    <w:p w14:paraId="0BA1D205" w14:textId="77777777" w:rsidR="004B49A5" w:rsidRDefault="00000000" w:rsidP="00B914E3">
      <w:pPr>
        <w:spacing w:after="0"/>
        <w:ind w:left="0"/>
      </w:pPr>
      <w:r>
        <w:t>Special Master identified “[s]</w:t>
      </w:r>
      <w:proofErr w:type="spellStart"/>
      <w:r>
        <w:t>everal</w:t>
      </w:r>
      <w:proofErr w:type="spellEnd"/>
      <w:r>
        <w:t xml:space="preserve"> points concerning this unique litigation and settlement [that] bear on . . . the . . . allocation considerations,” including the considerable experience of lead plaintiffs’ counsel; substantively, the novelty of the claims counsel raised and the difficulty of the damages issues; Syngenta’s aggressive, first-tier defense; the absence of government involvement and its role in increasing lead plaintiffs’ risk; lead plaintiffs’ counsels’ coordinated, efficient litigation efforts; the “enormous amount of work” demanded by this case and the “hard-fought settlement negotiations”; the “unprecedented” court decisions obtained; and the “extraordinary” results. Joint App., Vol. 21, at 4783–84. </w:t>
      </w:r>
    </w:p>
    <w:p w14:paraId="5A02C48F" w14:textId="77777777" w:rsidR="004B49A5" w:rsidRDefault="00000000" w:rsidP="00B914E3">
      <w:pPr>
        <w:spacing w:after="0" w:line="484" w:lineRule="auto"/>
        <w:ind w:left="0" w:firstLine="720"/>
      </w:pPr>
      <w:r>
        <w:rPr>
          <w:shd w:val="clear" w:color="auto" w:fill="FFFF00"/>
        </w:rPr>
        <w:t xml:space="preserve">These factors largely corresponded to the twelve </w:t>
      </w:r>
      <w:r>
        <w:rPr>
          <w:i/>
          <w:shd w:val="clear" w:color="auto" w:fill="FFFF00"/>
        </w:rPr>
        <w:t xml:space="preserve">Johnson </w:t>
      </w:r>
      <w:r>
        <w:rPr>
          <w:shd w:val="clear" w:color="auto" w:fill="FFFF00"/>
        </w:rPr>
        <w:t>factors, albeit incompletely, and implicitly shaped the Kansas Special Master’s recommendation that 90% of the fee award be divided among the three common benefit pools and the remaining 10% be allocated to the IRPA pool. Of that 90%, the Kansas Special Master recommended that the court assign 50% of the award to the Kansas common benefit pool because the Kansas attorneys led the federal MDL, conducted “massive” discovery against Syngenta, and obtained significant rulings on complex legal issues, including issues that cleared the path for state court litigation.</w:t>
      </w:r>
      <w:r>
        <w:rPr>
          <w:shd w:val="clear" w:color="auto" w:fill="FFFF00"/>
          <w:vertAlign w:val="superscript"/>
        </w:rPr>
        <w:footnoteReference w:id="3"/>
      </w:r>
      <w:r>
        <w:t xml:space="preserve"> </w:t>
      </w:r>
      <w:r>
        <w:rPr>
          <w:i/>
        </w:rPr>
        <w:t xml:space="preserve">Id. </w:t>
      </w:r>
      <w:r>
        <w:t xml:space="preserve">at 4818. Most significantly, the </w:t>
      </w:r>
    </w:p>
    <w:p w14:paraId="04D8E9BD" w14:textId="4185C37E" w:rsidR="004B49A5" w:rsidRDefault="00000000" w:rsidP="00B914E3">
      <w:pPr>
        <w:spacing w:after="0" w:line="259" w:lineRule="auto"/>
        <w:ind w:left="0" w:firstLine="0"/>
      </w:pPr>
      <w:r>
        <w:rPr>
          <w:sz w:val="20"/>
        </w:rPr>
        <w:t xml:space="preserve"> </w:t>
      </w:r>
      <w:proofErr w:type="gramStart"/>
      <w:r>
        <w:t>Kansas</w:t>
      </w:r>
      <w:proofErr w:type="gramEnd"/>
      <w:r>
        <w:t xml:space="preserve"> group obtained certification of a nationwide class and tried their class litigation to a $217.7 million verdict that brought Syngenta to the settlement table. Moreover, one of the Kansas attorneys devoted significant time and effort to the settlement despite courting many other obligations. </w:t>
      </w:r>
    </w:p>
    <w:p w14:paraId="108BA0BA" w14:textId="77777777" w:rsidR="004B49A5" w:rsidRDefault="00000000" w:rsidP="00B914E3">
      <w:pPr>
        <w:spacing w:after="0"/>
        <w:ind w:left="0" w:firstLine="720"/>
      </w:pPr>
      <w:r>
        <w:lastRenderedPageBreak/>
        <w:t xml:space="preserve">As the Kansas Special Master reasoned, whereas the “vast majority of the work of litigating legal issues, taking fact and expert discovery, arguing motions, trying cases, and settlement negotiation was done by the leadership lawyers in each jurisdiction,” </w:t>
      </w:r>
      <w:r>
        <w:rPr>
          <w:i/>
        </w:rPr>
        <w:t xml:space="preserve">id. </w:t>
      </w:r>
      <w:r>
        <w:t xml:space="preserve">at 4810, the IRPAs conducted “limited work,” </w:t>
      </w:r>
      <w:r>
        <w:rPr>
          <w:i/>
        </w:rPr>
        <w:t xml:space="preserve">id. </w:t>
      </w:r>
      <w:r>
        <w:t xml:space="preserve">at 4809. In fact, the Kansas Special </w:t>
      </w:r>
    </w:p>
    <w:p w14:paraId="57A1B85B" w14:textId="77777777" w:rsidR="004B49A5" w:rsidRDefault="00000000" w:rsidP="00B914E3">
      <w:pPr>
        <w:spacing w:after="0" w:line="259" w:lineRule="auto"/>
        <w:ind w:left="0"/>
      </w:pPr>
      <w:r>
        <w:t xml:space="preserve">Master found that the IRPAs “did little more than recruit clients and in some cases fill out </w:t>
      </w:r>
    </w:p>
    <w:p w14:paraId="722A5FDF" w14:textId="77777777" w:rsidR="004B49A5" w:rsidRDefault="00000000" w:rsidP="00B914E3">
      <w:pPr>
        <w:spacing w:after="0"/>
        <w:ind w:left="0"/>
      </w:pPr>
      <w:r>
        <w:t xml:space="preserve">PFSs.” </w:t>
      </w:r>
      <w:r>
        <w:rPr>
          <w:i/>
        </w:rPr>
        <w:t xml:space="preserve">Id. </w:t>
      </w:r>
      <w:r>
        <w:t xml:space="preserve">at 4810. Certainly, in assessing the IRPAs’ time and labor, the difficulty of their work, and the skill required to perform it, the Kansas Special Master’s discussion implicitly addressed several of the applicable </w:t>
      </w:r>
      <w:r>
        <w:rPr>
          <w:i/>
        </w:rPr>
        <w:t xml:space="preserve">Johnson </w:t>
      </w:r>
      <w:r>
        <w:t xml:space="preserve">factors. </w:t>
      </w:r>
    </w:p>
    <w:p w14:paraId="5EACEA3E" w14:textId="77777777" w:rsidR="004B49A5" w:rsidRDefault="00000000" w:rsidP="00B914E3">
      <w:pPr>
        <w:spacing w:after="0"/>
        <w:ind w:left="0" w:firstLine="720"/>
      </w:pPr>
      <w:r>
        <w:t xml:space="preserve">The Kansas district court agreed with these factual findings and additionally observed that the time and expense that IRPAs incurred in recruiting and communicating with clients, filling out forms, monitoring the litigation, and the like did not contribute to the ultimate recovery. The district court also specifically found that the claims process with which many IRPAs assisted clients was “quite simple and streamlined, as evidenced by the fact that more than half of the claimants were not represented by individual counsel.” </w:t>
      </w:r>
      <w:r>
        <w:rPr>
          <w:i/>
        </w:rPr>
        <w:t>Id.</w:t>
      </w:r>
      <w:r>
        <w:t xml:space="preserve">, Vol. 23, at 5362. As the court saw it, the rub was that other counsel “relieved” the IRPAs from “having to do any work to advance their clients’ lawsuits or to add value to their claims.” </w:t>
      </w:r>
      <w:r>
        <w:rPr>
          <w:i/>
        </w:rPr>
        <w:t xml:space="preserve">Id. </w:t>
      </w:r>
      <w:r>
        <w:t xml:space="preserve">Regarding the weight to assign to the IRPAs’ contingent- fee contracts, the district court explained, concerning </w:t>
      </w:r>
      <w:r>
        <w:rPr>
          <w:i/>
        </w:rPr>
        <w:t>Johnson</w:t>
      </w:r>
      <w:r>
        <w:t xml:space="preserve">’s sixth factor, that a 10% </w:t>
      </w:r>
    </w:p>
    <w:p w14:paraId="2AA32CA8" w14:textId="6BFAD6A9" w:rsidR="004B49A5" w:rsidRDefault="004B49A5" w:rsidP="00B914E3">
      <w:pPr>
        <w:spacing w:after="0" w:line="259" w:lineRule="auto"/>
        <w:ind w:left="0"/>
        <w:jc w:val="center"/>
      </w:pPr>
    </w:p>
    <w:p w14:paraId="50F50498" w14:textId="77777777" w:rsidR="004B49A5" w:rsidRDefault="00000000" w:rsidP="00B914E3">
      <w:pPr>
        <w:spacing w:after="0"/>
        <w:ind w:left="0"/>
      </w:pPr>
      <w:r>
        <w:t xml:space="preserve">cap was appropriate given the “particular facts” of this case. </w:t>
      </w:r>
      <w:r>
        <w:rPr>
          <w:i/>
        </w:rPr>
        <w:t>Id.</w:t>
      </w:r>
      <w:r>
        <w:t xml:space="preserve">; </w:t>
      </w:r>
      <w:r>
        <w:rPr>
          <w:i/>
        </w:rPr>
        <w:t>see also Johnson</w:t>
      </w:r>
      <w:r>
        <w:t xml:space="preserve">, 488 F.2d at 718 (considering the presence of contingent-fee contracts in determining a fee award). </w:t>
      </w:r>
    </w:p>
    <w:p w14:paraId="62BE13B5" w14:textId="77777777" w:rsidR="004B49A5" w:rsidRDefault="00000000" w:rsidP="00B914E3">
      <w:pPr>
        <w:spacing w:after="0"/>
        <w:ind w:left="0" w:firstLine="720"/>
      </w:pPr>
      <w:r>
        <w:lastRenderedPageBreak/>
        <w:t xml:space="preserve">Kansas Appellants insist that the first </w:t>
      </w:r>
      <w:r>
        <w:rPr>
          <w:i/>
        </w:rPr>
        <w:t xml:space="preserve">Johnson </w:t>
      </w:r>
      <w:r>
        <w:t xml:space="preserve">factor—time and labor—required the court to use their lodestars as a “starting point,” and otherwise argue that the district court erred in again discounting their contingent-fee contracts. Kan. </w:t>
      </w:r>
      <w:proofErr w:type="spellStart"/>
      <w:r>
        <w:t>Aplts</w:t>
      </w:r>
      <w:proofErr w:type="spellEnd"/>
      <w:r>
        <w:t xml:space="preserve">.’ Opening Br. </w:t>
      </w:r>
    </w:p>
    <w:p w14:paraId="3106F473" w14:textId="77777777" w:rsidR="004B49A5" w:rsidRDefault="00000000" w:rsidP="00B914E3">
      <w:pPr>
        <w:spacing w:after="0"/>
        <w:ind w:left="0"/>
      </w:pPr>
      <w:r>
        <w:t xml:space="preserve">at 63–65. However, as we recognized in </w:t>
      </w:r>
      <w:r>
        <w:rPr>
          <w:i/>
        </w:rPr>
        <w:t>Brown</w:t>
      </w:r>
      <w:r>
        <w:t xml:space="preserve">, “the inherent differences between statutory fee and common fund cases could justify a trial judge’s decision to assign different relative weights” to certain of the </w:t>
      </w:r>
      <w:r>
        <w:rPr>
          <w:i/>
        </w:rPr>
        <w:t xml:space="preserve">Johnson </w:t>
      </w:r>
      <w:r>
        <w:t xml:space="preserve">factors. </w:t>
      </w:r>
      <w:r>
        <w:rPr>
          <w:i/>
        </w:rPr>
        <w:t>Brown</w:t>
      </w:r>
      <w:r>
        <w:t xml:space="preserve">, 838 F.2d at 456. </w:t>
      </w:r>
    </w:p>
    <w:p w14:paraId="72DCB69E" w14:textId="77777777" w:rsidR="004B49A5" w:rsidRDefault="00000000" w:rsidP="00B914E3">
      <w:pPr>
        <w:spacing w:after="0"/>
        <w:ind w:left="0"/>
      </w:pPr>
      <w:r>
        <w:t xml:space="preserve">Consistent with this observation, the district court’s decision to discount time that did not contribute to the ultimate recovery furthered the common fund doctrine’s goal of preventing unjust enrichment. </w:t>
      </w:r>
      <w:r>
        <w:rPr>
          <w:i/>
        </w:rPr>
        <w:t>Cf. Swedish Hosp.</w:t>
      </w:r>
      <w:r>
        <w:t xml:space="preserve">, 1 F.3d at 1269 (“[T]he attorney inefficiently expending an excess amount of time . . . stand[s] to gain by that inefficiency if the awarding court does not ultimately recognize the inefficiency </w:t>
      </w:r>
      <w:proofErr w:type="gramStart"/>
      <w:r>
        <w:t>. . . .</w:t>
      </w:r>
      <w:proofErr w:type="gramEnd"/>
      <w:r>
        <w:t>”). In the context of common funds, to otherwise compensate an attorney for time that did not advance a collective benefit would allow that attorney to “obtain full benefit” from a productive party’s efforts, thereby “enrich[</w:t>
      </w:r>
      <w:proofErr w:type="spellStart"/>
      <w:r>
        <w:t>ing</w:t>
      </w:r>
      <w:proofErr w:type="spellEnd"/>
      <w:r>
        <w:t xml:space="preserve">] [her] . . . unjustly” at another’s expense. </w:t>
      </w:r>
      <w:r>
        <w:rPr>
          <w:i/>
        </w:rPr>
        <w:t>Mills</w:t>
      </w:r>
      <w:r>
        <w:t xml:space="preserve">, 396 U.S. at 392; </w:t>
      </w:r>
      <w:r>
        <w:rPr>
          <w:i/>
        </w:rPr>
        <w:t>see also McCutchen</w:t>
      </w:r>
      <w:r>
        <w:t xml:space="preserve">, 569 U.S. at 96, 105 (noting that the common fund doctrine is “designed to prevent freeloading” and, in this regard, discussing “[t]he </w:t>
      </w:r>
    </w:p>
    <w:p w14:paraId="1856B93F" w14:textId="77777777" w:rsidR="004B49A5" w:rsidRDefault="00000000" w:rsidP="00B914E3">
      <w:pPr>
        <w:spacing w:after="0" w:line="259" w:lineRule="auto"/>
        <w:ind w:left="0"/>
      </w:pPr>
      <w:r>
        <w:t xml:space="preserve">rationale for the common-fund rule”). </w:t>
      </w:r>
    </w:p>
    <w:p w14:paraId="520D6473" w14:textId="77777777" w:rsidR="004B49A5" w:rsidRDefault="00000000" w:rsidP="00B914E3">
      <w:pPr>
        <w:spacing w:after="0"/>
        <w:ind w:left="0" w:firstLine="720"/>
      </w:pPr>
      <w:r>
        <w:t xml:space="preserve">So, notwithstanding Kansas Appellants’ assertion to the contrary, the district court outlined why the IRPA allocation was generally reasonable under </w:t>
      </w:r>
      <w:r>
        <w:rPr>
          <w:i/>
        </w:rPr>
        <w:t>Johnson</w:t>
      </w:r>
      <w:r>
        <w:t xml:space="preserve">. The </w:t>
      </w:r>
      <w:proofErr w:type="gramStart"/>
      <w:r>
        <w:t>court’s</w:t>
      </w:r>
      <w:proofErr w:type="gramEnd"/>
      <w:r>
        <w:t xml:space="preserve"> </w:t>
      </w:r>
    </w:p>
    <w:p w14:paraId="66D38351" w14:textId="1E0E1283" w:rsidR="004B49A5" w:rsidRDefault="004B49A5" w:rsidP="00B914E3">
      <w:pPr>
        <w:spacing w:after="0" w:line="259" w:lineRule="auto"/>
        <w:ind w:left="0"/>
        <w:jc w:val="center"/>
      </w:pPr>
    </w:p>
    <w:p w14:paraId="5B6197B6" w14:textId="77777777" w:rsidR="004B49A5" w:rsidRDefault="00000000" w:rsidP="00B914E3">
      <w:pPr>
        <w:spacing w:after="0"/>
        <w:ind w:left="0"/>
      </w:pPr>
      <w:r>
        <w:t xml:space="preserve">ultimate rejection of the Kansas Special Master’s 10% IRPA allocation recommendation and subsequent decision to increase the IRPA pool allocation by two percentage points to </w:t>
      </w:r>
    </w:p>
    <w:p w14:paraId="78836572" w14:textId="46F1AD92" w:rsidR="004B49A5" w:rsidRDefault="00000000" w:rsidP="00B914E3">
      <w:pPr>
        <w:spacing w:after="0"/>
        <w:ind w:left="0"/>
      </w:pPr>
      <w:r>
        <w:t>“</w:t>
      </w:r>
      <w:proofErr w:type="gramStart"/>
      <w:r>
        <w:t>achieve</w:t>
      </w:r>
      <w:proofErr w:type="gramEnd"/>
      <w:r>
        <w:t xml:space="preserve"> a likely effective contingent fee closer to 10 percent,” underscores the district court’s considered judgment.</w:t>
      </w:r>
      <w:r>
        <w:rPr>
          <w:vertAlign w:val="superscript"/>
        </w:rPr>
        <w:t>43</w:t>
      </w:r>
      <w:r>
        <w:t xml:space="preserve"> Joint App., Vol. 23, at 5366–67. We see nothing in the </w:t>
      </w:r>
      <w:r>
        <w:lastRenderedPageBreak/>
        <w:t>record to indicate that the district court failed to carefully consider the facts and applicable law in allocating 49% of the fee award to the Kansas pool and 12% to the IRPA pool.</w:t>
      </w:r>
      <w:r>
        <w:rPr>
          <w:vertAlign w:val="superscript"/>
        </w:rPr>
        <w:footnoteReference w:id="4"/>
      </w:r>
      <w:r>
        <w:t xml:space="preserve"> </w:t>
      </w:r>
      <w:r>
        <w:rPr>
          <w:sz w:val="20"/>
        </w:rPr>
        <w:t xml:space="preserve"> </w:t>
      </w:r>
    </w:p>
    <w:p w14:paraId="63D7ADE3" w14:textId="77777777" w:rsidR="004B49A5" w:rsidRDefault="00000000" w:rsidP="00B914E3">
      <w:pPr>
        <w:spacing w:after="0" w:line="248" w:lineRule="auto"/>
        <w:ind w:left="0" w:firstLine="720"/>
      </w:pPr>
      <w:r>
        <w:rPr>
          <w:vertAlign w:val="superscript"/>
        </w:rPr>
        <w:t>43</w:t>
      </w:r>
      <w:r>
        <w:t xml:space="preserve"> </w:t>
      </w:r>
      <w:r>
        <w:tab/>
        <w:t xml:space="preserve">Taking issue with the 12% IRPA allocation, which capped their contingent fees to 10%, Kansas Appellants cite a slew of cases where the district court awarded individual plaintiffs’ counsel 23–33.3% of their clients’ gross recoveries. But what Kansas Appellants fail to appreciate on appeal is that the district court is best positioned to judge the reasonableness of fee requests in each case. “We can hardly imagine a more futile and foolhardy endeavor than struggling to review each district court’s degree of familiarity with a case to decide how much deference to grant its findings and conclusions.” </w:t>
      </w:r>
      <w:r>
        <w:rPr>
          <w:i/>
        </w:rPr>
        <w:t>Swedish Hosp.</w:t>
      </w:r>
      <w:r>
        <w:t xml:space="preserve">, 1 F.3d at 1272. </w:t>
      </w:r>
    </w:p>
    <w:p w14:paraId="6436D7D2" w14:textId="77777777" w:rsidR="004B49A5" w:rsidRDefault="00000000" w:rsidP="00B914E3">
      <w:pPr>
        <w:spacing w:after="0" w:line="259" w:lineRule="auto"/>
        <w:ind w:left="0"/>
        <w:jc w:val="center"/>
      </w:pPr>
      <w:r>
        <w:t>22</w:t>
      </w:r>
    </w:p>
    <w:p w14:paraId="270284E2" w14:textId="77777777" w:rsidR="004B49A5" w:rsidRDefault="00000000" w:rsidP="00B914E3">
      <w:pPr>
        <w:pStyle w:val="Heading1"/>
        <w:tabs>
          <w:tab w:val="center" w:pos="3002"/>
          <w:tab w:val="center" w:pos="5144"/>
        </w:tabs>
        <w:spacing w:after="0"/>
        <w:ind w:left="0" w:right="0" w:firstLine="0"/>
        <w:jc w:val="left"/>
      </w:pPr>
      <w:r>
        <w:rPr>
          <w:rFonts w:ascii="Calibri" w:eastAsia="Calibri" w:hAnsi="Calibri" w:cs="Calibri"/>
          <w:b w:val="0"/>
          <w:sz w:val="22"/>
        </w:rPr>
        <w:tab/>
      </w:r>
      <w:r>
        <w:t>ii</w:t>
      </w:r>
      <w:proofErr w:type="gramStart"/>
      <w:r>
        <w:t>.</w:t>
      </w:r>
      <w:r>
        <w:rPr>
          <w:rFonts w:ascii="Arial" w:eastAsia="Arial" w:hAnsi="Arial" w:cs="Arial"/>
        </w:rPr>
        <w:t xml:space="preserve"> </w:t>
      </w:r>
      <w:r>
        <w:rPr>
          <w:rFonts w:ascii="Arial" w:eastAsia="Arial" w:hAnsi="Arial" w:cs="Arial"/>
        </w:rPr>
        <w:tab/>
      </w:r>
      <w:r>
        <w:t>Allocations</w:t>
      </w:r>
      <w:proofErr w:type="gramEnd"/>
      <w:r>
        <w:t xml:space="preserve"> within the Pools </w:t>
      </w:r>
    </w:p>
    <w:p w14:paraId="26B093AA" w14:textId="77777777" w:rsidR="004B49A5" w:rsidRDefault="00000000" w:rsidP="00B914E3">
      <w:pPr>
        <w:spacing w:after="0" w:line="484" w:lineRule="auto"/>
        <w:ind w:left="0" w:firstLine="720"/>
      </w:pPr>
      <w:r>
        <w:t xml:space="preserve">Finally, we reject Kansas Appellants’ </w:t>
      </w:r>
      <w:r>
        <w:rPr>
          <w:shd w:val="clear" w:color="auto" w:fill="FFFF00"/>
        </w:rPr>
        <w:t xml:space="preserve">arguments that the district court erred in how it allocated awards </w:t>
      </w:r>
      <w:r>
        <w:rPr>
          <w:i/>
          <w:shd w:val="clear" w:color="auto" w:fill="FFFF00"/>
        </w:rPr>
        <w:t xml:space="preserve">within </w:t>
      </w:r>
      <w:r>
        <w:rPr>
          <w:shd w:val="clear" w:color="auto" w:fill="FFFF00"/>
        </w:rPr>
        <w:t xml:space="preserve">the respective pools. Specifically, Kansas Appellants object to the district court both awarding the Kansas MDL Leadership 98.07% of the </w:t>
      </w:r>
    </w:p>
    <w:p w14:paraId="5F1DB81F" w14:textId="77777777" w:rsidR="004B49A5" w:rsidRDefault="00000000" w:rsidP="00B914E3">
      <w:pPr>
        <w:spacing w:after="0" w:line="259" w:lineRule="auto"/>
        <w:ind w:left="0"/>
      </w:pPr>
      <w:r>
        <w:rPr>
          <w:shd w:val="clear" w:color="auto" w:fill="FFFF00"/>
        </w:rPr>
        <w:t xml:space="preserve">Kansas Common Benefit Pool award and applying a lodestar multiplier of 3 to the award. </w:t>
      </w:r>
    </w:p>
    <w:p w14:paraId="122D7586" w14:textId="77777777" w:rsidR="004B49A5" w:rsidRDefault="00000000" w:rsidP="00B914E3">
      <w:pPr>
        <w:spacing w:after="0" w:line="484" w:lineRule="auto"/>
        <w:ind w:left="0"/>
      </w:pPr>
      <w:proofErr w:type="gramStart"/>
      <w:r>
        <w:rPr>
          <w:shd w:val="clear" w:color="auto" w:fill="FFFF00"/>
        </w:rPr>
        <w:t>They</w:t>
      </w:r>
      <w:proofErr w:type="gramEnd"/>
      <w:r>
        <w:rPr>
          <w:shd w:val="clear" w:color="auto" w:fill="FFFF00"/>
        </w:rPr>
        <w:t xml:space="preserve"> additionally object to the district court’s application of a 2.5 multiplier to some firms for bellwether discovery work but only a 1.25 multiplier for their own bellwether discovery work. Such disparate treatment, Kansas Appellants argue, is unreasonable.</w:t>
      </w:r>
      <w:r>
        <w:t xml:space="preserve"> </w:t>
      </w:r>
    </w:p>
    <w:p w14:paraId="75025D9C" w14:textId="77777777" w:rsidR="004B49A5" w:rsidRDefault="00000000" w:rsidP="00B914E3">
      <w:pPr>
        <w:spacing w:after="0"/>
        <w:ind w:left="0" w:firstLine="720"/>
      </w:pPr>
      <w:r>
        <w:lastRenderedPageBreak/>
        <w:t xml:space="preserve">First, though they object to the district court’s portioning of the Kansas Common Benefit Pool Award to the Kansas MDL Leadership, Kansas Appellants curiously cite to cases and other legal authorities that bear on the propriety of fee percentages vis-à-vis the </w:t>
      </w:r>
      <w:r>
        <w:rPr>
          <w:i/>
        </w:rPr>
        <w:t xml:space="preserve">entire </w:t>
      </w:r>
      <w:r>
        <w:t>settlement award.</w:t>
      </w:r>
      <w:r>
        <w:rPr>
          <w:vertAlign w:val="superscript"/>
        </w:rPr>
        <w:footnoteReference w:id="5"/>
      </w:r>
      <w:r>
        <w:t xml:space="preserve"> This is curious because presumably it is in their interest that the aggregate fee pie be as large as possible—conceivably, allowing for more for them. </w:t>
      </w:r>
    </w:p>
    <w:p w14:paraId="76CE11E5" w14:textId="77777777" w:rsidR="004B49A5" w:rsidRDefault="00000000" w:rsidP="00B914E3">
      <w:pPr>
        <w:spacing w:after="0"/>
        <w:ind w:left="0"/>
      </w:pPr>
      <w:r>
        <w:t xml:space="preserve">However, in the event that their cited authorities actually reflect Kansas Appellants’ concern that the Aggregate Fee Order is excessive vis-à-vis the entire settlement award, we agree with our sister circuit that, “while it may be appropriate in some circumstances for fee percentages in large recovery cases to be smaller than those in smaller recovery cases, ‘there is no rule that a district court must apply a declining percentage reduction in </w:t>
      </w:r>
    </w:p>
    <w:p w14:paraId="5A917181" w14:textId="77777777" w:rsidR="004B49A5" w:rsidRDefault="00000000" w:rsidP="00B914E3">
      <w:pPr>
        <w:spacing w:after="0" w:line="259" w:lineRule="auto"/>
        <w:ind w:left="0" w:firstLine="0"/>
      </w:pPr>
      <w:r>
        <w:rPr>
          <w:sz w:val="20"/>
        </w:rPr>
        <w:t xml:space="preserve"> </w:t>
      </w:r>
    </w:p>
    <w:p w14:paraId="0B7015DB" w14:textId="659AF298" w:rsidR="004B49A5" w:rsidRDefault="00000000" w:rsidP="00B914E3">
      <w:pPr>
        <w:spacing w:after="0" w:line="444" w:lineRule="auto"/>
        <w:ind w:left="0" w:firstLine="0"/>
      </w:pPr>
      <w:r>
        <w:rPr>
          <w:sz w:val="20"/>
        </w:rPr>
        <w:t xml:space="preserve">  </w:t>
      </w:r>
    </w:p>
    <w:p w14:paraId="66032296" w14:textId="77777777" w:rsidR="004B49A5" w:rsidRDefault="00000000" w:rsidP="00B914E3">
      <w:pPr>
        <w:spacing w:after="0"/>
        <w:ind w:left="0"/>
      </w:pPr>
      <w:r>
        <w:t xml:space="preserve">every settlement involving a sizable fund.’” </w:t>
      </w:r>
      <w:r>
        <w:rPr>
          <w:i/>
        </w:rPr>
        <w:t>In re AT&amp;T Corp.</w:t>
      </w:r>
      <w:r>
        <w:t xml:space="preserve">, 455 F.3d 160, 174 (3d Cir. 2006) (quoting </w:t>
      </w:r>
      <w:proofErr w:type="gramStart"/>
      <w:r>
        <w:rPr>
          <w:i/>
        </w:rPr>
        <w:t>In</w:t>
      </w:r>
      <w:proofErr w:type="gramEnd"/>
      <w:r>
        <w:rPr>
          <w:i/>
        </w:rPr>
        <w:t xml:space="preserve"> re Rite Aid Corp. Sec. Litig.</w:t>
      </w:r>
      <w:r>
        <w:t xml:space="preserve">, 396 F.3d 294, 303 (3d Cir. 2005)). </w:t>
      </w:r>
    </w:p>
    <w:p w14:paraId="2152BEE4" w14:textId="77777777" w:rsidR="004B49A5" w:rsidRDefault="00000000" w:rsidP="00B914E3">
      <w:pPr>
        <w:spacing w:after="0"/>
        <w:ind w:left="0" w:firstLine="720"/>
      </w:pPr>
      <w:r>
        <w:t xml:space="preserve">More fundamentally—and more relevant to Kansas Appellants’ salient concern about the portion of the Kanas pool allocated to the Kansas MDL Leadership— reasonableness is the benchmark. As such, as a general matter, we neither require nor embrace overly formulaic approaches that cramp the district court’s full appreciation of each case’s facts. And that approach also applies to allocations </w:t>
      </w:r>
      <w:r>
        <w:rPr>
          <w:i/>
        </w:rPr>
        <w:t xml:space="preserve">within </w:t>
      </w:r>
      <w:r>
        <w:t xml:space="preserve">a pool. Thus, because the Kansas Special Master and district court thoughtfully considered the Kansas </w:t>
      </w:r>
    </w:p>
    <w:p w14:paraId="7E7207F7" w14:textId="77777777" w:rsidR="004B49A5" w:rsidRDefault="00000000" w:rsidP="00B914E3">
      <w:pPr>
        <w:spacing w:after="0"/>
        <w:ind w:left="0"/>
      </w:pPr>
      <w:r>
        <w:lastRenderedPageBreak/>
        <w:t xml:space="preserve">MDL Leadership’s many contributions to the ultimate settlement recovery alongside the </w:t>
      </w:r>
      <w:r>
        <w:rPr>
          <w:i/>
        </w:rPr>
        <w:t xml:space="preserve">Johnson </w:t>
      </w:r>
      <w:r>
        <w:t xml:space="preserve">factors, we see no occasion to disturb the Kansas MDL Leadership’s fee award, let alone the Aggregate Fee Order. </w:t>
      </w:r>
    </w:p>
    <w:p w14:paraId="77A89872" w14:textId="77777777" w:rsidR="004B49A5" w:rsidRDefault="00000000" w:rsidP="00B914E3">
      <w:pPr>
        <w:spacing w:after="0"/>
        <w:ind w:left="0" w:firstLine="720"/>
      </w:pPr>
      <w:r>
        <w:t xml:space="preserve">For a similar set of reasons, we cannot conclude that the district court abused its discretion in awarding a multiplier of 3 to the Kansas MDL Leadership. As the district court explained, the leadership multiplier reflected “each firm’s contribution to the overall benefit of the settlement class, in accordance with the common benefit guidelines set forth in the Court’s initial allocation order.” Joint App., Vol. 25, at 5866. Likewise, the district court justified the disparity between multipliers for bellwether discovery work </w:t>
      </w:r>
    </w:p>
    <w:p w14:paraId="19ED4839" w14:textId="77777777" w:rsidR="004B49A5" w:rsidRDefault="00000000" w:rsidP="00B914E3">
      <w:pPr>
        <w:spacing w:after="0"/>
        <w:ind w:left="0"/>
      </w:pPr>
      <w:r>
        <w:t>“</w:t>
      </w:r>
      <w:proofErr w:type="gramStart"/>
      <w:r>
        <w:t>by</w:t>
      </w:r>
      <w:proofErr w:type="gramEnd"/>
      <w:r>
        <w:t xml:space="preserve"> reference to the significant work” that some firms—not Kansas Appellants— “performed to advance the litigation.” </w:t>
      </w:r>
      <w:r>
        <w:rPr>
          <w:i/>
        </w:rPr>
        <w:t xml:space="preserve">Id. </w:t>
      </w:r>
      <w:r>
        <w:t xml:space="preserve">at 5873–74. The firms that received a 2.5 multiplier for their pre-trial work “contributed more to the common benefit of the settlement class than the . . . work performed” by Kansas Appellants. </w:t>
      </w:r>
      <w:r>
        <w:rPr>
          <w:i/>
        </w:rPr>
        <w:t xml:space="preserve">Id. </w:t>
      </w:r>
      <w:proofErr w:type="gramStart"/>
      <w:r>
        <w:t>at</w:t>
      </w:r>
      <w:proofErr w:type="gramEnd"/>
      <w:r>
        <w:t xml:space="preserve"> 5874. Our </w:t>
      </w:r>
    </w:p>
    <w:p w14:paraId="3EF88175" w14:textId="77777777" w:rsidR="004B49A5" w:rsidRDefault="00000000" w:rsidP="00B914E3">
      <w:pPr>
        <w:spacing w:after="0" w:line="259" w:lineRule="auto"/>
        <w:ind w:left="0"/>
      </w:pPr>
      <w:r>
        <w:t xml:space="preserve">precedent allows for the application of multipliers where, as here, “there is evidence of </w:t>
      </w:r>
    </w:p>
    <w:p w14:paraId="5E8B3BAB" w14:textId="604ECED5" w:rsidR="004B49A5" w:rsidRDefault="004B49A5" w:rsidP="00B914E3">
      <w:pPr>
        <w:spacing w:after="0" w:line="259" w:lineRule="auto"/>
        <w:ind w:left="0"/>
        <w:jc w:val="center"/>
      </w:pPr>
    </w:p>
    <w:p w14:paraId="1E7D0AFB" w14:textId="77777777" w:rsidR="004B49A5" w:rsidRDefault="00000000" w:rsidP="00B914E3">
      <w:pPr>
        <w:spacing w:after="0"/>
        <w:ind w:left="0"/>
      </w:pPr>
      <w:r>
        <w:t xml:space="preserve">something extraordinary in the results . . . or if one of the </w:t>
      </w:r>
      <w:r>
        <w:rPr>
          <w:i/>
        </w:rPr>
        <w:t xml:space="preserve">Johnson </w:t>
      </w:r>
      <w:r>
        <w:t xml:space="preserve">factors appears to demand </w:t>
      </w:r>
      <w:proofErr w:type="gramStart"/>
      <w:r>
        <w:t>it.”</w:t>
      </w:r>
      <w:proofErr w:type="gramEnd"/>
      <w:r>
        <w:t xml:space="preserve"> </w:t>
      </w:r>
      <w:r>
        <w:rPr>
          <w:i/>
        </w:rPr>
        <w:t>Rosenbaum</w:t>
      </w:r>
      <w:r>
        <w:t xml:space="preserve">, 64 F.3d at 1448. By all accounts, this is such a case. </w:t>
      </w:r>
    </w:p>
    <w:p w14:paraId="3E1AFC53" w14:textId="77777777" w:rsidR="004B49A5" w:rsidRDefault="00000000" w:rsidP="00B914E3">
      <w:pPr>
        <w:spacing w:after="0" w:line="259" w:lineRule="auto"/>
        <w:ind w:left="0"/>
        <w:jc w:val="center"/>
      </w:pPr>
      <w:r>
        <w:t xml:space="preserve">*** </w:t>
      </w:r>
    </w:p>
    <w:p w14:paraId="2C4EDE63" w14:textId="77777777" w:rsidR="004B49A5" w:rsidRDefault="00000000" w:rsidP="00B914E3">
      <w:pPr>
        <w:spacing w:after="0" w:line="259" w:lineRule="auto"/>
        <w:ind w:left="0" w:firstLine="0"/>
      </w:pPr>
      <w:r>
        <w:t xml:space="preserve"> </w:t>
      </w:r>
    </w:p>
    <w:p w14:paraId="68B63475" w14:textId="77777777" w:rsidR="004B49A5" w:rsidRDefault="00000000" w:rsidP="00B914E3">
      <w:pPr>
        <w:spacing w:after="0"/>
        <w:ind w:left="0" w:firstLine="720"/>
      </w:pPr>
      <w:r>
        <w:t xml:space="preserve">In sum, Kansas Appellants fail to cast doubt on the reasonableness of the Kansas district court’s fee allocation decision—be it the court’s December 31, 2018, Fee </w:t>
      </w:r>
    </w:p>
    <w:p w14:paraId="31076B0F" w14:textId="77777777" w:rsidR="004B49A5" w:rsidRDefault="00000000" w:rsidP="00B914E3">
      <w:pPr>
        <w:spacing w:after="0" w:line="259" w:lineRule="auto"/>
        <w:ind w:left="0"/>
      </w:pPr>
      <w:r>
        <w:t xml:space="preserve">Allocation Order approving the four-pool allocation scheme, or the March 2019 Kansas </w:t>
      </w:r>
    </w:p>
    <w:p w14:paraId="04A2F046" w14:textId="77777777" w:rsidR="004B49A5" w:rsidRDefault="00000000" w:rsidP="00B914E3">
      <w:pPr>
        <w:spacing w:after="0"/>
        <w:ind w:left="0"/>
      </w:pPr>
      <w:r>
        <w:t xml:space="preserve">Pool Allocation Order awarding fees based on each attorney’s or law firm’s relative contribution to the settlement process and the class settlement fund. While Kansas Appellants may hold their work in higher regard than the Kansas district court, they point </w:t>
      </w:r>
      <w:r>
        <w:lastRenderedPageBreak/>
        <w:t xml:space="preserve">to no evidence that the court’s specific fee allocation decisions exceeded the bounds of the court’s discretion. As is clear from our caselaw, our review of attorneys’ fee decisions should not devolve into a full-blown second litigation or, more bluntly, a </w:t>
      </w:r>
    </w:p>
    <w:p w14:paraId="79E86E64" w14:textId="77777777" w:rsidR="004B49A5" w:rsidRDefault="00000000" w:rsidP="00B914E3">
      <w:pPr>
        <w:spacing w:after="0" w:line="259" w:lineRule="auto"/>
        <w:ind w:left="0"/>
      </w:pPr>
      <w:r>
        <w:t xml:space="preserve">“re-do” for the disgruntled fee applicant. We find no abuse of discretion. </w:t>
      </w:r>
    </w:p>
    <w:p w14:paraId="64DFDEAC" w14:textId="77777777" w:rsidR="004B49A5" w:rsidRDefault="00000000">
      <w:pPr>
        <w:spacing w:after="0" w:line="259" w:lineRule="auto"/>
        <w:ind w:left="120" w:firstLine="0"/>
      </w:pPr>
      <w:r>
        <w:t xml:space="preserve"> </w:t>
      </w:r>
    </w:p>
    <w:p w14:paraId="7B6E5F7F" w14:textId="77777777" w:rsidR="004B49A5" w:rsidRDefault="00000000">
      <w:pPr>
        <w:spacing w:after="3" w:line="259" w:lineRule="auto"/>
        <w:ind w:left="1044"/>
        <w:jc w:val="center"/>
      </w:pPr>
      <w:r>
        <w:t xml:space="preserve">* * * * </w:t>
      </w:r>
    </w:p>
    <w:p w14:paraId="5452845F" w14:textId="77777777" w:rsidR="004B49A5" w:rsidRDefault="00000000">
      <w:pPr>
        <w:spacing w:after="4711" w:line="259" w:lineRule="auto"/>
        <w:ind w:left="0" w:firstLine="0"/>
      </w:pPr>
      <w:r>
        <w:t xml:space="preserve"> </w:t>
      </w:r>
    </w:p>
    <w:p w14:paraId="7CAD0673" w14:textId="77777777" w:rsidR="004B49A5" w:rsidRDefault="00000000">
      <w:pPr>
        <w:spacing w:after="3" w:line="259" w:lineRule="auto"/>
        <w:ind w:left="132" w:right="125"/>
        <w:jc w:val="center"/>
      </w:pPr>
      <w:r>
        <w:t>25</w:t>
      </w:r>
    </w:p>
    <w:sectPr w:rsidR="004B49A5">
      <w:headerReference w:type="even" r:id="rId7"/>
      <w:headerReference w:type="default" r:id="rId8"/>
      <w:headerReference w:type="first" r:id="rId9"/>
      <w:pgSz w:w="12240" w:h="15840"/>
      <w:pgMar w:top="708" w:right="1455" w:bottom="1015" w:left="1320" w:header="2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60E4" w14:textId="77777777" w:rsidR="00221F46" w:rsidRDefault="00221F46">
      <w:pPr>
        <w:spacing w:after="0" w:line="240" w:lineRule="auto"/>
      </w:pPr>
      <w:r>
        <w:separator/>
      </w:r>
    </w:p>
  </w:endnote>
  <w:endnote w:type="continuationSeparator" w:id="0">
    <w:p w14:paraId="112746E3" w14:textId="77777777" w:rsidR="00221F46" w:rsidRDefault="0022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9ABC" w14:textId="77777777" w:rsidR="00221F46" w:rsidRDefault="00221F46">
      <w:pPr>
        <w:spacing w:after="0" w:line="241" w:lineRule="auto"/>
        <w:ind w:left="120" w:right="947" w:firstLine="720"/>
      </w:pPr>
      <w:r>
        <w:separator/>
      </w:r>
    </w:p>
  </w:footnote>
  <w:footnote w:type="continuationSeparator" w:id="0">
    <w:p w14:paraId="72FAACED" w14:textId="77777777" w:rsidR="00221F46" w:rsidRDefault="00221F46">
      <w:pPr>
        <w:spacing w:after="0" w:line="241" w:lineRule="auto"/>
        <w:ind w:left="120" w:right="947" w:firstLine="720"/>
      </w:pPr>
      <w:r>
        <w:continuationSeparator/>
      </w:r>
    </w:p>
  </w:footnote>
  <w:footnote w:id="1">
    <w:p w14:paraId="0DEEEC73" w14:textId="77777777" w:rsidR="004B49A5" w:rsidRDefault="00000000">
      <w:pPr>
        <w:pStyle w:val="footnotedescription"/>
        <w:spacing w:line="241" w:lineRule="auto"/>
        <w:ind w:right="947"/>
      </w:pPr>
      <w:r>
        <w:rPr>
          <w:rStyle w:val="footnotemark"/>
        </w:rPr>
        <w:footnoteRef/>
      </w:r>
      <w:r>
        <w:t xml:space="preserve"> The three relevant groups of appellees in this action are the following: (a) the Kansas CLC, comprised of lawyers from Stueve Siegel Hanson LLP, Gray, Ritter, &amp; Graham, P.C., Hare Wynn Newell &amp; Newton, Gray Reed &amp; McGraw, LLP, and all other firms and lawyers working at their direction; (b) the Minnesota CLC, comprised of lawyers from Gustafson Gluek, PLLC, Bassford Remele, A Professional Association, </w:t>
      </w:r>
      <w:proofErr w:type="spellStart"/>
      <w:r>
        <w:t>Schewebel</w:t>
      </w:r>
      <w:proofErr w:type="spellEnd"/>
      <w:r>
        <w:t xml:space="preserve"> Goetz &amp; Sieben PA, and all other firms and lawyers working at their direction; and (c) Heninger Garrison Davis, LLC, the law firm appointed as lead counsel in the relevant action in the U.S. District Court for the Southern District of Illinois which was also appointed Coordinated Action Plaintiffs’ Liaison Counsel in that district. Seeger Weiss LLP, which was the Settlement Class Counsel in this action, is also a party to the appeal as an appellee. These law firms and attorneys name themselves as the Joint Appellees in this action. </w:t>
      </w:r>
    </w:p>
  </w:footnote>
  <w:footnote w:id="2">
    <w:p w14:paraId="21F1A57C" w14:textId="77777777" w:rsidR="004B49A5" w:rsidRDefault="00000000">
      <w:pPr>
        <w:pStyle w:val="footnotedescription"/>
        <w:spacing w:line="243" w:lineRule="auto"/>
        <w:ind w:right="898"/>
      </w:pPr>
      <w:r>
        <w:rPr>
          <w:rStyle w:val="footnotemark"/>
        </w:rPr>
        <w:footnoteRef/>
      </w:r>
      <w:r>
        <w:t xml:space="preserve"> Some corn producers who initially opted to file individual actions against Syngenta, as opposed to joining a class action lawsuit, had a change of heart and regretted their choice of pursuing individual claims. They separately sued the attorneys who allegedly inflated their legal fees by touting the benefits to them of pursuing individual lawsuits, while concealing the benefits of class litigation. That lawsuit was ultimately dismissed by the Kansas district court as part of the MDL at issue here, a dismissal that we affirmed in </w:t>
      </w:r>
      <w:r>
        <w:rPr>
          <w:i/>
        </w:rPr>
        <w:t>Kellogg v. Watts Guerra LLP</w:t>
      </w:r>
      <w:r>
        <w:t xml:space="preserve">, 41 F.4th 1246 (10th Cir. 2022). </w:t>
      </w:r>
    </w:p>
  </w:footnote>
  <w:footnote w:id="3">
    <w:p w14:paraId="4E66583E" w14:textId="77777777" w:rsidR="004B49A5" w:rsidRDefault="00000000">
      <w:pPr>
        <w:pStyle w:val="footnotedescription"/>
        <w:spacing w:line="245" w:lineRule="auto"/>
        <w:jc w:val="both"/>
      </w:pPr>
      <w:r>
        <w:rPr>
          <w:rStyle w:val="footnotemark"/>
        </w:rPr>
        <w:footnoteRef/>
      </w:r>
      <w:r>
        <w:t xml:space="preserve"> As previously mentioned, the Kansas district court ultimately reduced this 50% allocation to 49% to increase the IRPA pool allocation from 10% to 12%. </w:t>
      </w:r>
    </w:p>
  </w:footnote>
  <w:footnote w:id="4">
    <w:p w14:paraId="47542654" w14:textId="77777777" w:rsidR="004B49A5" w:rsidRDefault="00000000">
      <w:pPr>
        <w:pStyle w:val="footnotedescription"/>
      </w:pPr>
      <w:r>
        <w:rPr>
          <w:rStyle w:val="footnotemark"/>
        </w:rPr>
        <w:footnoteRef/>
      </w:r>
      <w:r>
        <w:t xml:space="preserve"> It is of no moment that the court’s analysis—all of which tracked several of the </w:t>
      </w:r>
      <w:r>
        <w:rPr>
          <w:i/>
        </w:rPr>
        <w:t xml:space="preserve">Johnson </w:t>
      </w:r>
      <w:r>
        <w:t xml:space="preserve">factors—did not explicitly invoke </w:t>
      </w:r>
      <w:r>
        <w:rPr>
          <w:i/>
        </w:rPr>
        <w:t>Johnson</w:t>
      </w:r>
      <w:r>
        <w:t xml:space="preserve">; there is no talismanic incantation district courts must chant when considering the </w:t>
      </w:r>
      <w:r>
        <w:rPr>
          <w:i/>
        </w:rPr>
        <w:t xml:space="preserve">Johnson </w:t>
      </w:r>
      <w:r>
        <w:t xml:space="preserve">framework. </w:t>
      </w:r>
      <w:r>
        <w:rPr>
          <w:i/>
        </w:rPr>
        <w:t>See Law</w:t>
      </w:r>
      <w:r>
        <w:t xml:space="preserve">, 4 F. </w:t>
      </w:r>
      <w:proofErr w:type="spellStart"/>
      <w:r>
        <w:t>App’x</w:t>
      </w:r>
      <w:proofErr w:type="spellEnd"/>
      <w:r>
        <w:t xml:space="preserve"> at 752 (“Although the district court did not expressly address the [</w:t>
      </w:r>
      <w:r>
        <w:rPr>
          <w:i/>
        </w:rPr>
        <w:t>Johnson</w:t>
      </w:r>
      <w:r>
        <w:t xml:space="preserve">] factors, the hearing transcript demonstrates that it considered fully the nature, extent, and value of appellant’s contributions to the underlying lawsuits, matters which include and define many of the </w:t>
      </w:r>
      <w:r>
        <w:rPr>
          <w:i/>
        </w:rPr>
        <w:t xml:space="preserve">Johnson </w:t>
      </w:r>
      <w:r>
        <w:t xml:space="preserve">factors.”). It is similarly inconsequential, in this case, that the Kansas Special Master—and, later, the district court—failed to consider, in substance, </w:t>
      </w:r>
      <w:proofErr w:type="gramStart"/>
      <w:r>
        <w:rPr>
          <w:i/>
        </w:rPr>
        <w:t>each and every</w:t>
      </w:r>
      <w:proofErr w:type="gramEnd"/>
      <w:r>
        <w:rPr>
          <w:i/>
        </w:rPr>
        <w:t xml:space="preserve"> </w:t>
      </w:r>
      <w:r>
        <w:t xml:space="preserve">one of the </w:t>
      </w:r>
      <w:r>
        <w:rPr>
          <w:i/>
        </w:rPr>
        <w:t xml:space="preserve">Johnson </w:t>
      </w:r>
      <w:r>
        <w:t xml:space="preserve">factors. </w:t>
      </w:r>
      <w:r>
        <w:rPr>
          <w:i/>
        </w:rPr>
        <w:t>See Gudenkauf v. Stauffer Commc’ns, Inc.</w:t>
      </w:r>
      <w:r>
        <w:t xml:space="preserve">, 158 F.3d 1074, 1083 (10th Cir. 1998) (finding no abuse of discretion where district court failed to specifically address each </w:t>
      </w:r>
      <w:r>
        <w:rPr>
          <w:i/>
        </w:rPr>
        <w:t xml:space="preserve">Johnson </w:t>
      </w:r>
      <w:r>
        <w:t xml:space="preserve">factor). The Kansas district court recognized that the Kansas Special Master considered the </w:t>
      </w:r>
      <w:r>
        <w:rPr>
          <w:i/>
        </w:rPr>
        <w:t xml:space="preserve">Johnson </w:t>
      </w:r>
      <w:r>
        <w:t xml:space="preserve">factors most applicable to this case and, given that consideration, permissibly concluded that her allocation recommendations were reasonable, </w:t>
      </w:r>
      <w:r>
        <w:rPr>
          <w:i/>
        </w:rPr>
        <w:t>see Brown</w:t>
      </w:r>
      <w:r>
        <w:t xml:space="preserve">, 838 F.2d at 456—with the mere exception of her recommended IRPA allocation, which it increased by two percentage points. </w:t>
      </w:r>
    </w:p>
  </w:footnote>
  <w:footnote w:id="5">
    <w:p w14:paraId="024F3C43" w14:textId="77777777" w:rsidR="004B49A5" w:rsidRDefault="00000000">
      <w:pPr>
        <w:pStyle w:val="footnotedescription"/>
        <w:spacing w:line="264" w:lineRule="auto"/>
        <w:ind w:firstLine="0"/>
      </w:pPr>
      <w:r>
        <w:rPr>
          <w:rStyle w:val="footnotemark"/>
        </w:rPr>
        <w:footnoteRef/>
      </w:r>
      <w:r>
        <w:t xml:space="preserve"> </w:t>
      </w:r>
      <w:r>
        <w:rPr>
          <w:i/>
        </w:rPr>
        <w:t xml:space="preserve">Compare </w:t>
      </w:r>
      <w:r>
        <w:t xml:space="preserve">Kan. </w:t>
      </w:r>
      <w:proofErr w:type="spellStart"/>
      <w:r>
        <w:t>Aplts</w:t>
      </w:r>
      <w:proofErr w:type="spellEnd"/>
      <w:r>
        <w:t xml:space="preserve">.’ Opening Br. at 57 (“The amount of this class counsel fee award is an extraordinary and unjustified outlier in a mega-fund class-action settlement.”), </w:t>
      </w:r>
      <w:r>
        <w:rPr>
          <w:i/>
        </w:rPr>
        <w:t xml:space="preserve">with id. </w:t>
      </w:r>
      <w:r>
        <w:t xml:space="preserve">(approvingly discussing “common fund class fee awards as low as 4.1% where the recovery exceeds $100 million”).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39A0" w14:textId="77777777" w:rsidR="004B49A5" w:rsidRDefault="00000000">
    <w:pPr>
      <w:spacing w:after="0" w:line="259" w:lineRule="auto"/>
      <w:ind w:left="0" w:firstLine="0"/>
    </w:pPr>
    <w:r>
      <w:rPr>
        <w:sz w:val="20"/>
      </w:rPr>
      <w:t xml:space="preserve"> </w:t>
    </w:r>
  </w:p>
  <w:p w14:paraId="45464D19" w14:textId="77777777" w:rsidR="004B49A5" w:rsidRDefault="00000000">
    <w:pPr>
      <w:tabs>
        <w:tab w:val="center" w:pos="4181"/>
        <w:tab w:val="center" w:pos="7148"/>
        <w:tab w:val="right" w:pos="9465"/>
      </w:tabs>
      <w:spacing w:after="0" w:line="259" w:lineRule="auto"/>
      <w:ind w:left="-197" w:right="-196" w:firstLine="0"/>
    </w:pPr>
    <w:r>
      <w:rPr>
        <w:rFonts w:ascii="Arial" w:eastAsia="Arial" w:hAnsi="Arial" w:cs="Arial"/>
        <w:color w:val="31B131"/>
        <w:sz w:val="24"/>
      </w:rPr>
      <w:t>Appellate Case: 19-3008</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Document: 010110819035</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Date Filed: 02/28/2023</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 xml:space="preserve">Page: </w:t>
    </w:r>
    <w:r>
      <w:fldChar w:fldCharType="begin"/>
    </w:r>
    <w:r>
      <w:instrText xml:space="preserve"> PAGE   \* MERGEFORMAT </w:instrText>
    </w:r>
    <w:r>
      <w:fldChar w:fldCharType="separate"/>
    </w:r>
    <w:r>
      <w:rPr>
        <w:rFonts w:ascii="Arial" w:eastAsia="Arial" w:hAnsi="Arial" w:cs="Arial"/>
        <w:color w:val="31B131"/>
        <w:sz w:val="24"/>
      </w:rPr>
      <w:t>14</w:t>
    </w:r>
    <w:r>
      <w:rPr>
        <w:rFonts w:ascii="Arial" w:eastAsia="Arial" w:hAnsi="Arial" w:cs="Arial"/>
        <w:color w:val="31B131"/>
        <w:sz w:val="24"/>
      </w:rPr>
      <w:fldChar w:fldCharType="end"/>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FEA2" w14:textId="77777777" w:rsidR="004B49A5" w:rsidRDefault="00000000">
    <w:pPr>
      <w:spacing w:after="0" w:line="259" w:lineRule="auto"/>
      <w:ind w:left="0" w:firstLine="0"/>
    </w:pPr>
    <w:r>
      <w:rPr>
        <w:sz w:val="20"/>
      </w:rPr>
      <w:t xml:space="preserve"> </w:t>
    </w:r>
  </w:p>
  <w:p w14:paraId="79AD5AA0" w14:textId="77777777" w:rsidR="004B49A5" w:rsidRDefault="00000000">
    <w:pPr>
      <w:tabs>
        <w:tab w:val="center" w:pos="4181"/>
        <w:tab w:val="center" w:pos="7148"/>
        <w:tab w:val="right" w:pos="9465"/>
      </w:tabs>
      <w:spacing w:after="0" w:line="259" w:lineRule="auto"/>
      <w:ind w:left="-197" w:right="-196" w:firstLine="0"/>
    </w:pPr>
    <w:r>
      <w:rPr>
        <w:rFonts w:ascii="Arial" w:eastAsia="Arial" w:hAnsi="Arial" w:cs="Arial"/>
        <w:color w:val="31B131"/>
        <w:sz w:val="24"/>
      </w:rPr>
      <w:t>Appellate Case: 19-3008</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Document: 010110819035</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Date Filed: 02/28/2023</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 xml:space="preserve">Page: </w:t>
    </w:r>
    <w:r>
      <w:fldChar w:fldCharType="begin"/>
    </w:r>
    <w:r>
      <w:instrText xml:space="preserve"> PAGE   \* MERGEFORMAT </w:instrText>
    </w:r>
    <w:r>
      <w:fldChar w:fldCharType="separate"/>
    </w:r>
    <w:r>
      <w:rPr>
        <w:rFonts w:ascii="Arial" w:eastAsia="Arial" w:hAnsi="Arial" w:cs="Arial"/>
        <w:color w:val="31B131"/>
        <w:sz w:val="24"/>
      </w:rPr>
      <w:t>14</w:t>
    </w:r>
    <w:r>
      <w:rPr>
        <w:rFonts w:ascii="Arial" w:eastAsia="Arial" w:hAnsi="Arial" w:cs="Arial"/>
        <w:color w:val="31B131"/>
        <w:sz w:val="24"/>
      </w:rPr>
      <w:fldChar w:fldCharType="end"/>
    </w: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4287" w14:textId="77777777" w:rsidR="004B49A5" w:rsidRDefault="00000000">
    <w:pPr>
      <w:spacing w:after="0" w:line="259" w:lineRule="auto"/>
      <w:ind w:left="0" w:firstLine="0"/>
    </w:pPr>
    <w:r>
      <w:rPr>
        <w:sz w:val="20"/>
      </w:rPr>
      <w:t xml:space="preserve"> </w:t>
    </w:r>
  </w:p>
  <w:p w14:paraId="0BB1F449" w14:textId="77777777" w:rsidR="004B49A5" w:rsidRDefault="00000000">
    <w:pPr>
      <w:tabs>
        <w:tab w:val="center" w:pos="4181"/>
        <w:tab w:val="center" w:pos="7148"/>
        <w:tab w:val="right" w:pos="9465"/>
      </w:tabs>
      <w:spacing w:after="0" w:line="259" w:lineRule="auto"/>
      <w:ind w:left="-197" w:right="-196" w:firstLine="0"/>
    </w:pPr>
    <w:r>
      <w:rPr>
        <w:rFonts w:ascii="Arial" w:eastAsia="Arial" w:hAnsi="Arial" w:cs="Arial"/>
        <w:color w:val="31B131"/>
        <w:sz w:val="24"/>
      </w:rPr>
      <w:t>Appellate Case: 19-3008</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Document: 010110819035</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Date Filed: 02/28/2023</w:t>
    </w:r>
    <w:r>
      <w:rPr>
        <w:rFonts w:ascii="Arial" w:eastAsia="Arial" w:hAnsi="Arial" w:cs="Arial"/>
        <w:sz w:val="24"/>
      </w:rPr>
      <w:t xml:space="preserve"> </w:t>
    </w:r>
    <w:r>
      <w:rPr>
        <w:rFonts w:ascii="Arial" w:eastAsia="Arial" w:hAnsi="Arial" w:cs="Arial"/>
        <w:sz w:val="24"/>
      </w:rPr>
      <w:tab/>
    </w:r>
    <w:r>
      <w:rPr>
        <w:rFonts w:ascii="Arial" w:eastAsia="Arial" w:hAnsi="Arial" w:cs="Arial"/>
        <w:color w:val="31B131"/>
        <w:sz w:val="24"/>
      </w:rPr>
      <w:t xml:space="preserve">Page: </w:t>
    </w:r>
    <w:r>
      <w:fldChar w:fldCharType="begin"/>
    </w:r>
    <w:r>
      <w:instrText xml:space="preserve"> PAGE   \* MERGEFORMAT </w:instrText>
    </w:r>
    <w:r>
      <w:fldChar w:fldCharType="separate"/>
    </w:r>
    <w:r>
      <w:rPr>
        <w:rFonts w:ascii="Arial" w:eastAsia="Arial" w:hAnsi="Arial" w:cs="Arial"/>
        <w:color w:val="31B131"/>
        <w:sz w:val="24"/>
      </w:rPr>
      <w:t>12</w:t>
    </w:r>
    <w:r>
      <w:rPr>
        <w:rFonts w:ascii="Arial" w:eastAsia="Arial" w:hAnsi="Arial" w:cs="Arial"/>
        <w:color w:val="31B131"/>
        <w:sz w:val="24"/>
      </w:rPr>
      <w:fldChar w:fldCharType="end"/>
    </w:r>
    <w:r>
      <w:rPr>
        <w:rFonts w:ascii="Arial" w:eastAsia="Arial" w:hAnsi="Arial" w:cs="Arial"/>
        <w:sz w:val="24"/>
      </w:rPr>
      <w:t xml:space="preserve"> </w:t>
    </w:r>
  </w:p>
  <w:p w14:paraId="44F553AF" w14:textId="77777777" w:rsidR="004B49A5" w:rsidRDefault="00000000">
    <w:pPr>
      <w:spacing w:after="96" w:line="259" w:lineRule="auto"/>
      <w:ind w:left="0" w:firstLine="0"/>
    </w:pPr>
    <w:r>
      <w:t xml:space="preserve"> </w:t>
    </w:r>
  </w:p>
  <w:p w14:paraId="12983F23" w14:textId="77777777" w:rsidR="004B49A5"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54B8B"/>
    <w:multiLevelType w:val="hybridMultilevel"/>
    <w:tmpl w:val="BA8AC922"/>
    <w:lvl w:ilvl="0" w:tplc="BC64F878">
      <w:start w:val="1"/>
      <w:numFmt w:val="decimal"/>
      <w:lvlText w:val="(%1)"/>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4CD0A2">
      <w:start w:val="1"/>
      <w:numFmt w:val="lowerLetter"/>
      <w:lvlText w:val="%2"/>
      <w:lvlJc w:val="left"/>
      <w:pPr>
        <w:ind w:left="2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C8CC36">
      <w:start w:val="1"/>
      <w:numFmt w:val="lowerRoman"/>
      <w:lvlText w:val="%3"/>
      <w:lvlJc w:val="left"/>
      <w:pPr>
        <w:ind w:left="3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F8C550">
      <w:start w:val="1"/>
      <w:numFmt w:val="decimal"/>
      <w:lvlText w:val="%4"/>
      <w:lvlJc w:val="left"/>
      <w:pPr>
        <w:ind w:left="4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E215FC">
      <w:start w:val="1"/>
      <w:numFmt w:val="lowerLetter"/>
      <w:lvlText w:val="%5"/>
      <w:lvlJc w:val="left"/>
      <w:pPr>
        <w:ind w:left="4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D81E52">
      <w:start w:val="1"/>
      <w:numFmt w:val="lowerRoman"/>
      <w:lvlText w:val="%6"/>
      <w:lvlJc w:val="left"/>
      <w:pPr>
        <w:ind w:left="5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CE9C2E">
      <w:start w:val="1"/>
      <w:numFmt w:val="decimal"/>
      <w:lvlText w:val="%7"/>
      <w:lvlJc w:val="left"/>
      <w:pPr>
        <w:ind w:left="6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EE28A4">
      <w:start w:val="1"/>
      <w:numFmt w:val="lowerLetter"/>
      <w:lvlText w:val="%8"/>
      <w:lvlJc w:val="left"/>
      <w:pPr>
        <w:ind w:left="6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E4E73A">
      <w:start w:val="1"/>
      <w:numFmt w:val="lowerRoman"/>
      <w:lvlText w:val="%9"/>
      <w:lvlJc w:val="left"/>
      <w:pPr>
        <w:ind w:left="7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3F845D2"/>
    <w:multiLevelType w:val="hybridMultilevel"/>
    <w:tmpl w:val="D6D09982"/>
    <w:lvl w:ilvl="0" w:tplc="BC1E7DCE">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858884652">
    <w:abstractNumId w:val="0"/>
  </w:num>
  <w:num w:numId="2" w16cid:durableId="95591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A5"/>
    <w:rsid w:val="001F79B7"/>
    <w:rsid w:val="00221F46"/>
    <w:rsid w:val="002A1433"/>
    <w:rsid w:val="003060F1"/>
    <w:rsid w:val="004B49A5"/>
    <w:rsid w:val="00B86703"/>
    <w:rsid w:val="00B914E3"/>
    <w:rsid w:val="00FA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EAC7"/>
  <w15:docId w15:val="{556B1C85-BC21-4FB6-8669-FEF5F162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7" w:lineRule="auto"/>
      <w:ind w:left="245"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2" w:line="249" w:lineRule="auto"/>
      <w:ind w:left="10" w:right="49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0" w:line="244" w:lineRule="auto"/>
      <w:ind w:left="120" w:firstLine="720"/>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Pr>
      <w:rFonts w:ascii="Times New Roman" w:eastAsia="Times New Roman" w:hAnsi="Times New Roman" w:cs="Times New Roman"/>
      <w:color w:val="000000"/>
      <w:sz w:val="26"/>
    </w:rPr>
  </w:style>
  <w:style w:type="character" w:customStyle="1" w:styleId="footnotemark">
    <w:name w:val="footnote mark"/>
    <w:hidden/>
    <w:rPr>
      <w:rFonts w:ascii="Times New Roman" w:eastAsia="Times New Roman" w:hAnsi="Times New Roman" w:cs="Times New Roman"/>
      <w:color w:val="000000"/>
      <w:sz w:val="2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6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5801</Words>
  <Characters>33066</Characters>
  <Application>Microsoft Office Word</Application>
  <DocSecurity>0</DocSecurity>
  <Lines>275</Lines>
  <Paragraphs>77</Paragraphs>
  <ScaleCrop>false</ScaleCrop>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- 19-3008.docx</dc:title>
  <dc:subject/>
  <dc:creator>AmyFrazier</dc:creator>
  <cp:keywords/>
  <cp:lastModifiedBy>John Rabiej</cp:lastModifiedBy>
  <cp:revision>4</cp:revision>
  <dcterms:created xsi:type="dcterms:W3CDTF">2025-04-21T17:10:00Z</dcterms:created>
  <dcterms:modified xsi:type="dcterms:W3CDTF">2025-04-21T18:24:00Z</dcterms:modified>
</cp:coreProperties>
</file>