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320E" w14:textId="24EBAA01" w:rsidR="003E440F" w:rsidRDefault="003E440F" w:rsidP="007347FA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FE59B89" wp14:editId="71EB2129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3A2EF" w14:textId="39556A9F" w:rsidR="003E440F" w:rsidRDefault="009112BD" w:rsidP="007347FA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</w:pPr>
      <w:r>
        <w:rPr>
          <w:rFonts w:ascii="Century Schoolbook" w:hAnsi="Century Schoolbook"/>
          <w:b/>
          <w:bCs/>
          <w:sz w:val="24"/>
          <w:szCs w:val="24"/>
        </w:rPr>
        <w:t>July</w:t>
      </w:r>
      <w:r w:rsidR="000F7D54">
        <w:rPr>
          <w:rFonts w:ascii="Century Schoolbook" w:hAnsi="Century Schoolbook"/>
          <w:b/>
          <w:bCs/>
          <w:sz w:val="24"/>
          <w:szCs w:val="24"/>
        </w:rPr>
        <w:t xml:space="preserve"> 17, 2025</w:t>
      </w:r>
    </w:p>
    <w:p w14:paraId="0F40DD9C" w14:textId="77777777" w:rsidR="000F7D54" w:rsidRPr="00824F38" w:rsidRDefault="000F7D54" w:rsidP="007347F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0214240" w14:textId="0DE45E68" w:rsidR="00A26501" w:rsidRPr="00C45AB4" w:rsidRDefault="00580D72" w:rsidP="00580D7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45AB4">
        <w:rPr>
          <w:rFonts w:ascii="Times New Roman" w:hAnsi="Times New Roman" w:cs="Times New Roman"/>
          <w:b/>
          <w:bCs/>
        </w:rPr>
        <w:t>Termination of Mass</w:t>
      </w:r>
      <w:r w:rsidR="00D1177F" w:rsidRPr="00C45AB4">
        <w:rPr>
          <w:rFonts w:ascii="Times New Roman" w:hAnsi="Times New Roman" w:cs="Times New Roman"/>
          <w:b/>
          <w:bCs/>
        </w:rPr>
        <w:t>-Tort MDLs</w:t>
      </w:r>
      <w:r w:rsidRPr="00C45AB4">
        <w:rPr>
          <w:rFonts w:ascii="Times New Roman" w:hAnsi="Times New Roman" w:cs="Times New Roman"/>
          <w:b/>
          <w:bCs/>
        </w:rPr>
        <w:t xml:space="preserve"> </w:t>
      </w:r>
      <w:r w:rsidR="00C67DCA" w:rsidRPr="00C45AB4">
        <w:rPr>
          <w:rFonts w:ascii="Times New Roman" w:hAnsi="Times New Roman" w:cs="Times New Roman"/>
          <w:b/>
          <w:bCs/>
        </w:rPr>
        <w:t xml:space="preserve">Is </w:t>
      </w:r>
      <w:r w:rsidRPr="00C45AB4">
        <w:rPr>
          <w:rFonts w:ascii="Times New Roman" w:hAnsi="Times New Roman" w:cs="Times New Roman"/>
          <w:b/>
          <w:bCs/>
        </w:rPr>
        <w:t>Taking Longer</w:t>
      </w:r>
    </w:p>
    <w:p w14:paraId="36615FC1" w14:textId="77777777" w:rsidR="00580D72" w:rsidRPr="00824F38" w:rsidRDefault="00580D72" w:rsidP="00580D72">
      <w:pPr>
        <w:pStyle w:val="NoSpacing"/>
        <w:jc w:val="center"/>
        <w:rPr>
          <w:rFonts w:ascii="Times New Roman" w:hAnsi="Times New Roman" w:cs="Times New Roman"/>
        </w:rPr>
      </w:pPr>
    </w:p>
    <w:p w14:paraId="0E122268" w14:textId="3CBC5762" w:rsidR="003E440F" w:rsidRPr="00824F38" w:rsidRDefault="001C7377" w:rsidP="00F04971">
      <w:pPr>
        <w:rPr>
          <w:rFonts w:ascii="Times New Roman" w:hAnsi="Times New Roman" w:cs="Times New Roman"/>
        </w:rPr>
      </w:pPr>
      <w:r w:rsidRPr="00824F38">
        <w:rPr>
          <w:rFonts w:ascii="Times New Roman" w:hAnsi="Times New Roman" w:cs="Times New Roman"/>
        </w:rPr>
        <w:t xml:space="preserve">The </w:t>
      </w:r>
      <w:r w:rsidR="00F04971" w:rsidRPr="00824F38">
        <w:rPr>
          <w:rFonts w:ascii="Times New Roman" w:hAnsi="Times New Roman" w:cs="Times New Roman"/>
        </w:rPr>
        <w:t>C</w:t>
      </w:r>
      <w:r w:rsidRPr="00824F38">
        <w:rPr>
          <w:rFonts w:ascii="Times New Roman" w:hAnsi="Times New Roman" w:cs="Times New Roman"/>
        </w:rPr>
        <w:t>enter updated its</w:t>
      </w:r>
      <w:r w:rsidRPr="00824F38">
        <w:rPr>
          <w:rFonts w:ascii="Times New Roman" w:hAnsi="Times New Roman" w:cs="Times New Roman"/>
        </w:rPr>
        <w:t xml:space="preserve"> Excel spreadsheet containing the number of actions pending in </w:t>
      </w:r>
      <w:r w:rsidR="00E77D40" w:rsidRPr="00824F38">
        <w:rPr>
          <w:rFonts w:ascii="Times New Roman" w:hAnsi="Times New Roman" w:cs="Times New Roman"/>
        </w:rPr>
        <w:t xml:space="preserve">84 MDLs, including </w:t>
      </w:r>
      <w:r w:rsidR="00DE75FC" w:rsidRPr="00824F38">
        <w:rPr>
          <w:rFonts w:ascii="Times New Roman" w:hAnsi="Times New Roman" w:cs="Times New Roman"/>
        </w:rPr>
        <w:t>4</w:t>
      </w:r>
      <w:r w:rsidR="00EC03C7" w:rsidRPr="00824F38">
        <w:rPr>
          <w:rFonts w:ascii="Times New Roman" w:hAnsi="Times New Roman" w:cs="Times New Roman"/>
        </w:rPr>
        <w:t>4</w:t>
      </w:r>
      <w:r w:rsidR="00DE75FC" w:rsidRPr="00824F38">
        <w:rPr>
          <w:rFonts w:ascii="Times New Roman" w:hAnsi="Times New Roman" w:cs="Times New Roman"/>
        </w:rPr>
        <w:t xml:space="preserve"> </w:t>
      </w:r>
      <w:r w:rsidRPr="00824F38">
        <w:rPr>
          <w:rFonts w:ascii="Times New Roman" w:hAnsi="Times New Roman" w:cs="Times New Roman"/>
        </w:rPr>
        <w:t>mass-tort (arbitrarily defined as more than 1,000 actions)</w:t>
      </w:r>
      <w:r w:rsidR="00E77D40" w:rsidRPr="00824F38">
        <w:rPr>
          <w:rFonts w:ascii="Times New Roman" w:hAnsi="Times New Roman" w:cs="Times New Roman"/>
        </w:rPr>
        <w:t>, antitrust, and security</w:t>
      </w:r>
      <w:r w:rsidR="00DE75FC" w:rsidRPr="00824F38">
        <w:rPr>
          <w:rFonts w:ascii="Times New Roman" w:hAnsi="Times New Roman" w:cs="Times New Roman"/>
        </w:rPr>
        <w:t>-</w:t>
      </w:r>
      <w:r w:rsidR="00E77D40" w:rsidRPr="00824F38">
        <w:rPr>
          <w:rFonts w:ascii="Times New Roman" w:hAnsi="Times New Roman" w:cs="Times New Roman"/>
        </w:rPr>
        <w:t>breach</w:t>
      </w:r>
      <w:r w:rsidRPr="00824F38">
        <w:rPr>
          <w:rFonts w:ascii="Times New Roman" w:hAnsi="Times New Roman" w:cs="Times New Roman"/>
        </w:rPr>
        <w:t xml:space="preserve"> </w:t>
      </w:r>
      <w:r w:rsidR="00DE75FC" w:rsidRPr="00824F38">
        <w:rPr>
          <w:rFonts w:ascii="Times New Roman" w:hAnsi="Times New Roman" w:cs="Times New Roman"/>
        </w:rPr>
        <w:t xml:space="preserve">MDLs </w:t>
      </w:r>
      <w:r w:rsidRPr="00824F38">
        <w:rPr>
          <w:rFonts w:ascii="Times New Roman" w:hAnsi="Times New Roman" w:cs="Times New Roman"/>
        </w:rPr>
        <w:t>at</w:t>
      </w:r>
      <w:r w:rsidRPr="00824F38">
        <w:rPr>
          <w:rFonts w:ascii="Times New Roman" w:hAnsi="Times New Roman" w:cs="Times New Roman"/>
        </w:rPr>
        <w:t xml:space="preserve"> the Center’s Research website at </w:t>
      </w:r>
      <w:r w:rsidRPr="00824F38">
        <w:rPr>
          <w:rFonts w:ascii="Times New Roman" w:hAnsi="Times New Roman" w:cs="Times New Roman"/>
          <w:color w:val="0F9ED5" w:themeColor="accent4"/>
        </w:rPr>
        <w:t>https://rabiejcenter.org/research/mass-tort-mdl/</w:t>
      </w:r>
      <w:r w:rsidRPr="00824F38">
        <w:rPr>
          <w:rFonts w:ascii="Times New Roman" w:hAnsi="Times New Roman" w:cs="Times New Roman"/>
        </w:rPr>
        <w:t xml:space="preserve">.  </w:t>
      </w:r>
      <w:r w:rsidR="00F04971" w:rsidRPr="00824F38">
        <w:rPr>
          <w:rFonts w:ascii="Times New Roman" w:hAnsi="Times New Roman" w:cs="Times New Roman"/>
        </w:rPr>
        <w:t>The data</w:t>
      </w:r>
      <w:r w:rsidR="00CF1C59" w:rsidRPr="00824F38">
        <w:rPr>
          <w:rFonts w:ascii="Times New Roman" w:hAnsi="Times New Roman" w:cs="Times New Roman"/>
        </w:rPr>
        <w:t xml:space="preserve"> is</w:t>
      </w:r>
      <w:r w:rsidR="00D46C26" w:rsidRPr="00824F38">
        <w:rPr>
          <w:rFonts w:ascii="Times New Roman" w:hAnsi="Times New Roman" w:cs="Times New Roman"/>
        </w:rPr>
        <w:t xml:space="preserve"> b</w:t>
      </w:r>
      <w:r w:rsidR="003E440F" w:rsidRPr="00824F38">
        <w:rPr>
          <w:rFonts w:ascii="Times New Roman" w:hAnsi="Times New Roman" w:cs="Times New Roman"/>
        </w:rPr>
        <w:t xml:space="preserve">ased on JPML Monthly Statistical Reports, which were collected </w:t>
      </w:r>
      <w:r w:rsidR="00D46C26" w:rsidRPr="00824F38">
        <w:rPr>
          <w:rFonts w:ascii="Times New Roman" w:hAnsi="Times New Roman" w:cs="Times New Roman"/>
        </w:rPr>
        <w:t xml:space="preserve">ending June 30 </w:t>
      </w:r>
      <w:r w:rsidR="003E440F" w:rsidRPr="00824F38">
        <w:rPr>
          <w:rFonts w:ascii="Times New Roman" w:hAnsi="Times New Roman" w:cs="Times New Roman"/>
        </w:rPr>
        <w:t>for the years 2012 through 2025</w:t>
      </w:r>
      <w:r w:rsidR="00D46C26" w:rsidRPr="00824F38">
        <w:rPr>
          <w:rFonts w:ascii="Times New Roman" w:hAnsi="Times New Roman" w:cs="Times New Roman"/>
        </w:rPr>
        <w:t xml:space="preserve">.  </w:t>
      </w:r>
      <w:r w:rsidR="00B747B1" w:rsidRPr="00824F38">
        <w:rPr>
          <w:rFonts w:ascii="Times New Roman" w:hAnsi="Times New Roman" w:cs="Times New Roman"/>
        </w:rPr>
        <w:t>(</w:t>
      </w:r>
      <w:r w:rsidR="008E1126" w:rsidRPr="00824F38">
        <w:rPr>
          <w:rFonts w:ascii="Times New Roman" w:hAnsi="Times New Roman" w:cs="Times New Roman"/>
        </w:rPr>
        <w:t xml:space="preserve">The filings in the </w:t>
      </w:r>
      <w:r w:rsidR="008E1126" w:rsidRPr="00824F38">
        <w:rPr>
          <w:rFonts w:ascii="Times New Roman" w:hAnsi="Times New Roman" w:cs="Times New Roman"/>
          <w:i/>
          <w:iCs/>
        </w:rPr>
        <w:t xml:space="preserve">3M Combat </w:t>
      </w:r>
      <w:proofErr w:type="spellStart"/>
      <w:r w:rsidR="00E11895" w:rsidRPr="00824F38">
        <w:rPr>
          <w:rFonts w:ascii="Times New Roman" w:hAnsi="Times New Roman" w:cs="Times New Roman"/>
          <w:i/>
          <w:iCs/>
        </w:rPr>
        <w:t>Combat</w:t>
      </w:r>
      <w:proofErr w:type="spellEnd"/>
      <w:r w:rsidR="00E11895" w:rsidRPr="00824F38">
        <w:rPr>
          <w:rFonts w:ascii="Times New Roman" w:hAnsi="Times New Roman" w:cs="Times New Roman"/>
          <w:i/>
          <w:iCs/>
        </w:rPr>
        <w:t xml:space="preserve"> </w:t>
      </w:r>
      <w:r w:rsidR="008E1126" w:rsidRPr="00824F38">
        <w:rPr>
          <w:rFonts w:ascii="Times New Roman" w:hAnsi="Times New Roman" w:cs="Times New Roman"/>
          <w:i/>
          <w:iCs/>
        </w:rPr>
        <w:t xml:space="preserve">Earplug </w:t>
      </w:r>
      <w:r w:rsidR="00B747B1" w:rsidRPr="00824F38">
        <w:rPr>
          <w:rFonts w:ascii="Times New Roman" w:hAnsi="Times New Roman" w:cs="Times New Roman"/>
        </w:rPr>
        <w:t>MDL were excluded because the large number skewed the results.)</w:t>
      </w:r>
    </w:p>
    <w:p w14:paraId="044F4C4C" w14:textId="77777777" w:rsidR="00BD7EAB" w:rsidRPr="00745C11" w:rsidRDefault="00BD7EAB" w:rsidP="00BD7EAB">
      <w:pPr>
        <w:rPr>
          <w:rFonts w:ascii="Times New Roman" w:hAnsi="Times New Roman" w:cs="Times New Roman"/>
        </w:rPr>
      </w:pPr>
      <w:r w:rsidRPr="00745C11">
        <w:rPr>
          <w:rFonts w:ascii="Times New Roman" w:hAnsi="Times New Roman" w:cs="Times New Roman"/>
        </w:rPr>
        <w:t>On June 13-14, 2024, the Center</w:t>
      </w:r>
      <w:r w:rsidRPr="00824F38">
        <w:rPr>
          <w:rFonts w:ascii="Times New Roman" w:hAnsi="Times New Roman" w:cs="Times New Roman"/>
        </w:rPr>
        <w:t xml:space="preserve"> held a</w:t>
      </w:r>
      <w:r w:rsidRPr="00745C11">
        <w:rPr>
          <w:rFonts w:ascii="Times New Roman" w:hAnsi="Times New Roman" w:cs="Times New Roman"/>
        </w:rPr>
        <w:t xml:space="preserve"> bench</w:t>
      </w:r>
      <w:r w:rsidRPr="00824F38">
        <w:rPr>
          <w:rFonts w:ascii="Times New Roman" w:hAnsi="Times New Roman" w:cs="Times New Roman"/>
        </w:rPr>
        <w:t>-</w:t>
      </w:r>
      <w:r w:rsidRPr="00745C11">
        <w:rPr>
          <w:rFonts w:ascii="Times New Roman" w:hAnsi="Times New Roman" w:cs="Times New Roman"/>
        </w:rPr>
        <w:t xml:space="preserve">leadership conference at the Cleveland State University College of Law to find ways expediting the disposition of actions languishing in </w:t>
      </w:r>
      <w:r w:rsidRPr="00824F38">
        <w:rPr>
          <w:rFonts w:ascii="Times New Roman" w:hAnsi="Times New Roman" w:cs="Times New Roman"/>
        </w:rPr>
        <w:t xml:space="preserve">personal-injury mass-tort </w:t>
      </w:r>
      <w:r w:rsidRPr="00745C11">
        <w:rPr>
          <w:rFonts w:ascii="Times New Roman" w:hAnsi="Times New Roman" w:cs="Times New Roman"/>
        </w:rPr>
        <w:t>MDLs.</w:t>
      </w:r>
      <w:r w:rsidRPr="00824F38">
        <w:rPr>
          <w:rFonts w:ascii="Times New Roman" w:hAnsi="Times New Roman" w:cs="Times New Roman"/>
        </w:rPr>
        <w:t xml:space="preserve"> The discussions were in advance of n</w:t>
      </w:r>
      <w:r w:rsidRPr="00745C11">
        <w:rPr>
          <w:rFonts w:ascii="Times New Roman" w:hAnsi="Times New Roman" w:cs="Times New Roman"/>
        </w:rPr>
        <w:t>ew Fed. R. Civ. P. 16.1, which takes effect on December 1, 2025</w:t>
      </w:r>
      <w:r w:rsidRPr="00824F38">
        <w:rPr>
          <w:rFonts w:ascii="Times New Roman" w:hAnsi="Times New Roman" w:cs="Times New Roman"/>
        </w:rPr>
        <w:t>, and</w:t>
      </w:r>
      <w:r w:rsidRPr="00745C11">
        <w:rPr>
          <w:rFonts w:ascii="Times New Roman" w:hAnsi="Times New Roman" w:cs="Times New Roman"/>
        </w:rPr>
        <w:t xml:space="preserve"> </w:t>
      </w:r>
      <w:proofErr w:type="gramStart"/>
      <w:r w:rsidRPr="00745C11">
        <w:rPr>
          <w:rFonts w:ascii="Times New Roman" w:hAnsi="Times New Roman" w:cs="Times New Roman"/>
        </w:rPr>
        <w:t>requires</w:t>
      </w:r>
      <w:proofErr w:type="gramEnd"/>
      <w:r w:rsidRPr="00745C11">
        <w:rPr>
          <w:rFonts w:ascii="Times New Roman" w:hAnsi="Times New Roman" w:cs="Times New Roman"/>
        </w:rPr>
        <w:t xml:space="preserve"> parties to address, including to suggest, practices and procedures facilitating the resolution of actions and proceedings in MDLs. </w:t>
      </w:r>
    </w:p>
    <w:p w14:paraId="772D6E41" w14:textId="7B14B0DB" w:rsidR="003E440F" w:rsidRPr="00824F38" w:rsidRDefault="000F7D54" w:rsidP="00C67DCA">
      <w:pPr>
        <w:rPr>
          <w:rFonts w:ascii="Times New Roman" w:hAnsi="Times New Roman" w:cs="Times New Roman"/>
          <w:b/>
          <w:bCs/>
        </w:rPr>
      </w:pPr>
      <w:r w:rsidRPr="00824F38">
        <w:rPr>
          <w:rFonts w:ascii="Times New Roman" w:hAnsi="Times New Roman" w:cs="Times New Roman"/>
        </w:rPr>
        <w:t>The updated data shows</w:t>
      </w:r>
      <w:r w:rsidR="00D751F3" w:rsidRPr="00824F38">
        <w:rPr>
          <w:rFonts w:ascii="Times New Roman" w:hAnsi="Times New Roman" w:cs="Times New Roman"/>
        </w:rPr>
        <w:t xml:space="preserve"> that it is taking </w:t>
      </w:r>
      <w:r w:rsidR="002E4E72" w:rsidRPr="00824F38">
        <w:rPr>
          <w:rFonts w:ascii="Times New Roman" w:hAnsi="Times New Roman" w:cs="Times New Roman"/>
        </w:rPr>
        <w:t>longer</w:t>
      </w:r>
      <w:r w:rsidR="00D751F3" w:rsidRPr="00824F38">
        <w:rPr>
          <w:rFonts w:ascii="Times New Roman" w:hAnsi="Times New Roman" w:cs="Times New Roman"/>
        </w:rPr>
        <w:t xml:space="preserve"> to </w:t>
      </w:r>
      <w:r w:rsidR="009023E5" w:rsidRPr="00824F38">
        <w:rPr>
          <w:rFonts w:ascii="Times New Roman" w:hAnsi="Times New Roman" w:cs="Times New Roman"/>
        </w:rPr>
        <w:t>terminate</w:t>
      </w:r>
      <w:r w:rsidR="00D751F3" w:rsidRPr="00824F38">
        <w:rPr>
          <w:rFonts w:ascii="Times New Roman" w:hAnsi="Times New Roman" w:cs="Times New Roman"/>
        </w:rPr>
        <w:t xml:space="preserve"> </w:t>
      </w:r>
      <w:r w:rsidR="00DB3E5B" w:rsidRPr="00824F38">
        <w:rPr>
          <w:rFonts w:ascii="Times New Roman" w:hAnsi="Times New Roman" w:cs="Times New Roman"/>
        </w:rPr>
        <w:t>the 3</w:t>
      </w:r>
      <w:r w:rsidR="00EC03C7" w:rsidRPr="00824F38">
        <w:rPr>
          <w:rFonts w:ascii="Times New Roman" w:hAnsi="Times New Roman" w:cs="Times New Roman"/>
        </w:rPr>
        <w:t>0</w:t>
      </w:r>
      <w:r w:rsidR="00DB3E5B" w:rsidRPr="00824F38">
        <w:rPr>
          <w:rFonts w:ascii="Times New Roman" w:hAnsi="Times New Roman" w:cs="Times New Roman"/>
        </w:rPr>
        <w:t xml:space="preserve"> </w:t>
      </w:r>
      <w:r w:rsidR="009023E5" w:rsidRPr="00824F38">
        <w:rPr>
          <w:rFonts w:ascii="Times New Roman" w:hAnsi="Times New Roman" w:cs="Times New Roman"/>
        </w:rPr>
        <w:t>mass-tort MDLs, which are five or more years old.</w:t>
      </w:r>
      <w:r w:rsidRPr="00824F38">
        <w:rPr>
          <w:rFonts w:ascii="Times New Roman" w:hAnsi="Times New Roman" w:cs="Times New Roman"/>
        </w:rPr>
        <w:t xml:space="preserve"> </w:t>
      </w:r>
    </w:p>
    <w:p w14:paraId="13A6ED0D" w14:textId="32817B26" w:rsidR="001C2B9C" w:rsidRPr="00824F38" w:rsidRDefault="001C2B9C" w:rsidP="001C2B9C">
      <w:pPr>
        <w:pStyle w:val="NoSpacing"/>
        <w:rPr>
          <w:rFonts w:ascii="Times New Roman" w:hAnsi="Times New Roman" w:cs="Times New Roman"/>
        </w:rPr>
      </w:pPr>
      <w:r w:rsidRPr="00824F38">
        <w:rPr>
          <w:rFonts w:ascii="Times New Roman" w:hAnsi="Times New Roman" w:cs="Times New Roman"/>
        </w:rPr>
        <w:t xml:space="preserve">Table 1 </w:t>
      </w:r>
      <w:r w:rsidR="00E11895" w:rsidRPr="00824F38">
        <w:rPr>
          <w:rFonts w:ascii="Times New Roman" w:hAnsi="Times New Roman" w:cs="Times New Roman"/>
        </w:rPr>
        <w:t>compares the per</w:t>
      </w:r>
      <w:r w:rsidR="00962160" w:rsidRPr="00824F38">
        <w:rPr>
          <w:rFonts w:ascii="Times New Roman" w:hAnsi="Times New Roman" w:cs="Times New Roman"/>
        </w:rPr>
        <w:t>ce</w:t>
      </w:r>
      <w:r w:rsidR="00E11895" w:rsidRPr="00824F38">
        <w:rPr>
          <w:rFonts w:ascii="Times New Roman" w:hAnsi="Times New Roman" w:cs="Times New Roman"/>
        </w:rPr>
        <w:t xml:space="preserve">ntage </w:t>
      </w:r>
      <w:r w:rsidR="00962160" w:rsidRPr="00824F38">
        <w:rPr>
          <w:rFonts w:ascii="Times New Roman" w:hAnsi="Times New Roman" w:cs="Times New Roman"/>
        </w:rPr>
        <w:t>of open active actions pending in mass-tort MDLs in 2025 with 2022</w:t>
      </w:r>
      <w:r w:rsidR="00143D41" w:rsidRPr="00824F38">
        <w:rPr>
          <w:rFonts w:ascii="Times New Roman" w:hAnsi="Times New Roman" w:cs="Times New Roman"/>
        </w:rPr>
        <w:t>. In the intervening three years,</w:t>
      </w:r>
      <w:r w:rsidR="008064DF" w:rsidRPr="00824F38">
        <w:rPr>
          <w:rFonts w:ascii="Times New Roman" w:hAnsi="Times New Roman" w:cs="Times New Roman"/>
        </w:rPr>
        <w:t xml:space="preserve"> </w:t>
      </w:r>
      <w:r w:rsidR="00BC27CD" w:rsidRPr="00824F38">
        <w:rPr>
          <w:rFonts w:ascii="Times New Roman" w:hAnsi="Times New Roman" w:cs="Times New Roman"/>
        </w:rPr>
        <w:t>the data</w:t>
      </w:r>
      <w:r w:rsidR="00857D4E" w:rsidRPr="00824F38">
        <w:rPr>
          <w:rFonts w:ascii="Times New Roman" w:hAnsi="Times New Roman" w:cs="Times New Roman"/>
        </w:rPr>
        <w:t xml:space="preserve"> </w:t>
      </w:r>
      <w:r w:rsidR="00BC27CD" w:rsidRPr="00824F38">
        <w:rPr>
          <w:rFonts w:ascii="Times New Roman" w:hAnsi="Times New Roman" w:cs="Times New Roman"/>
        </w:rPr>
        <w:t xml:space="preserve">shows that the termination of </w:t>
      </w:r>
      <w:proofErr w:type="gramStart"/>
      <w:r w:rsidR="00857D4E" w:rsidRPr="00824F38">
        <w:rPr>
          <w:rFonts w:ascii="Times New Roman" w:hAnsi="Times New Roman" w:cs="Times New Roman"/>
        </w:rPr>
        <w:t>a majority of</w:t>
      </w:r>
      <w:proofErr w:type="gramEnd"/>
      <w:r w:rsidR="00857D4E" w:rsidRPr="00824F38">
        <w:rPr>
          <w:rFonts w:ascii="Times New Roman" w:hAnsi="Times New Roman" w:cs="Times New Roman"/>
        </w:rPr>
        <w:t xml:space="preserve"> </w:t>
      </w:r>
      <w:r w:rsidR="00BC27CD" w:rsidRPr="00824F38">
        <w:rPr>
          <w:rFonts w:ascii="Times New Roman" w:hAnsi="Times New Roman" w:cs="Times New Roman"/>
        </w:rPr>
        <w:t>acti</w:t>
      </w:r>
      <w:r w:rsidR="00857D4E" w:rsidRPr="00824F38">
        <w:rPr>
          <w:rFonts w:ascii="Times New Roman" w:hAnsi="Times New Roman" w:cs="Times New Roman"/>
        </w:rPr>
        <w:t>o</w:t>
      </w:r>
      <w:r w:rsidR="00BC27CD" w:rsidRPr="00824F38">
        <w:rPr>
          <w:rFonts w:ascii="Times New Roman" w:hAnsi="Times New Roman" w:cs="Times New Roman"/>
        </w:rPr>
        <w:t>ns</w:t>
      </w:r>
      <w:r w:rsidR="00857D4E" w:rsidRPr="00824F38">
        <w:rPr>
          <w:rFonts w:ascii="Times New Roman" w:hAnsi="Times New Roman" w:cs="Times New Roman"/>
        </w:rPr>
        <w:t xml:space="preserve"> in mass-tort MDLs did not </w:t>
      </w:r>
      <w:r w:rsidR="00CF4ED5" w:rsidRPr="00824F38">
        <w:rPr>
          <w:rFonts w:ascii="Times New Roman" w:hAnsi="Times New Roman" w:cs="Times New Roman"/>
        </w:rPr>
        <w:t xml:space="preserve">occur until years </w:t>
      </w:r>
      <w:r w:rsidR="00A4393A" w:rsidRPr="00824F38">
        <w:rPr>
          <w:rFonts w:ascii="Times New Roman" w:hAnsi="Times New Roman" w:cs="Times New Roman"/>
        </w:rPr>
        <w:t>8</w:t>
      </w:r>
      <w:r w:rsidR="00CF4ED5" w:rsidRPr="00824F38">
        <w:rPr>
          <w:rFonts w:ascii="Times New Roman" w:hAnsi="Times New Roman" w:cs="Times New Roman"/>
        </w:rPr>
        <w:t xml:space="preserve"> and </w:t>
      </w:r>
      <w:r w:rsidR="00A4393A" w:rsidRPr="00824F38">
        <w:rPr>
          <w:rFonts w:ascii="Times New Roman" w:hAnsi="Times New Roman" w:cs="Times New Roman"/>
        </w:rPr>
        <w:t>9</w:t>
      </w:r>
      <w:r w:rsidR="00CF4ED5" w:rsidRPr="00824F38">
        <w:rPr>
          <w:rFonts w:ascii="Times New Roman" w:hAnsi="Times New Roman" w:cs="Times New Roman"/>
        </w:rPr>
        <w:t xml:space="preserve"> in 2025 compared with years 5 and 6 in 2022. </w:t>
      </w:r>
      <w:r w:rsidR="00004036" w:rsidRPr="00824F38">
        <w:rPr>
          <w:rFonts w:ascii="Times New Roman" w:hAnsi="Times New Roman" w:cs="Times New Roman"/>
        </w:rPr>
        <w:t xml:space="preserve"> Table 2 contains the number of actions pending </w:t>
      </w:r>
      <w:r w:rsidR="002862AC" w:rsidRPr="00824F38">
        <w:rPr>
          <w:rFonts w:ascii="Times New Roman" w:hAnsi="Times New Roman" w:cs="Times New Roman"/>
        </w:rPr>
        <w:t xml:space="preserve">as well as the number </w:t>
      </w:r>
      <w:r w:rsidR="002B0B8D" w:rsidRPr="00824F38">
        <w:rPr>
          <w:rFonts w:ascii="Times New Roman" w:hAnsi="Times New Roman" w:cs="Times New Roman"/>
        </w:rPr>
        <w:t>of</w:t>
      </w:r>
      <w:r w:rsidR="00004036" w:rsidRPr="00824F38">
        <w:rPr>
          <w:rFonts w:ascii="Times New Roman" w:hAnsi="Times New Roman" w:cs="Times New Roman"/>
        </w:rPr>
        <w:t xml:space="preserve"> </w:t>
      </w:r>
      <w:r w:rsidR="002B0B8D" w:rsidRPr="00824F38">
        <w:rPr>
          <w:rFonts w:ascii="Times New Roman" w:hAnsi="Times New Roman" w:cs="Times New Roman"/>
        </w:rPr>
        <w:t xml:space="preserve">these </w:t>
      </w:r>
      <w:r w:rsidR="00004036" w:rsidRPr="00824F38">
        <w:rPr>
          <w:rFonts w:ascii="Times New Roman" w:hAnsi="Times New Roman" w:cs="Times New Roman"/>
        </w:rPr>
        <w:t>mass-tort MDLs</w:t>
      </w:r>
      <w:r w:rsidR="0016739D" w:rsidRPr="00824F38">
        <w:rPr>
          <w:rFonts w:ascii="Times New Roman" w:hAnsi="Times New Roman" w:cs="Times New Roman"/>
        </w:rPr>
        <w:t>.</w:t>
      </w:r>
      <w:r w:rsidR="00004036" w:rsidRPr="00824F38">
        <w:rPr>
          <w:rFonts w:ascii="Times New Roman" w:hAnsi="Times New Roman" w:cs="Times New Roman"/>
        </w:rPr>
        <w:t xml:space="preserve"> </w:t>
      </w:r>
    </w:p>
    <w:p w14:paraId="01BDD26B" w14:textId="77777777" w:rsidR="00E11895" w:rsidRPr="00824F38" w:rsidRDefault="00E11895" w:rsidP="001C2B9C">
      <w:pPr>
        <w:pStyle w:val="NoSpacing"/>
        <w:rPr>
          <w:rFonts w:ascii="Times New Roman" w:hAnsi="Times New Roman" w:cs="Times New Roman"/>
        </w:rPr>
      </w:pPr>
    </w:p>
    <w:p w14:paraId="65D4750B" w14:textId="77777777" w:rsidR="00E11895" w:rsidRPr="00824F38" w:rsidRDefault="00E11895" w:rsidP="001C2B9C">
      <w:pPr>
        <w:pStyle w:val="NoSpacing"/>
        <w:rPr>
          <w:rFonts w:ascii="Times New Roman" w:hAnsi="Times New Roman" w:cs="Times New Roman"/>
        </w:rPr>
      </w:pPr>
    </w:p>
    <w:p w14:paraId="17ACF33F" w14:textId="68BEB4DD" w:rsidR="007347FA" w:rsidRPr="00824F38" w:rsidRDefault="007347FA" w:rsidP="007347F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24F38">
        <w:rPr>
          <w:rFonts w:ascii="Times New Roman" w:hAnsi="Times New Roman" w:cs="Times New Roman"/>
          <w:b/>
          <w:bCs/>
        </w:rPr>
        <w:t xml:space="preserve">TABLE </w:t>
      </w:r>
      <w:r w:rsidR="00CD3A13" w:rsidRPr="00824F38">
        <w:rPr>
          <w:rFonts w:ascii="Times New Roman" w:hAnsi="Times New Roman" w:cs="Times New Roman"/>
          <w:b/>
          <w:bCs/>
        </w:rPr>
        <w:t>1</w:t>
      </w:r>
      <w:r w:rsidRPr="00824F38">
        <w:rPr>
          <w:rFonts w:ascii="Times New Roman" w:hAnsi="Times New Roman" w:cs="Times New Roman"/>
          <w:b/>
          <w:bCs/>
        </w:rPr>
        <w:t xml:space="preserve">: </w:t>
      </w:r>
      <w:r w:rsidRPr="00824F38">
        <w:rPr>
          <w:rFonts w:ascii="Times New Roman" w:hAnsi="Times New Roman" w:cs="Times New Roman"/>
          <w:b/>
          <w:bCs/>
          <w:u w:val="single"/>
        </w:rPr>
        <w:t xml:space="preserve">Percentage of </w:t>
      </w:r>
      <w:r w:rsidR="00CD3A13" w:rsidRPr="00824F38">
        <w:rPr>
          <w:rFonts w:ascii="Times New Roman" w:hAnsi="Times New Roman" w:cs="Times New Roman"/>
          <w:b/>
          <w:bCs/>
          <w:u w:val="single"/>
        </w:rPr>
        <w:t xml:space="preserve">Open </w:t>
      </w:r>
      <w:r w:rsidRPr="00824F38">
        <w:rPr>
          <w:rFonts w:ascii="Times New Roman" w:hAnsi="Times New Roman" w:cs="Times New Roman"/>
          <w:b/>
          <w:bCs/>
          <w:u w:val="single"/>
        </w:rPr>
        <w:t xml:space="preserve">Actions Pending in </w:t>
      </w:r>
      <w:r w:rsidR="00CD3A13" w:rsidRPr="00824F38">
        <w:rPr>
          <w:rFonts w:ascii="Times New Roman" w:hAnsi="Times New Roman" w:cs="Times New Roman"/>
          <w:b/>
          <w:bCs/>
          <w:u w:val="single"/>
        </w:rPr>
        <w:t>Mass-Tort</w:t>
      </w:r>
      <w:r w:rsidRPr="00824F38">
        <w:rPr>
          <w:rFonts w:ascii="Times New Roman" w:hAnsi="Times New Roman" w:cs="Times New Roman"/>
          <w:b/>
          <w:bCs/>
          <w:u w:val="single"/>
        </w:rPr>
        <w:t xml:space="preserve"> MDLs</w:t>
      </w:r>
    </w:p>
    <w:p w14:paraId="60FC8583" w14:textId="77777777" w:rsidR="007347FA" w:rsidRPr="00824F38" w:rsidRDefault="007347FA" w:rsidP="007347F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823"/>
        <w:gridCol w:w="732"/>
        <w:gridCol w:w="732"/>
        <w:gridCol w:w="733"/>
        <w:gridCol w:w="733"/>
        <w:gridCol w:w="733"/>
        <w:gridCol w:w="733"/>
        <w:gridCol w:w="733"/>
        <w:gridCol w:w="733"/>
        <w:gridCol w:w="656"/>
        <w:gridCol w:w="755"/>
        <w:gridCol w:w="729"/>
        <w:gridCol w:w="710"/>
      </w:tblGrid>
      <w:tr w:rsidR="007347FA" w:rsidRPr="00824F38" w14:paraId="6F62538A" w14:textId="77777777" w:rsidTr="007347FA">
        <w:tc>
          <w:tcPr>
            <w:tcW w:w="823" w:type="dxa"/>
          </w:tcPr>
          <w:p w14:paraId="529AD352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732" w:type="dxa"/>
          </w:tcPr>
          <w:p w14:paraId="18A9DDBD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14:paraId="47AC532F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</w:tcPr>
          <w:p w14:paraId="38FFFC67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3" w:type="dxa"/>
          </w:tcPr>
          <w:p w14:paraId="4F82DC73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3" w:type="dxa"/>
          </w:tcPr>
          <w:p w14:paraId="6A500A3B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3" w:type="dxa"/>
          </w:tcPr>
          <w:p w14:paraId="1BA56D33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3" w:type="dxa"/>
          </w:tcPr>
          <w:p w14:paraId="345B095B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3" w:type="dxa"/>
          </w:tcPr>
          <w:p w14:paraId="2382BB02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6" w:type="dxa"/>
          </w:tcPr>
          <w:p w14:paraId="694CF21F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5" w:type="dxa"/>
          </w:tcPr>
          <w:p w14:paraId="47F18A85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9" w:type="dxa"/>
          </w:tcPr>
          <w:p w14:paraId="185BE271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</w:tcPr>
          <w:p w14:paraId="180ABF87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12</w:t>
            </w:r>
          </w:p>
        </w:tc>
      </w:tr>
      <w:tr w:rsidR="007347FA" w:rsidRPr="00824F38" w14:paraId="4EB85D32" w14:textId="77777777" w:rsidTr="007347FA">
        <w:tc>
          <w:tcPr>
            <w:tcW w:w="823" w:type="dxa"/>
          </w:tcPr>
          <w:p w14:paraId="2A2BC980" w14:textId="6539B6DC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2" w:type="dxa"/>
          </w:tcPr>
          <w:p w14:paraId="6CDDEA6C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732" w:type="dxa"/>
          </w:tcPr>
          <w:p w14:paraId="1877108C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733" w:type="dxa"/>
          </w:tcPr>
          <w:p w14:paraId="2AC28023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733" w:type="dxa"/>
          </w:tcPr>
          <w:p w14:paraId="02BA77D0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733" w:type="dxa"/>
          </w:tcPr>
          <w:p w14:paraId="469329C6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733" w:type="dxa"/>
          </w:tcPr>
          <w:p w14:paraId="16B66827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733" w:type="dxa"/>
          </w:tcPr>
          <w:p w14:paraId="6EC654C4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733" w:type="dxa"/>
          </w:tcPr>
          <w:p w14:paraId="49AED0AC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656" w:type="dxa"/>
          </w:tcPr>
          <w:p w14:paraId="52883EDC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55" w:type="dxa"/>
          </w:tcPr>
          <w:p w14:paraId="4FE058BC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729" w:type="dxa"/>
          </w:tcPr>
          <w:p w14:paraId="6CB903D4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710" w:type="dxa"/>
          </w:tcPr>
          <w:p w14:paraId="10D4CC90" w14:textId="77777777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 xml:space="preserve">   --</w:t>
            </w:r>
          </w:p>
        </w:tc>
      </w:tr>
      <w:tr w:rsidR="007347FA" w:rsidRPr="00824F38" w14:paraId="5C133D57" w14:textId="77777777" w:rsidTr="007347FA">
        <w:tc>
          <w:tcPr>
            <w:tcW w:w="823" w:type="dxa"/>
          </w:tcPr>
          <w:p w14:paraId="407A5CC8" w14:textId="13D9CBBF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32" w:type="dxa"/>
          </w:tcPr>
          <w:p w14:paraId="31464DEF" w14:textId="1C05B433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732" w:type="dxa"/>
          </w:tcPr>
          <w:p w14:paraId="7128852A" w14:textId="0FF9D89D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733" w:type="dxa"/>
          </w:tcPr>
          <w:p w14:paraId="3A899711" w14:textId="16A9DEBD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733" w:type="dxa"/>
          </w:tcPr>
          <w:p w14:paraId="4B7535ED" w14:textId="0026E532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733" w:type="dxa"/>
          </w:tcPr>
          <w:p w14:paraId="6AA29B43" w14:textId="45656908" w:rsidR="007347FA" w:rsidRPr="00824F38" w:rsidRDefault="007347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733" w:type="dxa"/>
          </w:tcPr>
          <w:p w14:paraId="7B2B5531" w14:textId="13BCF799" w:rsidR="007347FA" w:rsidRPr="00824F38" w:rsidRDefault="00CD3A13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733" w:type="dxa"/>
          </w:tcPr>
          <w:p w14:paraId="487042AB" w14:textId="57D76F5A" w:rsidR="007347FA" w:rsidRPr="00824F38" w:rsidRDefault="008F24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5</w:t>
            </w:r>
            <w:r w:rsidR="00CD3A13" w:rsidRPr="00824F38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733" w:type="dxa"/>
          </w:tcPr>
          <w:p w14:paraId="15BA7C5B" w14:textId="33339712" w:rsidR="007347FA" w:rsidRPr="00824F38" w:rsidRDefault="00CD3A13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5</w:t>
            </w:r>
            <w:r w:rsidR="008F24FA" w:rsidRPr="00824F38">
              <w:rPr>
                <w:rFonts w:ascii="Times New Roman" w:hAnsi="Times New Roman" w:cs="Times New Roman"/>
              </w:rPr>
              <w:t>1</w:t>
            </w:r>
            <w:r w:rsidRPr="00824F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56" w:type="dxa"/>
          </w:tcPr>
          <w:p w14:paraId="2E41678E" w14:textId="51B3BAB5" w:rsidR="007347FA" w:rsidRPr="00824F38" w:rsidRDefault="008F24FA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13</w:t>
            </w:r>
            <w:r w:rsidR="00CD3A13" w:rsidRPr="00824F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55" w:type="dxa"/>
          </w:tcPr>
          <w:p w14:paraId="1E2E8AC7" w14:textId="6E3F5F61" w:rsidR="007347FA" w:rsidRPr="00824F38" w:rsidRDefault="00B30C16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9</w:t>
            </w:r>
            <w:r w:rsidR="00CD3A13" w:rsidRPr="00824F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9" w:type="dxa"/>
          </w:tcPr>
          <w:p w14:paraId="7A8EC61D" w14:textId="4E123ED5" w:rsidR="007347FA" w:rsidRPr="00824F38" w:rsidRDefault="00CD3A13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10" w:type="dxa"/>
          </w:tcPr>
          <w:p w14:paraId="52532DDC" w14:textId="446D3BF8" w:rsidR="007347FA" w:rsidRPr="00824F38" w:rsidRDefault="00B30C16" w:rsidP="00E770C3">
            <w:pPr>
              <w:rPr>
                <w:rFonts w:ascii="Times New Roman" w:hAnsi="Times New Roman" w:cs="Times New Roman"/>
              </w:rPr>
            </w:pPr>
            <w:r w:rsidRPr="00824F38">
              <w:rPr>
                <w:rFonts w:ascii="Times New Roman" w:hAnsi="Times New Roman" w:cs="Times New Roman"/>
              </w:rPr>
              <w:t>5</w:t>
            </w:r>
            <w:r w:rsidR="00CD3A13" w:rsidRPr="00824F38">
              <w:rPr>
                <w:rFonts w:ascii="Times New Roman" w:hAnsi="Times New Roman" w:cs="Times New Roman"/>
              </w:rPr>
              <w:t>%</w:t>
            </w:r>
          </w:p>
        </w:tc>
      </w:tr>
    </w:tbl>
    <w:p w14:paraId="0A37527B" w14:textId="77777777" w:rsidR="00C624D6" w:rsidRPr="00824F38" w:rsidRDefault="00C624D6">
      <w:pPr>
        <w:rPr>
          <w:rFonts w:ascii="Times New Roman" w:hAnsi="Times New Roman" w:cs="Times New Roman"/>
        </w:rPr>
      </w:pPr>
    </w:p>
    <w:p w14:paraId="2AF8F60F" w14:textId="3EA09700" w:rsidR="00DE6D12" w:rsidRPr="00824F38" w:rsidRDefault="00CD3A13" w:rsidP="003E440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24F38">
        <w:rPr>
          <w:rFonts w:ascii="Times New Roman" w:hAnsi="Times New Roman" w:cs="Times New Roman"/>
          <w:b/>
          <w:bCs/>
        </w:rPr>
        <w:t xml:space="preserve">TABLE 2: </w:t>
      </w:r>
      <w:r w:rsidR="00DE6D12" w:rsidRPr="00824F38">
        <w:rPr>
          <w:rFonts w:ascii="Times New Roman" w:hAnsi="Times New Roman" w:cs="Times New Roman"/>
          <w:b/>
          <w:bCs/>
          <w:u w:val="single"/>
        </w:rPr>
        <w:t>Open Actions and Number of Mass-Tort MDLs</w:t>
      </w:r>
    </w:p>
    <w:p w14:paraId="423BC53C" w14:textId="77777777" w:rsidR="00DE6D12" w:rsidRPr="00824F38" w:rsidRDefault="00DE6D12">
      <w:pPr>
        <w:rPr>
          <w:rFonts w:ascii="Times New Roman" w:hAnsi="Times New Roman" w:cs="Times New Roman"/>
          <w:b/>
          <w:bCs/>
          <w:u w:val="single"/>
        </w:rPr>
      </w:pPr>
    </w:p>
    <w:p w14:paraId="473BE841" w14:textId="222EAF47" w:rsidR="00DE6D12" w:rsidRPr="00824F38" w:rsidRDefault="003E440F">
      <w:pPr>
        <w:rPr>
          <w:rFonts w:ascii="Times New Roman" w:hAnsi="Times New Roman" w:cs="Times New Roman"/>
        </w:rPr>
      </w:pPr>
      <w:r w:rsidRPr="00824F38">
        <w:rPr>
          <w:rFonts w:ascii="Times New Roman" w:hAnsi="Times New Roman" w:cs="Times New Roman"/>
          <w:b/>
          <w:bCs/>
        </w:rPr>
        <w:t>Years</w:t>
      </w:r>
      <w:r w:rsidRPr="00824F38">
        <w:rPr>
          <w:rFonts w:ascii="Times New Roman" w:hAnsi="Times New Roman" w:cs="Times New Roman"/>
          <w:b/>
          <w:bCs/>
        </w:rPr>
        <w:tab/>
      </w:r>
      <w:r w:rsidRPr="00824F38">
        <w:rPr>
          <w:rFonts w:ascii="Times New Roman" w:hAnsi="Times New Roman" w:cs="Times New Roman"/>
          <w:b/>
          <w:bCs/>
        </w:rPr>
        <w:tab/>
        <w:t xml:space="preserve">            No. of MDLs</w:t>
      </w:r>
      <w:r w:rsidRPr="00824F38">
        <w:rPr>
          <w:rFonts w:ascii="Times New Roman" w:hAnsi="Times New Roman" w:cs="Times New Roman"/>
          <w:b/>
          <w:bCs/>
        </w:rPr>
        <w:tab/>
      </w:r>
      <w:r w:rsidRPr="00824F38">
        <w:rPr>
          <w:rFonts w:ascii="Times New Roman" w:hAnsi="Times New Roman" w:cs="Times New Roman"/>
          <w:b/>
          <w:bCs/>
        </w:rPr>
        <w:tab/>
        <w:t xml:space="preserve">          Open Actions          Percentage of Total  </w:t>
      </w:r>
      <w:r w:rsidRPr="00824F38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2410"/>
        <w:gridCol w:w="2201"/>
        <w:gridCol w:w="2337"/>
      </w:tblGrid>
      <w:tr w:rsidR="003E440F" w:rsidRPr="00824F38" w14:paraId="78821BCE" w14:textId="77777777" w:rsidTr="003E440F">
        <w:tc>
          <w:tcPr>
            <w:tcW w:w="2402" w:type="dxa"/>
          </w:tcPr>
          <w:p w14:paraId="252FBA7D" w14:textId="31071218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5 Years</w:t>
            </w:r>
          </w:p>
        </w:tc>
        <w:tc>
          <w:tcPr>
            <w:tcW w:w="2410" w:type="dxa"/>
          </w:tcPr>
          <w:p w14:paraId="3312235B" w14:textId="5EBA4F7A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3</w:t>
            </w:r>
            <w:r w:rsidR="00505D2B" w:rsidRPr="009E7A6D">
              <w:rPr>
                <w:rFonts w:ascii="Times New Roman" w:hAnsi="Times New Roman" w:cs="Times New Roman"/>
              </w:rPr>
              <w:t xml:space="preserve">0 </w:t>
            </w:r>
            <w:r w:rsidRPr="009E7A6D">
              <w:rPr>
                <w:rFonts w:ascii="Times New Roman" w:hAnsi="Times New Roman" w:cs="Times New Roman"/>
              </w:rPr>
              <w:t>MDLs</w:t>
            </w:r>
          </w:p>
        </w:tc>
        <w:tc>
          <w:tcPr>
            <w:tcW w:w="2201" w:type="dxa"/>
          </w:tcPr>
          <w:p w14:paraId="07C310F1" w14:textId="43B72F64" w:rsidR="003E440F" w:rsidRPr="009E7A6D" w:rsidRDefault="00A54019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156,423</w:t>
            </w:r>
          </w:p>
        </w:tc>
        <w:tc>
          <w:tcPr>
            <w:tcW w:w="2337" w:type="dxa"/>
          </w:tcPr>
          <w:p w14:paraId="59E31AA5" w14:textId="45E54701" w:rsidR="003E440F" w:rsidRPr="009E7A6D" w:rsidRDefault="002E543A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81</w:t>
            </w:r>
            <w:r w:rsidR="003E440F" w:rsidRPr="009E7A6D">
              <w:rPr>
                <w:rFonts w:ascii="Times New Roman" w:hAnsi="Times New Roman" w:cs="Times New Roman"/>
              </w:rPr>
              <w:t>%</w:t>
            </w:r>
          </w:p>
        </w:tc>
      </w:tr>
      <w:tr w:rsidR="003E440F" w:rsidRPr="00824F38" w14:paraId="4C85D577" w14:textId="77777777" w:rsidTr="003E440F">
        <w:tc>
          <w:tcPr>
            <w:tcW w:w="2402" w:type="dxa"/>
          </w:tcPr>
          <w:p w14:paraId="3271B54F" w14:textId="4056158E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6 Years</w:t>
            </w:r>
          </w:p>
        </w:tc>
        <w:tc>
          <w:tcPr>
            <w:tcW w:w="2410" w:type="dxa"/>
          </w:tcPr>
          <w:p w14:paraId="4F455AC2" w14:textId="74C75452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2</w:t>
            </w:r>
            <w:r w:rsidR="00505D2B" w:rsidRPr="009E7A6D">
              <w:rPr>
                <w:rFonts w:ascii="Times New Roman" w:hAnsi="Times New Roman" w:cs="Times New Roman"/>
              </w:rPr>
              <w:t>7</w:t>
            </w:r>
            <w:r w:rsidRPr="009E7A6D">
              <w:rPr>
                <w:rFonts w:ascii="Times New Roman" w:hAnsi="Times New Roman" w:cs="Times New Roman"/>
              </w:rPr>
              <w:t xml:space="preserve"> MDLs</w:t>
            </w:r>
          </w:p>
        </w:tc>
        <w:tc>
          <w:tcPr>
            <w:tcW w:w="2201" w:type="dxa"/>
          </w:tcPr>
          <w:p w14:paraId="48315F69" w14:textId="797852A8" w:rsidR="003E440F" w:rsidRPr="009E7A6D" w:rsidRDefault="006D0814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152,294</w:t>
            </w:r>
          </w:p>
        </w:tc>
        <w:tc>
          <w:tcPr>
            <w:tcW w:w="2337" w:type="dxa"/>
          </w:tcPr>
          <w:p w14:paraId="32B7B41F" w14:textId="43BD9A80" w:rsidR="003E440F" w:rsidRPr="009E7A6D" w:rsidRDefault="00C21401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79</w:t>
            </w:r>
            <w:r w:rsidR="003E440F" w:rsidRPr="009E7A6D">
              <w:rPr>
                <w:rFonts w:ascii="Times New Roman" w:hAnsi="Times New Roman" w:cs="Times New Roman"/>
              </w:rPr>
              <w:t>%</w:t>
            </w:r>
          </w:p>
        </w:tc>
      </w:tr>
      <w:tr w:rsidR="003E440F" w:rsidRPr="00824F38" w14:paraId="21E90FC5" w14:textId="77777777" w:rsidTr="003E440F">
        <w:tc>
          <w:tcPr>
            <w:tcW w:w="2402" w:type="dxa"/>
          </w:tcPr>
          <w:p w14:paraId="455B05A8" w14:textId="1DDA5CAB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7 Years</w:t>
            </w:r>
          </w:p>
        </w:tc>
        <w:tc>
          <w:tcPr>
            <w:tcW w:w="2410" w:type="dxa"/>
          </w:tcPr>
          <w:p w14:paraId="4FF4C630" w14:textId="538572DD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2</w:t>
            </w:r>
            <w:r w:rsidR="00505D2B" w:rsidRPr="009E7A6D">
              <w:rPr>
                <w:rFonts w:ascii="Times New Roman" w:hAnsi="Times New Roman" w:cs="Times New Roman"/>
              </w:rPr>
              <w:t>4</w:t>
            </w:r>
            <w:r w:rsidRPr="009E7A6D">
              <w:rPr>
                <w:rFonts w:ascii="Times New Roman" w:hAnsi="Times New Roman" w:cs="Times New Roman"/>
              </w:rPr>
              <w:t xml:space="preserve"> MDLs</w:t>
            </w:r>
          </w:p>
        </w:tc>
        <w:tc>
          <w:tcPr>
            <w:tcW w:w="2201" w:type="dxa"/>
          </w:tcPr>
          <w:p w14:paraId="34FB3455" w14:textId="0C383BA0" w:rsidR="003E440F" w:rsidRPr="009E7A6D" w:rsidRDefault="006D0814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114,854</w:t>
            </w:r>
          </w:p>
        </w:tc>
        <w:tc>
          <w:tcPr>
            <w:tcW w:w="2337" w:type="dxa"/>
          </w:tcPr>
          <w:p w14:paraId="7C63F633" w14:textId="7E29053C" w:rsidR="003E440F" w:rsidRPr="009E7A6D" w:rsidRDefault="0024290E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59</w:t>
            </w:r>
            <w:r w:rsidR="003E440F" w:rsidRPr="009E7A6D">
              <w:rPr>
                <w:rFonts w:ascii="Times New Roman" w:hAnsi="Times New Roman" w:cs="Times New Roman"/>
              </w:rPr>
              <w:t>%</w:t>
            </w:r>
          </w:p>
        </w:tc>
      </w:tr>
      <w:tr w:rsidR="003E440F" w:rsidRPr="00824F38" w14:paraId="512778C6" w14:textId="77777777" w:rsidTr="003E440F">
        <w:tc>
          <w:tcPr>
            <w:tcW w:w="2402" w:type="dxa"/>
          </w:tcPr>
          <w:p w14:paraId="050EBB2E" w14:textId="207E7AD0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8 Years</w:t>
            </w:r>
          </w:p>
        </w:tc>
        <w:tc>
          <w:tcPr>
            <w:tcW w:w="2410" w:type="dxa"/>
          </w:tcPr>
          <w:p w14:paraId="212F998C" w14:textId="788C4CCA" w:rsidR="003E440F" w:rsidRPr="009E7A6D" w:rsidRDefault="00505D2B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19</w:t>
            </w:r>
            <w:r w:rsidR="003E440F" w:rsidRPr="009E7A6D">
              <w:rPr>
                <w:rFonts w:ascii="Times New Roman" w:hAnsi="Times New Roman" w:cs="Times New Roman"/>
              </w:rPr>
              <w:t xml:space="preserve"> MDLs</w:t>
            </w:r>
          </w:p>
        </w:tc>
        <w:tc>
          <w:tcPr>
            <w:tcW w:w="2201" w:type="dxa"/>
          </w:tcPr>
          <w:p w14:paraId="19BF5D5F" w14:textId="2E073958" w:rsidR="003E440F" w:rsidRPr="009E7A6D" w:rsidRDefault="006D0814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100,097</w:t>
            </w:r>
          </w:p>
        </w:tc>
        <w:tc>
          <w:tcPr>
            <w:tcW w:w="2337" w:type="dxa"/>
          </w:tcPr>
          <w:p w14:paraId="3A224E6D" w14:textId="711F2428" w:rsidR="003E440F" w:rsidRPr="009E7A6D" w:rsidRDefault="00D539C2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51</w:t>
            </w:r>
            <w:r w:rsidR="003E440F" w:rsidRPr="009E7A6D">
              <w:rPr>
                <w:rFonts w:ascii="Times New Roman" w:hAnsi="Times New Roman" w:cs="Times New Roman"/>
              </w:rPr>
              <w:t>%</w:t>
            </w:r>
          </w:p>
        </w:tc>
      </w:tr>
      <w:tr w:rsidR="003E440F" w:rsidRPr="00824F38" w14:paraId="4E1A21C6" w14:textId="77777777" w:rsidTr="003E440F">
        <w:tc>
          <w:tcPr>
            <w:tcW w:w="2402" w:type="dxa"/>
          </w:tcPr>
          <w:p w14:paraId="72512136" w14:textId="423A5F07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9 Years</w:t>
            </w:r>
          </w:p>
        </w:tc>
        <w:tc>
          <w:tcPr>
            <w:tcW w:w="2410" w:type="dxa"/>
          </w:tcPr>
          <w:p w14:paraId="2D741A4A" w14:textId="46743EB6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</w:t>
            </w:r>
            <w:r w:rsidR="00505D2B" w:rsidRPr="009E7A6D">
              <w:rPr>
                <w:rFonts w:ascii="Times New Roman" w:hAnsi="Times New Roman" w:cs="Times New Roman"/>
              </w:rPr>
              <w:t>6</w:t>
            </w:r>
            <w:r w:rsidRPr="009E7A6D">
              <w:rPr>
                <w:rFonts w:ascii="Times New Roman" w:hAnsi="Times New Roman" w:cs="Times New Roman"/>
              </w:rPr>
              <w:t xml:space="preserve"> MDLs</w:t>
            </w:r>
          </w:p>
        </w:tc>
        <w:tc>
          <w:tcPr>
            <w:tcW w:w="2201" w:type="dxa"/>
          </w:tcPr>
          <w:p w14:paraId="5949C672" w14:textId="2EDDD029" w:rsidR="003E440F" w:rsidRPr="009E7A6D" w:rsidRDefault="006D0814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25,868</w:t>
            </w:r>
          </w:p>
        </w:tc>
        <w:tc>
          <w:tcPr>
            <w:tcW w:w="2337" w:type="dxa"/>
          </w:tcPr>
          <w:p w14:paraId="5A216485" w14:textId="5EDCCDED" w:rsidR="003E440F" w:rsidRPr="009E7A6D" w:rsidRDefault="00A879DA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</w:t>
            </w:r>
            <w:r w:rsidR="003E440F" w:rsidRPr="009E7A6D">
              <w:rPr>
                <w:rFonts w:ascii="Times New Roman" w:hAnsi="Times New Roman" w:cs="Times New Roman"/>
              </w:rPr>
              <w:t>3%</w:t>
            </w:r>
          </w:p>
        </w:tc>
      </w:tr>
      <w:tr w:rsidR="003E440F" w:rsidRPr="00824F38" w14:paraId="2F187C08" w14:textId="77777777" w:rsidTr="003E440F">
        <w:tc>
          <w:tcPr>
            <w:tcW w:w="2402" w:type="dxa"/>
          </w:tcPr>
          <w:p w14:paraId="5B8E9281" w14:textId="7758B11B" w:rsidR="003E440F" w:rsidRPr="009E7A6D" w:rsidRDefault="003E440F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10 or More Years</w:t>
            </w:r>
          </w:p>
        </w:tc>
        <w:tc>
          <w:tcPr>
            <w:tcW w:w="2410" w:type="dxa"/>
          </w:tcPr>
          <w:p w14:paraId="07973615" w14:textId="7D70064E" w:rsidR="003E440F" w:rsidRPr="009E7A6D" w:rsidRDefault="00505D2B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9</w:t>
            </w:r>
            <w:r w:rsidR="003E440F" w:rsidRPr="009E7A6D">
              <w:rPr>
                <w:rFonts w:ascii="Times New Roman" w:hAnsi="Times New Roman" w:cs="Times New Roman"/>
              </w:rPr>
              <w:t xml:space="preserve"> MDLs</w:t>
            </w:r>
          </w:p>
        </w:tc>
        <w:tc>
          <w:tcPr>
            <w:tcW w:w="2201" w:type="dxa"/>
          </w:tcPr>
          <w:p w14:paraId="3567D74F" w14:textId="4248510E" w:rsidR="003E440F" w:rsidRPr="009E7A6D" w:rsidRDefault="00483858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16,849</w:t>
            </w:r>
          </w:p>
        </w:tc>
        <w:tc>
          <w:tcPr>
            <w:tcW w:w="2337" w:type="dxa"/>
          </w:tcPr>
          <w:p w14:paraId="4F028797" w14:textId="504F2E4C" w:rsidR="003E440F" w:rsidRPr="009E7A6D" w:rsidRDefault="00483858">
            <w:pPr>
              <w:rPr>
                <w:rFonts w:ascii="Times New Roman" w:hAnsi="Times New Roman" w:cs="Times New Roman"/>
              </w:rPr>
            </w:pPr>
            <w:r w:rsidRPr="009E7A6D">
              <w:rPr>
                <w:rFonts w:ascii="Times New Roman" w:hAnsi="Times New Roman" w:cs="Times New Roman"/>
              </w:rPr>
              <w:t>9%</w:t>
            </w:r>
          </w:p>
        </w:tc>
      </w:tr>
    </w:tbl>
    <w:p w14:paraId="4F5691C7" w14:textId="03CF6AAC" w:rsidR="00DE6D12" w:rsidRPr="00824F38" w:rsidRDefault="00DE6D12">
      <w:pPr>
        <w:rPr>
          <w:rFonts w:ascii="Times New Roman" w:hAnsi="Times New Roman" w:cs="Times New Roman"/>
          <w:b/>
          <w:bCs/>
          <w:u w:val="single"/>
        </w:rPr>
      </w:pPr>
    </w:p>
    <w:p w14:paraId="502447A8" w14:textId="77777777" w:rsidR="00745C11" w:rsidRDefault="00745C11">
      <w:pPr>
        <w:rPr>
          <w:rFonts w:ascii="Century Schoolbook" w:hAnsi="Century Schoolbook"/>
          <w:b/>
          <w:bCs/>
          <w:u w:val="single"/>
        </w:rPr>
      </w:pPr>
    </w:p>
    <w:p w14:paraId="4E022491" w14:textId="77777777" w:rsidR="00745C11" w:rsidRPr="00B55506" w:rsidRDefault="00745C11">
      <w:pPr>
        <w:rPr>
          <w:rFonts w:ascii="Century Schoolbook" w:hAnsi="Century Schoolbook"/>
        </w:rPr>
      </w:pPr>
    </w:p>
    <w:sectPr w:rsidR="00745C11" w:rsidRPr="00B555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D9FD" w14:textId="77777777" w:rsidR="00CF7DCF" w:rsidRDefault="00CF7DCF" w:rsidP="00C60280">
      <w:pPr>
        <w:spacing w:after="0" w:line="240" w:lineRule="auto"/>
      </w:pPr>
      <w:r>
        <w:separator/>
      </w:r>
    </w:p>
  </w:endnote>
  <w:endnote w:type="continuationSeparator" w:id="0">
    <w:p w14:paraId="1DE94AA8" w14:textId="77777777" w:rsidR="00CF7DCF" w:rsidRDefault="00CF7DCF" w:rsidP="00C6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4E3E" w14:textId="77777777" w:rsidR="00C60280" w:rsidRDefault="00C60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2BD4" w14:textId="77777777" w:rsidR="00CF7DCF" w:rsidRDefault="00CF7DCF" w:rsidP="00C60280">
      <w:pPr>
        <w:spacing w:after="0" w:line="240" w:lineRule="auto"/>
      </w:pPr>
      <w:r>
        <w:separator/>
      </w:r>
    </w:p>
  </w:footnote>
  <w:footnote w:type="continuationSeparator" w:id="0">
    <w:p w14:paraId="7299415D" w14:textId="77777777" w:rsidR="00CF7DCF" w:rsidRDefault="00CF7DCF" w:rsidP="00C60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FA"/>
    <w:rsid w:val="00004036"/>
    <w:rsid w:val="000A2465"/>
    <w:rsid w:val="000F77CB"/>
    <w:rsid w:val="000F7D54"/>
    <w:rsid w:val="00143D41"/>
    <w:rsid w:val="0016739D"/>
    <w:rsid w:val="001C2B9C"/>
    <w:rsid w:val="001C7377"/>
    <w:rsid w:val="001D1B32"/>
    <w:rsid w:val="0024290E"/>
    <w:rsid w:val="002862AC"/>
    <w:rsid w:val="002B0B8D"/>
    <w:rsid w:val="002E4E72"/>
    <w:rsid w:val="002E543A"/>
    <w:rsid w:val="00372FA9"/>
    <w:rsid w:val="003E440F"/>
    <w:rsid w:val="00453DA8"/>
    <w:rsid w:val="00483858"/>
    <w:rsid w:val="00505D2B"/>
    <w:rsid w:val="00536F5C"/>
    <w:rsid w:val="00580D72"/>
    <w:rsid w:val="005C2D92"/>
    <w:rsid w:val="005F34B8"/>
    <w:rsid w:val="006C7D09"/>
    <w:rsid w:val="006D0814"/>
    <w:rsid w:val="007213F0"/>
    <w:rsid w:val="007347FA"/>
    <w:rsid w:val="00745C11"/>
    <w:rsid w:val="007A367B"/>
    <w:rsid w:val="008064DF"/>
    <w:rsid w:val="00824F38"/>
    <w:rsid w:val="00857D4E"/>
    <w:rsid w:val="008E1126"/>
    <w:rsid w:val="008F24FA"/>
    <w:rsid w:val="009023E5"/>
    <w:rsid w:val="009112BD"/>
    <w:rsid w:val="00962160"/>
    <w:rsid w:val="009E2AF3"/>
    <w:rsid w:val="009E7A6D"/>
    <w:rsid w:val="00A125E0"/>
    <w:rsid w:val="00A26501"/>
    <w:rsid w:val="00A4393A"/>
    <w:rsid w:val="00A54019"/>
    <w:rsid w:val="00A879DA"/>
    <w:rsid w:val="00B22327"/>
    <w:rsid w:val="00B30C16"/>
    <w:rsid w:val="00B55506"/>
    <w:rsid w:val="00B747B1"/>
    <w:rsid w:val="00BC27CD"/>
    <w:rsid w:val="00BD7EAB"/>
    <w:rsid w:val="00C21401"/>
    <w:rsid w:val="00C31E0D"/>
    <w:rsid w:val="00C45AB4"/>
    <w:rsid w:val="00C60280"/>
    <w:rsid w:val="00C624D6"/>
    <w:rsid w:val="00C654FF"/>
    <w:rsid w:val="00C67DCA"/>
    <w:rsid w:val="00C95781"/>
    <w:rsid w:val="00C971A6"/>
    <w:rsid w:val="00CD3A13"/>
    <w:rsid w:val="00CF1C59"/>
    <w:rsid w:val="00CF4ED5"/>
    <w:rsid w:val="00CF7DCF"/>
    <w:rsid w:val="00D1177F"/>
    <w:rsid w:val="00D46C26"/>
    <w:rsid w:val="00D539C2"/>
    <w:rsid w:val="00D751F3"/>
    <w:rsid w:val="00DB3E5B"/>
    <w:rsid w:val="00DE6D12"/>
    <w:rsid w:val="00DE75FC"/>
    <w:rsid w:val="00E11895"/>
    <w:rsid w:val="00E321E4"/>
    <w:rsid w:val="00E77D40"/>
    <w:rsid w:val="00EC03C7"/>
    <w:rsid w:val="00F04971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427C"/>
  <w15:chartTrackingRefBased/>
  <w15:docId w15:val="{2E185045-9631-49D5-9D04-4A6B2E20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FA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47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FA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4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FA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4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47FA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7347FA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80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0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80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63</cp:revision>
  <cp:lastPrinted>2025-07-17T13:08:00Z</cp:lastPrinted>
  <dcterms:created xsi:type="dcterms:W3CDTF">2025-07-16T23:12:00Z</dcterms:created>
  <dcterms:modified xsi:type="dcterms:W3CDTF">2025-07-17T13:10:00Z</dcterms:modified>
</cp:coreProperties>
</file>