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F61E" w14:textId="77777777" w:rsidR="00B223C1" w:rsidRDefault="00C95DC4">
      <w:pPr>
        <w:pStyle w:val="Heading1"/>
        <w:spacing w:after="0" w:line="249" w:lineRule="auto"/>
        <w:ind w:left="-5" w:right="3323"/>
        <w:jc w:val="left"/>
      </w:pPr>
      <w:r>
        <w:rPr>
          <w:u w:val="none"/>
        </w:rPr>
        <w:t xml:space="preserve">UNITED STATES BANKRUPTCY COURT </w:t>
      </w:r>
      <w:r>
        <w:t xml:space="preserve">NORTHERN DISTRICT OF NEW YORK </w:t>
      </w:r>
    </w:p>
    <w:p w14:paraId="129C04E5" w14:textId="1DC62347" w:rsidR="00127F27" w:rsidRPr="00127F27" w:rsidRDefault="006F3D97" w:rsidP="00127F27">
      <w:r>
        <w:rPr>
          <w:b/>
          <w:u w:color="000000"/>
        </w:rPr>
        <w:t>[Pagination altered from original]</w:t>
      </w:r>
    </w:p>
    <w:p w14:paraId="14E6C953" w14:textId="77777777" w:rsidR="00B223C1" w:rsidRDefault="00C95DC4">
      <w:pPr>
        <w:spacing w:after="245" w:line="259" w:lineRule="auto"/>
        <w:ind w:left="4685" w:firstLine="0"/>
        <w:jc w:val="left"/>
      </w:pPr>
      <w:r>
        <w:rPr>
          <w:rFonts w:ascii="Calibri" w:eastAsia="Calibri" w:hAnsi="Calibri" w:cs="Calibri"/>
          <w:noProof/>
          <w:sz w:val="22"/>
        </w:rPr>
        <mc:AlternateContent>
          <mc:Choice Requires="wpg">
            <w:drawing>
              <wp:inline distT="0" distB="0" distL="0" distR="0" wp14:anchorId="7F1B08AC" wp14:editId="4B289D27">
                <wp:extent cx="2962656" cy="5969"/>
                <wp:effectExtent l="0" t="0" r="0" b="0"/>
                <wp:docPr id="10980" name="Group 10980"/>
                <wp:cNvGraphicFramePr/>
                <a:graphic xmlns:a="http://schemas.openxmlformats.org/drawingml/2006/main">
                  <a:graphicData uri="http://schemas.microsoft.com/office/word/2010/wordprocessingGroup">
                    <wpg:wgp>
                      <wpg:cNvGrpSpPr/>
                      <wpg:grpSpPr>
                        <a:xfrm>
                          <a:off x="0" y="0"/>
                          <a:ext cx="2962656" cy="5969"/>
                          <a:chOff x="0" y="0"/>
                          <a:chExt cx="2962656" cy="5969"/>
                        </a:xfrm>
                      </wpg:grpSpPr>
                      <wps:wsp>
                        <wps:cNvPr id="13903" name="Shape 13903"/>
                        <wps:cNvSpPr/>
                        <wps:spPr>
                          <a:xfrm>
                            <a:off x="0" y="0"/>
                            <a:ext cx="2962656" cy="9144"/>
                          </a:xfrm>
                          <a:custGeom>
                            <a:avLst/>
                            <a:gdLst/>
                            <a:ahLst/>
                            <a:cxnLst/>
                            <a:rect l="0" t="0" r="0" b="0"/>
                            <a:pathLst>
                              <a:path w="2962656" h="9144">
                                <a:moveTo>
                                  <a:pt x="0" y="0"/>
                                </a:moveTo>
                                <a:lnTo>
                                  <a:pt x="2962656" y="0"/>
                                </a:lnTo>
                                <a:lnTo>
                                  <a:pt x="2962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D90DD2" id="Group 10980" o:spid="_x0000_s1026" style="width:233.3pt;height:.45pt;mso-position-horizontal-relative:char;mso-position-vertical-relative:line" coordsize="296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">
                <v:shape id="Shape 13903" o:spid="_x0000_s1027" style="position:absolute;width:29626;height:91;visibility:visible;mso-wrap-style:square;v-text-anchor:top" coordsize="29626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" path="m,l2962656,r,9144l,9144,,e" fillcolor="black" stroked="f" strokeweight="0">
                  <v:stroke miterlimit="83231f" joinstyle="miter"/>
                  <v:path arrowok="t" textboxrect="0,0,2962656,9144"/>
                </v:shape>
                <w10:anchorlock/>
              </v:group>
            </w:pict>
          </mc:Fallback>
        </mc:AlternateContent>
      </w:r>
    </w:p>
    <w:p w14:paraId="74C62242" w14:textId="77777777" w:rsidR="00B223C1" w:rsidRDefault="00C95DC4">
      <w:pPr>
        <w:tabs>
          <w:tab w:val="right" w:pos="9366"/>
        </w:tabs>
        <w:spacing w:after="222" w:line="259" w:lineRule="auto"/>
        <w:ind w:left="0" w:firstLine="0"/>
        <w:jc w:val="left"/>
      </w:pPr>
      <w:r>
        <w:t>In re</w:t>
      </w:r>
      <w:proofErr w:type="gramStart"/>
      <w:r>
        <w:t xml:space="preserve">: </w:t>
      </w:r>
      <w:r>
        <w:tab/>
        <w:t>Case</w:t>
      </w:r>
      <w:proofErr w:type="gramEnd"/>
      <w:r>
        <w:t xml:space="preserve"> No. 23-10244 </w:t>
      </w:r>
    </w:p>
    <w:p w14:paraId="701D2526" w14:textId="77777777" w:rsidR="00B223C1" w:rsidRDefault="00C95DC4">
      <w:pPr>
        <w:tabs>
          <w:tab w:val="right" w:pos="9366"/>
        </w:tabs>
        <w:spacing w:line="259" w:lineRule="auto"/>
        <w:ind w:left="0" w:firstLine="0"/>
        <w:jc w:val="left"/>
      </w:pPr>
      <w:r>
        <w:t xml:space="preserve">THE ROMAN CATHOLIC DIOCESE OF </w:t>
      </w:r>
      <w:r>
        <w:tab/>
        <w:t xml:space="preserve">Chapter 11 </w:t>
      </w:r>
    </w:p>
    <w:p w14:paraId="292727A7" w14:textId="77777777" w:rsidR="00B223C1" w:rsidRDefault="00C95DC4">
      <w:pPr>
        <w:spacing w:line="259" w:lineRule="auto"/>
      </w:pPr>
      <w:r>
        <w:t xml:space="preserve">ALBANY, NEW </w:t>
      </w:r>
      <w:proofErr w:type="gramStart"/>
      <w:r>
        <w:t>YORK,</w:t>
      </w:r>
      <w:proofErr w:type="gramEnd"/>
      <w:r>
        <w:t xml:space="preserve"> </w:t>
      </w:r>
    </w:p>
    <w:p w14:paraId="5E290D74" w14:textId="77777777" w:rsidR="00B223C1" w:rsidRDefault="00C95DC4">
      <w:pPr>
        <w:spacing w:line="238" w:lineRule="auto"/>
        <w:ind w:left="1531" w:firstLine="4800"/>
      </w:pPr>
      <w:r>
        <w:t xml:space="preserve">Judge Robert E. Littlefield, Jr. Debtor. </w:t>
      </w:r>
    </w:p>
    <w:p w14:paraId="67F60889" w14:textId="77777777" w:rsidR="00B223C1" w:rsidRDefault="00C95DC4">
      <w:pPr>
        <w:spacing w:after="285" w:line="259" w:lineRule="auto"/>
        <w:ind w:left="0" w:firstLine="0"/>
        <w:jc w:val="left"/>
      </w:pPr>
      <w:r>
        <w:rPr>
          <w:rFonts w:ascii="Calibri" w:eastAsia="Calibri" w:hAnsi="Calibri" w:cs="Calibri"/>
          <w:noProof/>
          <w:sz w:val="22"/>
        </w:rPr>
        <mc:AlternateContent>
          <mc:Choice Requires="wpg">
            <w:drawing>
              <wp:inline distT="0" distB="0" distL="0" distR="0" wp14:anchorId="7021C5F2" wp14:editId="5AB3BA84">
                <wp:extent cx="5937377" cy="6096"/>
                <wp:effectExtent l="0" t="0" r="0" b="0"/>
                <wp:docPr id="10983" name="Group 10983"/>
                <wp:cNvGraphicFramePr/>
                <a:graphic xmlns:a="http://schemas.openxmlformats.org/drawingml/2006/main">
                  <a:graphicData uri="http://schemas.microsoft.com/office/word/2010/wordprocessingGroup">
                    <wpg:wgp>
                      <wpg:cNvGrpSpPr/>
                      <wpg:grpSpPr>
                        <a:xfrm>
                          <a:off x="0" y="0"/>
                          <a:ext cx="5937377" cy="6096"/>
                          <a:chOff x="0" y="0"/>
                          <a:chExt cx="5937377" cy="6096"/>
                        </a:xfrm>
                      </wpg:grpSpPr>
                      <wps:wsp>
                        <wps:cNvPr id="13905" name="Shape 13905"/>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6" name="Shape 13906"/>
                        <wps:cNvSpPr/>
                        <wps:spPr>
                          <a:xfrm>
                            <a:off x="2968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7" name="Shape 13907"/>
                        <wps:cNvSpPr/>
                        <wps:spPr>
                          <a:xfrm>
                            <a:off x="2974721" y="0"/>
                            <a:ext cx="2962656" cy="9144"/>
                          </a:xfrm>
                          <a:custGeom>
                            <a:avLst/>
                            <a:gdLst/>
                            <a:ahLst/>
                            <a:cxnLst/>
                            <a:rect l="0" t="0" r="0" b="0"/>
                            <a:pathLst>
                              <a:path w="2962656" h="9144">
                                <a:moveTo>
                                  <a:pt x="0" y="0"/>
                                </a:moveTo>
                                <a:lnTo>
                                  <a:pt x="2962656" y="0"/>
                                </a:lnTo>
                                <a:lnTo>
                                  <a:pt x="2962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429179" id="Group 10983" o:spid="_x0000_s1026" style="width:467.5pt;height:.5pt;mso-position-horizontal-relative:char;mso-position-vertical-relative:line" coordsize="59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">
                <v:shape id="Shape 13905" o:spid="_x0000_s1027" style="position:absolute;width:29687;height:91;visibility:visible;mso-wrap-style:square;v-text-anchor:top" coordsize="29687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" path="m,l2968752,r,9144l,9144,,e" fillcolor="black" stroked="f" strokeweight="0">
                  <v:stroke miterlimit="83231f" joinstyle="miter"/>
                  <v:path arrowok="t" textboxrect="0,0,2968752,9144"/>
                </v:shape>
                <v:shape id="Shape 13906" o:spid="_x0000_s1028" style="position:absolute;left:296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" path="m,l9144,r,9144l,9144,,e" fillcolor="black" stroked="f" strokeweight="0">
                  <v:stroke miterlimit="83231f" joinstyle="miter"/>
                  <v:path arrowok="t" textboxrect="0,0,9144,9144"/>
                </v:shape>
                <v:shape id="Shape 13907" o:spid="_x0000_s1029" style="position:absolute;left:29747;width:29626;height:91;visibility:visible;mso-wrap-style:square;v-text-anchor:top" coordsize="29626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" path="m,l2962656,r,9144l,9144,,e" fillcolor="black" stroked="f" strokeweight="0">
                  <v:stroke miterlimit="83231f" joinstyle="miter"/>
                  <v:path arrowok="t" textboxrect="0,0,2962656,9144"/>
                </v:shape>
                <w10:anchorlock/>
              </v:group>
            </w:pict>
          </mc:Fallback>
        </mc:AlternateContent>
      </w:r>
    </w:p>
    <w:p w14:paraId="64B25119" w14:textId="77777777" w:rsidR="00B223C1" w:rsidRDefault="00C95DC4">
      <w:pPr>
        <w:spacing w:after="0" w:line="259" w:lineRule="auto"/>
        <w:ind w:left="1293" w:right="1301"/>
        <w:jc w:val="center"/>
      </w:pPr>
      <w:r>
        <w:rPr>
          <w:b/>
        </w:rPr>
        <w:t xml:space="preserve">THE OFFICIAL COMMITTEE OF TORT CLAIMANTS’  </w:t>
      </w:r>
    </w:p>
    <w:p w14:paraId="27DE2A6A" w14:textId="77777777" w:rsidR="00B223C1" w:rsidRDefault="00C95DC4">
      <w:pPr>
        <w:spacing w:after="0" w:line="259" w:lineRule="auto"/>
        <w:ind w:left="1293" w:right="1303"/>
        <w:jc w:val="center"/>
      </w:pPr>
      <w:r>
        <w:rPr>
          <w:b/>
        </w:rPr>
        <w:t xml:space="preserve">MEMORANDUM IN SUPPORT OF STAY RELIEF MOTIONS </w:t>
      </w:r>
    </w:p>
    <w:p w14:paraId="110DE16D" w14:textId="77777777" w:rsidR="00B223C1" w:rsidRDefault="00C95DC4">
      <w:pPr>
        <w:spacing w:after="281" w:line="259" w:lineRule="auto"/>
        <w:ind w:left="-14" w:firstLine="0"/>
        <w:jc w:val="left"/>
      </w:pPr>
      <w:r>
        <w:rPr>
          <w:rFonts w:ascii="Calibri" w:eastAsia="Calibri" w:hAnsi="Calibri" w:cs="Calibri"/>
          <w:noProof/>
          <w:sz w:val="22"/>
        </w:rPr>
        <mc:AlternateContent>
          <mc:Choice Requires="wpg">
            <w:drawing>
              <wp:inline distT="0" distB="0" distL="0" distR="0" wp14:anchorId="3C073F7B" wp14:editId="7D1B303D">
                <wp:extent cx="5946521" cy="6096"/>
                <wp:effectExtent l="0" t="0" r="0" b="0"/>
                <wp:docPr id="10985" name="Group 10985"/>
                <wp:cNvGraphicFramePr/>
                <a:graphic xmlns:a="http://schemas.openxmlformats.org/drawingml/2006/main">
                  <a:graphicData uri="http://schemas.microsoft.com/office/word/2010/wordprocessingGroup">
                    <wpg:wgp>
                      <wpg:cNvGrpSpPr/>
                      <wpg:grpSpPr>
                        <a:xfrm>
                          <a:off x="0" y="0"/>
                          <a:ext cx="5946521" cy="6096"/>
                          <a:chOff x="0" y="0"/>
                          <a:chExt cx="5946521" cy="6096"/>
                        </a:xfrm>
                      </wpg:grpSpPr>
                      <wps:wsp>
                        <wps:cNvPr id="13911" name="Shape 13911"/>
                        <wps:cNvSpPr/>
                        <wps:spPr>
                          <a:xfrm>
                            <a:off x="0" y="0"/>
                            <a:ext cx="5946521" cy="9144"/>
                          </a:xfrm>
                          <a:custGeom>
                            <a:avLst/>
                            <a:gdLst/>
                            <a:ahLst/>
                            <a:cxnLst/>
                            <a:rect l="0" t="0" r="0" b="0"/>
                            <a:pathLst>
                              <a:path w="5946521" h="9144">
                                <a:moveTo>
                                  <a:pt x="0" y="0"/>
                                </a:moveTo>
                                <a:lnTo>
                                  <a:pt x="5946521" y="0"/>
                                </a:lnTo>
                                <a:lnTo>
                                  <a:pt x="59465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B7CC95" id="Group 10985" o:spid="_x0000_s1026" style="width:468.25pt;height:.5pt;mso-position-horizontal-relative:char;mso-position-vertical-relative:line" coordsize="594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">
                <v:shape id="Shape 13911" o:spid="_x0000_s1027" style="position:absolute;width:59465;height:91;visibility:visible;mso-wrap-style:square;v-text-anchor:top" coordsize="59465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" path="m,l5946521,r,9144l,9144,,e" fillcolor="black" stroked="f" strokeweight="0">
                  <v:stroke miterlimit="83231f" joinstyle="miter"/>
                  <v:path arrowok="t" textboxrect="0,0,5946521,9144"/>
                </v:shape>
                <w10:anchorlock/>
              </v:group>
            </w:pict>
          </mc:Fallback>
        </mc:AlternateContent>
      </w:r>
    </w:p>
    <w:p w14:paraId="5C8DDFEC" w14:textId="77777777" w:rsidR="00B223C1" w:rsidRDefault="00C95DC4">
      <w:pPr>
        <w:ind w:left="-15" w:firstLine="720"/>
      </w:pPr>
      <w:r>
        <w:t xml:space="preserve">The Official Committee of Tort Claimants (the “Tort Committee”) appointed in The Roman Catholic Diocese of Albany, New York’s (the “Debtor” or “Diocese”) bankruptcy case respectfully submits this memorandum (the “Memorandum”) in support of the motions for relief stay filed at </w:t>
      </w:r>
      <w:proofErr w:type="spellStart"/>
      <w:r>
        <w:t>Dkt</w:t>
      </w:r>
      <w:proofErr w:type="spellEnd"/>
      <w:r>
        <w:t xml:space="preserve">. Nos. 1342, 1343, 1344, 1345, and 1349 (the “Stay Relief Motions”) by certain survivors (the “Movants”). </w:t>
      </w:r>
    </w:p>
    <w:p w14:paraId="49D44BF5" w14:textId="77777777" w:rsidR="00B223C1" w:rsidRDefault="00C95DC4">
      <w:pPr>
        <w:pStyle w:val="Heading1"/>
        <w:ind w:left="724" w:right="810"/>
      </w:pPr>
      <w:r>
        <w:t>PRELIMINARY STATEMENT</w:t>
      </w:r>
      <w:r>
        <w:rPr>
          <w:u w:val="none"/>
        </w:rPr>
        <w:t xml:space="preserve"> </w:t>
      </w:r>
    </w:p>
    <w:p w14:paraId="7072CD11" w14:textId="77777777" w:rsidR="00B223C1" w:rsidRDefault="00C95DC4">
      <w:pPr>
        <w:numPr>
          <w:ilvl w:val="0"/>
          <w:numId w:val="1"/>
        </w:numPr>
        <w:ind w:right="92" w:firstLine="720"/>
      </w:pPr>
      <w:r>
        <w:t xml:space="preserve">The Tort Committee, along with the Official Committee of Unsecured Creditors, The Debtor, the Debtor’s affiliates, and their insurers, have been </w:t>
      </w:r>
      <w:r w:rsidRPr="009F6FCF">
        <w:rPr>
          <w:highlight w:val="yellow"/>
        </w:rPr>
        <w:t>actively mediating this proceeding over the past 13 months</w:t>
      </w:r>
      <w:r>
        <w:t xml:space="preserve">. The parties each </w:t>
      </w:r>
      <w:proofErr w:type="gramStart"/>
      <w:r>
        <w:t>profess</w:t>
      </w:r>
      <w:proofErr w:type="gramEnd"/>
      <w:r>
        <w:t xml:space="preserve"> a desire to achieve a global resolution—one that </w:t>
      </w:r>
      <w:r>
        <w:rPr>
          <w:i/>
        </w:rPr>
        <w:t>includes</w:t>
      </w:r>
      <w:r>
        <w:t xml:space="preserve"> a settlement with the insurers whose polices are implicated by survivor claims. Unfortunately, the bankruptcy process imposes structural barriers on survivors that the insurers are using to artificially increase their negotiating leverage, reduce their exposure, and delay resolution of this case.   </w:t>
      </w:r>
    </w:p>
    <w:p w14:paraId="7F3207EC" w14:textId="77777777" w:rsidR="00B223C1" w:rsidRDefault="00C95DC4">
      <w:pPr>
        <w:numPr>
          <w:ilvl w:val="0"/>
          <w:numId w:val="1"/>
        </w:numPr>
        <w:ind w:right="92" w:firstLine="720"/>
      </w:pPr>
      <w:r>
        <w:lastRenderedPageBreak/>
        <w:t xml:space="preserve">Specifically, the automatic stay has relieved the insurers from the obligations and incentives that would have otherwise likely led to the timely resolution of survivor claims at a level reflective of the insurers’ true exposure. </w:t>
      </w:r>
      <w:r w:rsidRPr="009F6FCF">
        <w:rPr>
          <w:highlight w:val="yellow"/>
        </w:rPr>
        <w:t>Without the risk of verdicts and judgments available in the tort system, the insurers can indefinitely avoid their responsibility to survivors.</w:t>
      </w:r>
      <w:r>
        <w:t xml:space="preserve"> Knowing this, the insurers exploit the bankruptcy process to their </w:t>
      </w:r>
      <w:proofErr w:type="gramStart"/>
      <w:r>
        <w:t>benefit, and</w:t>
      </w:r>
      <w:proofErr w:type="gramEnd"/>
      <w:r>
        <w:t xml:space="preserve"> aggressively act to prolong cases and wear down survivors to the point that survivors break, and the insurers can achieve an outcome that would not be obtainable but for the bankruptcy.  </w:t>
      </w:r>
    </w:p>
    <w:p w14:paraId="3D66E797" w14:textId="77777777" w:rsidR="00B223C1" w:rsidRDefault="00C95DC4">
      <w:pPr>
        <w:numPr>
          <w:ilvl w:val="0"/>
          <w:numId w:val="1"/>
        </w:numPr>
        <w:ind w:right="92" w:firstLine="720"/>
      </w:pPr>
      <w:r>
        <w:t xml:space="preserve">The misalignment of incentives a bankruptcy filing causes impacts not </w:t>
      </w:r>
      <w:proofErr w:type="gramStart"/>
      <w:r>
        <w:t>only</w:t>
      </w:r>
      <w:proofErr w:type="gramEnd"/>
      <w:r>
        <w:t xml:space="preserve"> survivors, but </w:t>
      </w:r>
      <w:proofErr w:type="gramStart"/>
      <w:r>
        <w:t>also</w:t>
      </w:r>
      <w:proofErr w:type="gramEnd"/>
      <w:r>
        <w:t xml:space="preserve"> Diocesan debtors, their affiliates, and the courts overseeing their cases. </w:t>
      </w:r>
    </w:p>
    <w:p w14:paraId="2FCF5343" w14:textId="77777777" w:rsidR="00B223C1" w:rsidRDefault="00C95DC4">
      <w:pPr>
        <w:ind w:left="-5" w:right="92"/>
      </w:pPr>
      <w:r>
        <w:t xml:space="preserve">Lengthy cases diminish estate resources and distract dioceses from carrying out their mission. They also burden bankruptcy courts, which are not designed to adjudicate survivor claims, but are forced to sift through a bevy of issues related to those claims.    </w:t>
      </w:r>
    </w:p>
    <w:p w14:paraId="3FBA0F27" w14:textId="77777777" w:rsidR="00B223C1" w:rsidRDefault="00C95DC4">
      <w:pPr>
        <w:numPr>
          <w:ilvl w:val="0"/>
          <w:numId w:val="1"/>
        </w:numPr>
        <w:ind w:right="92" w:firstLine="720"/>
      </w:pPr>
      <w:r>
        <w:t xml:space="preserve">Most importantly, the bankruptcy process inhibits survivors’ ability to obtain a fair </w:t>
      </w:r>
      <w:r w:rsidRPr="009F6FCF">
        <w:rPr>
          <w:highlight w:val="yellow"/>
        </w:rPr>
        <w:t>recovery on their claims from insurance companies who are not entitled to the bankruptcy protections they capitalize on</w:t>
      </w:r>
      <w:r>
        <w:t>. Bankruptcy courts overseeing diocesan bankruptcies across the country are beginning to recognize that this reality is what’s causing diocesan bankruptcy cases to stall.</w:t>
      </w:r>
      <w:r>
        <w:rPr>
          <w:vertAlign w:val="superscript"/>
        </w:rPr>
        <w:footnoteReference w:id="1"/>
      </w:r>
      <w:r>
        <w:t xml:space="preserve"> Fortunately, bankruptcy courts have the power to facilitate real progress by returning survivor cases to the trial court system and have utilized that power to jumpstart stalled diocesan bankruptcies.</w:t>
      </w:r>
      <w:r>
        <w:rPr>
          <w:vertAlign w:val="superscript"/>
        </w:rPr>
        <w:footnoteReference w:id="2"/>
      </w:r>
    </w:p>
    <w:p w14:paraId="5FE40E87" w14:textId="77777777" w:rsidR="00B223C1" w:rsidRDefault="00C95DC4">
      <w:pPr>
        <w:numPr>
          <w:ilvl w:val="0"/>
          <w:numId w:val="1"/>
        </w:numPr>
        <w:ind w:right="92" w:firstLine="720"/>
      </w:pPr>
      <w:r>
        <w:lastRenderedPageBreak/>
        <w:t xml:space="preserve">Modifying the stay to allow moving survivors to proceed with their cases will force the insurers to take a seat at the table, and to negotiate fairly and in good faith or face the very real possibility of adverse trial verdicts. Outside of bankruptcy, there are consequences for refusing to settle active cases. Insurers will be required </w:t>
      </w:r>
      <w:proofErr w:type="gramStart"/>
      <w:r>
        <w:t>take</w:t>
      </w:r>
      <w:proofErr w:type="gramEnd"/>
      <w:r>
        <w:t xml:space="preserve"> positions on survivors’ claims, decide whether to settle those claims within their policy limits, and will not be able to shield their actions behind the veil of a bankruptcy mediation. Whether the insurers are complying with their contractual obligations will be laid bare for all to see.  </w:t>
      </w:r>
    </w:p>
    <w:p w14:paraId="4B0E3632" w14:textId="77777777" w:rsidR="00B223C1" w:rsidRDefault="00C95DC4">
      <w:pPr>
        <w:numPr>
          <w:ilvl w:val="0"/>
          <w:numId w:val="1"/>
        </w:numPr>
        <w:ind w:right="92" w:firstLine="720"/>
      </w:pPr>
      <w:r>
        <w:t xml:space="preserve">In this case, and particularly </w:t>
      </w:r>
      <w:proofErr w:type="gramStart"/>
      <w:r>
        <w:t>with regard to</w:t>
      </w:r>
      <w:proofErr w:type="gramEnd"/>
      <w:r>
        <w:t xml:space="preserve"> the Stay Relief Motions, the Movants </w:t>
      </w:r>
      <w:r w:rsidRPr="009F6FCF">
        <w:rPr>
          <w:highlight w:val="yellow"/>
        </w:rPr>
        <w:t>have been thoughtful to limit the impact to the Debtor’s estate in connection with the pursuit of the Debtor’s insurance assets</w:t>
      </w:r>
      <w:r>
        <w:t xml:space="preserve">. Hartford Accident and Indemnity Company and Hartford Fire Insurance Company (“Hartford”), Interstate Fire &amp; Casualty Company (“Interstate”), and Certain </w:t>
      </w:r>
    </w:p>
    <w:p w14:paraId="7B41FE3E" w14:textId="77777777" w:rsidR="00B223C1" w:rsidRDefault="00C95DC4">
      <w:pPr>
        <w:spacing w:after="150"/>
        <w:ind w:left="-5" w:right="94"/>
      </w:pPr>
      <w:r>
        <w:t>Underwriters at Lloyd’s, London, and London Market Companies (“London Market Insurers” or “LMI”), (collectively, the “Stay Relief Insurers”) insured the Debtor with respect to each of the claims underlying the Stay Relief Motions. Of these three insurers, at least Hartford has a duty to defend the Debtor, and is required to pay the Debtor’s defense costs in the first instance.</w:t>
      </w:r>
      <w:r>
        <w:rPr>
          <w:vertAlign w:val="superscript"/>
        </w:rPr>
        <w:t>3</w:t>
      </w:r>
      <w:r>
        <w:t xml:space="preserve"> The Hartford policies are also “non-wasting” policies, meaning that defense costs do not erode the applicable limits. Moreover, neither the Hartford, LMI, nor Interstate policies have aggregate limits that would apply to the sexual abuse claims at issue here, meaning that recovery by one </w:t>
      </w:r>
    </w:p>
    <w:p w14:paraId="2DC387D0" w14:textId="77777777" w:rsidR="00B223C1" w:rsidRDefault="00C95DC4">
      <w:pPr>
        <w:spacing w:after="111" w:line="259" w:lineRule="auto"/>
        <w:ind w:left="0" w:firstLine="0"/>
        <w:jc w:val="left"/>
      </w:pPr>
      <w:r>
        <w:rPr>
          <w:rFonts w:ascii="Calibri" w:eastAsia="Calibri" w:hAnsi="Calibri" w:cs="Calibri"/>
          <w:noProof/>
          <w:sz w:val="22"/>
        </w:rPr>
        <w:lastRenderedPageBreak/>
        <mc:AlternateContent>
          <mc:Choice Requires="wpg">
            <w:drawing>
              <wp:inline distT="0" distB="0" distL="0" distR="0" wp14:anchorId="17169D35" wp14:editId="5999B645">
                <wp:extent cx="1828800" cy="7493"/>
                <wp:effectExtent l="0" t="0" r="0" b="0"/>
                <wp:docPr id="10930" name="Group 10930"/>
                <wp:cNvGraphicFramePr/>
                <a:graphic xmlns:a="http://schemas.openxmlformats.org/drawingml/2006/main">
                  <a:graphicData uri="http://schemas.microsoft.com/office/word/2010/wordprocessingGroup">
                    <wpg:wgp>
                      <wpg:cNvGrpSpPr/>
                      <wpg:grpSpPr>
                        <a:xfrm>
                          <a:off x="0" y="0"/>
                          <a:ext cx="1828800" cy="7493"/>
                          <a:chOff x="0" y="0"/>
                          <a:chExt cx="1828800" cy="7493"/>
                        </a:xfrm>
                      </wpg:grpSpPr>
                      <wps:wsp>
                        <wps:cNvPr id="13913" name="Shape 1391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EC3130" id="Group 10930" o:spid="_x0000_s1026" style="width:2in;height:.6pt;mso-position-horizontal-relative:char;mso-position-vertical-relative:line" coordsize="1828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">
                <v:shape id="Shape 13913"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" path="m,l1828800,r,9144l,9144,,e" fillcolor="black" stroked="f" strokeweight="0">
                  <v:stroke miterlimit="83231f" joinstyle="miter"/>
                  <v:path arrowok="t" textboxrect="0,0,1828800,9144"/>
                </v:shape>
                <w10:anchorlock/>
              </v:group>
            </w:pict>
          </mc:Fallback>
        </mc:AlternateContent>
      </w:r>
    </w:p>
    <w:p w14:paraId="413DF0A2" w14:textId="77777777" w:rsidR="00B223C1" w:rsidRDefault="00C95DC4">
      <w:pPr>
        <w:spacing w:after="188" w:line="243" w:lineRule="auto"/>
        <w:ind w:left="-5" w:right="-11"/>
      </w:pPr>
      <w:r>
        <w:rPr>
          <w:sz w:val="22"/>
        </w:rPr>
        <w:t>(</w:t>
      </w:r>
      <w:proofErr w:type="spellStart"/>
      <w:r>
        <w:rPr>
          <w:sz w:val="22"/>
        </w:rPr>
        <w:t>Bankr</w:t>
      </w:r>
      <w:proofErr w:type="spellEnd"/>
      <w:r>
        <w:rPr>
          <w:sz w:val="22"/>
        </w:rPr>
        <w:t>. S.D.N.Y. June 9, 2023), Docket. No. 203 (</w:t>
      </w:r>
      <w:r w:rsidRPr="009F6FCF">
        <w:rPr>
          <w:sz w:val="22"/>
          <w:highlight w:val="yellow"/>
        </w:rPr>
        <w:t xml:space="preserve">permitting prosecution of 225 state court actions against non-debtor affiliates). </w:t>
      </w:r>
      <w:r w:rsidRPr="009F6FCF">
        <w:rPr>
          <w:i/>
          <w:sz w:val="22"/>
          <w:highlight w:val="yellow"/>
        </w:rPr>
        <w:t xml:space="preserve">See also </w:t>
      </w:r>
      <w:r w:rsidRPr="009F6FCF">
        <w:rPr>
          <w:sz w:val="22"/>
          <w:highlight w:val="yellow"/>
        </w:rPr>
        <w:t>M</w:t>
      </w:r>
      <w:r w:rsidRPr="009F6FCF">
        <w:rPr>
          <w:sz w:val="18"/>
          <w:highlight w:val="yellow"/>
        </w:rPr>
        <w:t xml:space="preserve">ANUAL </w:t>
      </w:r>
      <w:r w:rsidRPr="009F6FCF">
        <w:rPr>
          <w:sz w:val="22"/>
          <w:highlight w:val="yellow"/>
        </w:rPr>
        <w:t>F</w:t>
      </w:r>
      <w:r w:rsidRPr="009F6FCF">
        <w:rPr>
          <w:sz w:val="18"/>
          <w:highlight w:val="yellow"/>
        </w:rPr>
        <w:t xml:space="preserve">OR </w:t>
      </w:r>
      <w:r w:rsidRPr="009F6FCF">
        <w:rPr>
          <w:sz w:val="22"/>
          <w:highlight w:val="yellow"/>
        </w:rPr>
        <w:t>C</w:t>
      </w:r>
      <w:r w:rsidRPr="009F6FCF">
        <w:rPr>
          <w:sz w:val="18"/>
          <w:highlight w:val="yellow"/>
        </w:rPr>
        <w:t xml:space="preserve">OMPLEX </w:t>
      </w:r>
      <w:r w:rsidRPr="009F6FCF">
        <w:rPr>
          <w:sz w:val="22"/>
          <w:highlight w:val="yellow"/>
        </w:rPr>
        <w:t>L</w:t>
      </w:r>
      <w:r w:rsidRPr="009F6FCF">
        <w:rPr>
          <w:sz w:val="18"/>
          <w:highlight w:val="yellow"/>
        </w:rPr>
        <w:t xml:space="preserve">ITIGATION </w:t>
      </w:r>
      <w:r w:rsidRPr="009F6FCF">
        <w:rPr>
          <w:sz w:val="22"/>
          <w:highlight w:val="yellow"/>
        </w:rPr>
        <w:t>(F</w:t>
      </w:r>
      <w:r w:rsidRPr="009F6FCF">
        <w:rPr>
          <w:sz w:val="18"/>
          <w:highlight w:val="yellow"/>
        </w:rPr>
        <w:t>OURTH</w:t>
      </w:r>
      <w:r w:rsidRPr="009F6FCF">
        <w:rPr>
          <w:sz w:val="22"/>
          <w:highlight w:val="yellow"/>
        </w:rPr>
        <w:t>) § 20.132 (2004) (test trials “may otherwise promote settlement in the remaining actions.”).</w:t>
      </w:r>
      <w:r>
        <w:rPr>
          <w:sz w:val="22"/>
        </w:rPr>
        <w:t xml:space="preserve"> </w:t>
      </w:r>
    </w:p>
    <w:p w14:paraId="004547EE" w14:textId="77777777" w:rsidR="00B223C1" w:rsidRDefault="00C95DC4">
      <w:pPr>
        <w:spacing w:after="188" w:line="243" w:lineRule="auto"/>
        <w:ind w:left="-5" w:right="-11"/>
      </w:pPr>
      <w:r>
        <w:rPr>
          <w:sz w:val="22"/>
          <w:vertAlign w:val="superscript"/>
        </w:rPr>
        <w:t>3</w:t>
      </w:r>
      <w:r>
        <w:rPr>
          <w:sz w:val="22"/>
        </w:rPr>
        <w:t xml:space="preserve"> LMI and Interstate, for their part, will likely contend that they need only “reimburse” the Debtor for its defense costs at the end of the case. The Tort Committee does not concede that LMI’s and Interstate’s position is correct. Even so, that issue is immaterial to </w:t>
      </w:r>
      <w:proofErr w:type="gramStart"/>
      <w:r>
        <w:rPr>
          <w:sz w:val="22"/>
        </w:rPr>
        <w:t>the Stay</w:t>
      </w:r>
      <w:proofErr w:type="gramEnd"/>
      <w:r>
        <w:rPr>
          <w:sz w:val="22"/>
        </w:rPr>
        <w:t xml:space="preserve"> Relief Motions because Hartford will be obligated to defend each of the </w:t>
      </w:r>
      <w:proofErr w:type="gramStart"/>
      <w:r>
        <w:rPr>
          <w:sz w:val="22"/>
        </w:rPr>
        <w:t>stay relief</w:t>
      </w:r>
      <w:proofErr w:type="gramEnd"/>
      <w:r>
        <w:rPr>
          <w:sz w:val="22"/>
        </w:rPr>
        <w:t xml:space="preserve"> </w:t>
      </w:r>
      <w:proofErr w:type="gramStart"/>
      <w:r>
        <w:rPr>
          <w:sz w:val="22"/>
        </w:rPr>
        <w:t>cases</w:t>
      </w:r>
      <w:proofErr w:type="gramEnd"/>
      <w:r>
        <w:rPr>
          <w:sz w:val="22"/>
        </w:rPr>
        <w:t xml:space="preserve"> in their entirety, even if those cases also allege abuse during the LMI/Interstate period.  </w:t>
      </w:r>
    </w:p>
    <w:p w14:paraId="7CE5171A" w14:textId="77777777" w:rsidR="00B223C1" w:rsidRDefault="00C95DC4">
      <w:pPr>
        <w:ind w:left="-5" w:right="94"/>
      </w:pPr>
      <w:r>
        <w:t xml:space="preserve">survivor on its claim against a particular insurer will not </w:t>
      </w:r>
      <w:proofErr w:type="gramStart"/>
      <w:r>
        <w:t>impact</w:t>
      </w:r>
      <w:proofErr w:type="gramEnd"/>
      <w:r>
        <w:t xml:space="preserve"> the recovery of any other survivor against that same insurer.</w:t>
      </w:r>
      <w:r>
        <w:rPr>
          <w:vertAlign w:val="superscript"/>
        </w:rPr>
        <w:footnoteReference w:id="3"/>
      </w:r>
      <w:r>
        <w:t xml:space="preserve"> </w:t>
      </w:r>
      <w:r w:rsidRPr="009F6FCF">
        <w:rPr>
          <w:highlight w:val="yellow"/>
        </w:rPr>
        <w:t xml:space="preserve">Moreover, the Movants are seeking only to obtain monetary </w:t>
      </w:r>
      <w:proofErr w:type="gramStart"/>
      <w:r w:rsidRPr="009F6FCF">
        <w:rPr>
          <w:highlight w:val="yellow"/>
        </w:rPr>
        <w:t>judgments, and</w:t>
      </w:r>
      <w:proofErr w:type="gramEnd"/>
      <w:r w:rsidRPr="009F6FCF">
        <w:rPr>
          <w:highlight w:val="yellow"/>
        </w:rPr>
        <w:t xml:space="preserve"> will not enforce any judgments against the Debtor absent further order from the Court</w:t>
      </w:r>
      <w:r>
        <w:t xml:space="preserve">. Thus, if the requested relief is granted, there will be no monetary impact on the Debtor’s estate.  </w:t>
      </w:r>
    </w:p>
    <w:p w14:paraId="7BB42FA3" w14:textId="77777777" w:rsidR="00B223C1" w:rsidRDefault="00C95DC4">
      <w:pPr>
        <w:ind w:left="-15" w:firstLine="720"/>
      </w:pPr>
      <w:r>
        <w:t>7.</w:t>
      </w:r>
      <w:r>
        <w:tab/>
        <w:t xml:space="preserve">These bases, as expanded upon herein, provide more than adequate cause to grant </w:t>
      </w:r>
      <w:proofErr w:type="gramStart"/>
      <w:r>
        <w:t>the Stay</w:t>
      </w:r>
      <w:proofErr w:type="gramEnd"/>
      <w:r>
        <w:t xml:space="preserve"> Relief Motions. </w:t>
      </w:r>
    </w:p>
    <w:p w14:paraId="4A947DB8" w14:textId="77777777" w:rsidR="00B223C1" w:rsidRDefault="00C95DC4">
      <w:pPr>
        <w:pStyle w:val="Heading1"/>
        <w:ind w:left="724" w:right="811"/>
      </w:pPr>
      <w:r>
        <w:t>BACKGROUND</w:t>
      </w:r>
      <w:r>
        <w:rPr>
          <w:u w:val="none"/>
        </w:rPr>
        <w:t xml:space="preserve"> </w:t>
      </w:r>
    </w:p>
    <w:p w14:paraId="3DA7DF46" w14:textId="77777777" w:rsidR="00B223C1" w:rsidRDefault="00C95DC4">
      <w:pPr>
        <w:pStyle w:val="Heading2"/>
        <w:tabs>
          <w:tab w:val="center" w:pos="1664"/>
        </w:tabs>
        <w:ind w:left="-15" w:right="0" w:firstLine="0"/>
      </w:pPr>
      <w:r>
        <w:t>A</w:t>
      </w:r>
      <w:proofErr w:type="gramStart"/>
      <w:r>
        <w:t xml:space="preserve">.  </w:t>
      </w:r>
      <w:r>
        <w:tab/>
      </w:r>
      <w:proofErr w:type="gramEnd"/>
      <w:r>
        <w:t xml:space="preserve">Bankruptcy Filing  </w:t>
      </w:r>
    </w:p>
    <w:p w14:paraId="6C2D5BB1" w14:textId="77777777" w:rsidR="00B223C1" w:rsidRDefault="00C95DC4">
      <w:pPr>
        <w:numPr>
          <w:ilvl w:val="0"/>
          <w:numId w:val="2"/>
        </w:numPr>
        <w:ind w:right="40" w:firstLine="720"/>
      </w:pPr>
      <w:r>
        <w:t xml:space="preserve">On March 15, 2023 (the “Petition Date”), the Debtor filed a voluntary petition for relief under Chapter 11 of Title 11 of the United States Code (the “Bankruptcy Code”).  </w:t>
      </w:r>
    </w:p>
    <w:p w14:paraId="23237848" w14:textId="77777777" w:rsidR="00B223C1" w:rsidRDefault="00C95DC4">
      <w:pPr>
        <w:numPr>
          <w:ilvl w:val="0"/>
          <w:numId w:val="2"/>
        </w:numPr>
        <w:spacing w:after="255" w:line="259" w:lineRule="auto"/>
        <w:ind w:right="40" w:firstLine="720"/>
      </w:pPr>
      <w:r>
        <w:t xml:space="preserve">On April 17, 2023, the Office of the United States Trustee appointed the Tort </w:t>
      </w:r>
    </w:p>
    <w:p w14:paraId="22CA3A0D" w14:textId="77777777" w:rsidR="00B223C1" w:rsidRDefault="00C95DC4">
      <w:pPr>
        <w:spacing w:after="252" w:line="259" w:lineRule="auto"/>
        <w:ind w:left="-5"/>
      </w:pPr>
      <w:r>
        <w:t xml:space="preserve">Committee pursuant to 11 U.S.C. § 1102(a). </w:t>
      </w:r>
    </w:p>
    <w:p w14:paraId="4321BAAC" w14:textId="77777777" w:rsidR="00B223C1" w:rsidRDefault="00C95DC4">
      <w:pPr>
        <w:numPr>
          <w:ilvl w:val="0"/>
          <w:numId w:val="2"/>
        </w:numPr>
        <w:ind w:right="40" w:firstLine="720"/>
      </w:pPr>
      <w:r>
        <w:t xml:space="preserve">As a result of the Debtor’s filing, cases against the Debtor are automatically stayed pursuant to 11 U.S.C. § 362. </w:t>
      </w:r>
    </w:p>
    <w:p w14:paraId="000329F0" w14:textId="77777777" w:rsidR="00B223C1" w:rsidRDefault="00C95DC4">
      <w:pPr>
        <w:numPr>
          <w:ilvl w:val="0"/>
          <w:numId w:val="2"/>
        </w:numPr>
        <w:spacing w:after="255" w:line="259" w:lineRule="auto"/>
        <w:ind w:right="40" w:firstLine="720"/>
      </w:pPr>
      <w:r>
        <w:lastRenderedPageBreak/>
        <w:t xml:space="preserve">A bar date of November 1, </w:t>
      </w:r>
      <w:proofErr w:type="gramStart"/>
      <w:r>
        <w:t>2023</w:t>
      </w:r>
      <w:proofErr w:type="gramEnd"/>
      <w:r>
        <w:t xml:space="preserve"> was fixed by Court order entered at Docket No. </w:t>
      </w:r>
    </w:p>
    <w:p w14:paraId="146C7A50" w14:textId="77777777" w:rsidR="00B223C1" w:rsidRDefault="00C95DC4">
      <w:pPr>
        <w:spacing w:after="256" w:line="259" w:lineRule="auto"/>
        <w:ind w:left="-5"/>
      </w:pPr>
      <w:r>
        <w:t xml:space="preserve">447.  </w:t>
      </w:r>
    </w:p>
    <w:p w14:paraId="209D034B" w14:textId="77777777" w:rsidR="00B223C1" w:rsidRDefault="00C95DC4">
      <w:pPr>
        <w:pStyle w:val="Heading2"/>
        <w:tabs>
          <w:tab w:val="center" w:pos="2645"/>
        </w:tabs>
        <w:ind w:left="-15" w:right="0" w:firstLine="0"/>
      </w:pPr>
      <w:r>
        <w:t>B</w:t>
      </w:r>
      <w:proofErr w:type="gramStart"/>
      <w:r>
        <w:t xml:space="preserve">.  </w:t>
      </w:r>
      <w:r>
        <w:tab/>
      </w:r>
      <w:proofErr w:type="gramEnd"/>
      <w:r>
        <w:t xml:space="preserve">Adversary Proceeding and Mediation  </w:t>
      </w:r>
    </w:p>
    <w:p w14:paraId="42940656" w14:textId="77777777" w:rsidR="00B223C1" w:rsidRDefault="00C95DC4">
      <w:pPr>
        <w:numPr>
          <w:ilvl w:val="0"/>
          <w:numId w:val="3"/>
        </w:numPr>
        <w:ind w:right="94" w:firstLine="720"/>
      </w:pPr>
      <w:r>
        <w:t>On October 31, 2023, the Debtor and numerous plaintiff parishes (the “Parishes”) initiated adversary proceeding 23-90012-1 (the “Adversary Proceeding”) seeking damages for breach of contract and declaratory relief with respect to the obligations, rights, duties, and liabilities under terms of certain insurance policies issued by various insurance companies, including the Stay Relief Insurers.</w:t>
      </w:r>
      <w:r>
        <w:rPr>
          <w:vertAlign w:val="superscript"/>
        </w:rPr>
        <w:footnoteReference w:id="4"/>
      </w:r>
      <w:r>
        <w:t xml:space="preserve"> The adversary proceeding complaint seeks further declaratory relief with respect to the Debtor’s rights in the respective insurance policies and a determination that such rights constitute property of the Debtor’s bankruptcy estate pursuant to 11 U.S.C. §541(a).   </w:t>
      </w:r>
    </w:p>
    <w:p w14:paraId="43C3E846" w14:textId="77777777" w:rsidR="00B223C1" w:rsidRDefault="00C95DC4">
      <w:pPr>
        <w:numPr>
          <w:ilvl w:val="0"/>
          <w:numId w:val="3"/>
        </w:numPr>
        <w:spacing w:after="255" w:line="259" w:lineRule="auto"/>
        <w:ind w:right="94" w:firstLine="720"/>
      </w:pPr>
      <w:r>
        <w:t xml:space="preserve">On November 28, 2023, the Court entered its </w:t>
      </w:r>
      <w:r>
        <w:rPr>
          <w:i/>
        </w:rPr>
        <w:t xml:space="preserve">Interim Order Referring Certain </w:t>
      </w:r>
    </w:p>
    <w:p w14:paraId="4DB28B1D" w14:textId="77777777" w:rsidR="00B223C1" w:rsidRDefault="00C95DC4">
      <w:pPr>
        <w:ind w:left="-5"/>
      </w:pPr>
      <w:r>
        <w:rPr>
          <w:i/>
        </w:rPr>
        <w:t>Matters to Mandatory Global Mediation</w:t>
      </w:r>
      <w:r>
        <w:t xml:space="preserve"> [</w:t>
      </w:r>
      <w:proofErr w:type="spellStart"/>
      <w:r>
        <w:t>Dkt</w:t>
      </w:r>
      <w:proofErr w:type="spellEnd"/>
      <w:r>
        <w:t xml:space="preserve">. No. 640 and Adv. </w:t>
      </w:r>
      <w:proofErr w:type="spellStart"/>
      <w:r>
        <w:t>Dkt</w:t>
      </w:r>
      <w:proofErr w:type="spellEnd"/>
      <w:r>
        <w:t xml:space="preserve">. No. 36] (the “Mediation Order”).  </w:t>
      </w:r>
    </w:p>
    <w:p w14:paraId="558FAE87" w14:textId="77777777" w:rsidR="00B223C1" w:rsidRDefault="00C95DC4">
      <w:pPr>
        <w:numPr>
          <w:ilvl w:val="0"/>
          <w:numId w:val="3"/>
        </w:numPr>
        <w:ind w:right="94" w:firstLine="720"/>
      </w:pPr>
      <w:r>
        <w:t xml:space="preserve">The parties have been engaged in mediation efforts since. Unfortunately, the parties have been unable to achieve settlement with either the Debtor or any of the insurers, including the Stay Relief Insurers, involved in the Adversary Proceeding.  </w:t>
      </w:r>
    </w:p>
    <w:p w14:paraId="04274677" w14:textId="77777777" w:rsidR="00B223C1" w:rsidRDefault="00C95DC4">
      <w:pPr>
        <w:pStyle w:val="Heading2"/>
        <w:tabs>
          <w:tab w:val="center" w:pos="2722"/>
        </w:tabs>
        <w:ind w:left="-15" w:right="0" w:firstLine="0"/>
      </w:pPr>
      <w:r>
        <w:t>C</w:t>
      </w:r>
      <w:proofErr w:type="gramStart"/>
      <w:r>
        <w:t xml:space="preserve">.  </w:t>
      </w:r>
      <w:r>
        <w:tab/>
      </w:r>
      <w:proofErr w:type="gramEnd"/>
      <w:r>
        <w:t xml:space="preserve">Facts Pertaining to the Movants’ Cases  </w:t>
      </w:r>
    </w:p>
    <w:p w14:paraId="71C6F967" w14:textId="77777777" w:rsidR="00B223C1" w:rsidRDefault="00C95DC4">
      <w:pPr>
        <w:numPr>
          <w:ilvl w:val="0"/>
          <w:numId w:val="4"/>
        </w:numPr>
        <w:spacing w:after="258" w:line="259" w:lineRule="auto"/>
        <w:ind w:firstLine="720"/>
      </w:pPr>
      <w:r>
        <w:t xml:space="preserve">Each of the Movants filed timely claims in this case.  </w:t>
      </w:r>
    </w:p>
    <w:p w14:paraId="795ACAC4" w14:textId="77777777" w:rsidR="00B223C1" w:rsidRPr="006D3EC5" w:rsidRDefault="00C95DC4">
      <w:pPr>
        <w:numPr>
          <w:ilvl w:val="0"/>
          <w:numId w:val="4"/>
        </w:numPr>
        <w:ind w:firstLine="720"/>
        <w:rPr>
          <w:highlight w:val="yellow"/>
        </w:rPr>
      </w:pPr>
      <w:r w:rsidRPr="006D3EC5">
        <w:rPr>
          <w:highlight w:val="yellow"/>
        </w:rPr>
        <w:t xml:space="preserve">Each of the Movants had commenced a case against the Diocese that was stayed pursuant to 11 U.S.C. § 362 when Debtor filed for bankruptcy.  </w:t>
      </w:r>
    </w:p>
    <w:p w14:paraId="2B21C634" w14:textId="77777777" w:rsidR="00B223C1" w:rsidRDefault="00C95DC4">
      <w:pPr>
        <w:pStyle w:val="Heading2"/>
        <w:tabs>
          <w:tab w:val="center" w:pos="1234"/>
        </w:tabs>
        <w:ind w:left="-15" w:right="0" w:firstLine="0"/>
      </w:pPr>
      <w:r>
        <w:lastRenderedPageBreak/>
        <w:t>D</w:t>
      </w:r>
      <w:proofErr w:type="gramStart"/>
      <w:r>
        <w:t xml:space="preserve">.  </w:t>
      </w:r>
      <w:r>
        <w:tab/>
      </w:r>
      <w:proofErr w:type="gramEnd"/>
      <w:r>
        <w:t xml:space="preserve">Insurance </w:t>
      </w:r>
    </w:p>
    <w:p w14:paraId="49BD7C40" w14:textId="77777777" w:rsidR="00B223C1" w:rsidRDefault="00C95DC4">
      <w:pPr>
        <w:numPr>
          <w:ilvl w:val="0"/>
          <w:numId w:val="5"/>
        </w:numPr>
        <w:ind w:right="90" w:firstLine="720"/>
      </w:pPr>
      <w:r>
        <w:t xml:space="preserve">Relevant to the Stay Relief Motions, three insurers—Hartford, LMI, and Interstate—insured the Diocese at different times between 1972 and 1982 (the years in which the Movants allege abuse). </w:t>
      </w:r>
    </w:p>
    <w:p w14:paraId="05548868" w14:textId="77777777" w:rsidR="00B223C1" w:rsidRDefault="00C95DC4">
      <w:pPr>
        <w:numPr>
          <w:ilvl w:val="0"/>
          <w:numId w:val="5"/>
        </w:numPr>
        <w:ind w:right="90" w:firstLine="720"/>
      </w:pPr>
      <w:r>
        <w:t xml:space="preserve">First, Hartford issued primary and umbrella policies to the debtor from 1972-1979. As noted above, the Hartford policies provide a duty to defend, which is outside the limits of the Hartford policies’ per-occurrence limits. The Hartford policies do not contain any aggregate limits that would apply to the sexual abuse claims at issue here. </w:t>
      </w:r>
    </w:p>
    <w:p w14:paraId="1701B980" w14:textId="77777777" w:rsidR="00B223C1" w:rsidRDefault="00C95DC4">
      <w:pPr>
        <w:numPr>
          <w:ilvl w:val="0"/>
          <w:numId w:val="5"/>
        </w:numPr>
        <w:ind w:right="90" w:firstLine="720"/>
      </w:pPr>
      <w:r>
        <w:t xml:space="preserve">Second, LMI subscribed to various </w:t>
      </w:r>
      <w:proofErr w:type="gramStart"/>
      <w:r>
        <w:t>package</w:t>
      </w:r>
      <w:proofErr w:type="gramEnd"/>
      <w:r>
        <w:t xml:space="preserve"> and high-level layer excess policies issued to the Debtor from 1978-1991.</w:t>
      </w:r>
      <w:r>
        <w:rPr>
          <w:vertAlign w:val="superscript"/>
        </w:rPr>
        <w:footnoteReference w:id="5"/>
      </w:r>
      <w:r>
        <w:t xml:space="preserve"> Like the Hartford policies, the LMI policies during the relevant period do not contain any aggregate limits that would apply to the sexual abuse claims at issue here. </w:t>
      </w:r>
    </w:p>
    <w:p w14:paraId="3836346C" w14:textId="77777777" w:rsidR="00B223C1" w:rsidRDefault="00C95DC4">
      <w:pPr>
        <w:numPr>
          <w:ilvl w:val="0"/>
          <w:numId w:val="5"/>
        </w:numPr>
        <w:spacing w:after="64"/>
        <w:ind w:right="90" w:firstLine="720"/>
      </w:pPr>
      <w:r>
        <w:t>Lastly, Interstate issued various policies to the Debtor from 1978-1986. These policies, too, do not include any aggregate limits applicable to the sexual abuse claims in this case.</w:t>
      </w:r>
      <w:r>
        <w:rPr>
          <w:vertAlign w:val="superscript"/>
        </w:rPr>
        <w:footnoteReference w:id="6"/>
      </w:r>
    </w:p>
    <w:p w14:paraId="1285F3AC" w14:textId="77777777" w:rsidR="00B223C1" w:rsidRDefault="00C95DC4" w:rsidP="00586325">
      <w:pPr>
        <w:numPr>
          <w:ilvl w:val="0"/>
          <w:numId w:val="5"/>
        </w:numPr>
        <w:spacing w:line="475" w:lineRule="auto"/>
        <w:ind w:right="86" w:firstLine="720"/>
      </w:pPr>
      <w:r>
        <w:t xml:space="preserve">The five cases subject to the Lift Stay Motions all allege abuse, at least in part, during years covered by Hartford, which has a duty to defend. Because an insurer has an obligation under New York law to defend the entirety of an action if any portion of that lawsuit potentially implicates coverage, Hartford must defend the entirety of these actions, even if the lawsuits also allege abuse before or after the Hartford period (such as during the LMI/Interstate </w:t>
      </w:r>
      <w:r>
        <w:lastRenderedPageBreak/>
        <w:t xml:space="preserve">period). </w:t>
      </w:r>
      <w:r>
        <w:rPr>
          <w:i/>
        </w:rPr>
        <w:t>See, e.g. Town of Massena v. Healthcare Underwriters Mut. Ins. Co.,</w:t>
      </w:r>
      <w:r>
        <w:t xml:space="preserve"> 98 N.Y.2d 435, 443, 779 N.E.2d 167, 170 (2002) (“If any of the claims against [an] insured arguably arise from covered events, the insurer is required to defend the entire action.”).  In addition to coverage from Hartford, three of the proposed cases also implicate LMI’s and Interstate’s policies. </w:t>
      </w:r>
    </w:p>
    <w:p w14:paraId="37E1B832" w14:textId="77777777" w:rsidR="00B223C1" w:rsidRDefault="00C95DC4">
      <w:pPr>
        <w:pStyle w:val="Heading1"/>
        <w:ind w:left="724" w:right="812"/>
      </w:pPr>
      <w:r>
        <w:t>ARGUMENT</w:t>
      </w:r>
      <w:r>
        <w:rPr>
          <w:u w:val="none"/>
        </w:rPr>
        <w:t xml:space="preserve"> </w:t>
      </w:r>
    </w:p>
    <w:p w14:paraId="69641E2B" w14:textId="77777777" w:rsidR="00B223C1" w:rsidRDefault="00C95DC4">
      <w:pPr>
        <w:pStyle w:val="Heading2"/>
        <w:tabs>
          <w:tab w:val="center" w:pos="1836"/>
        </w:tabs>
        <w:ind w:left="-15" w:right="0" w:firstLine="0"/>
      </w:pPr>
      <w:r>
        <w:t>I</w:t>
      </w:r>
      <w:proofErr w:type="gramStart"/>
      <w:r>
        <w:t xml:space="preserve">. </w:t>
      </w:r>
      <w:r>
        <w:tab/>
        <w:t>LEGAL</w:t>
      </w:r>
      <w:proofErr w:type="gramEnd"/>
      <w:r>
        <w:t xml:space="preserve"> STANDARD   </w:t>
      </w:r>
    </w:p>
    <w:p w14:paraId="40E646D1" w14:textId="77777777" w:rsidR="00B223C1" w:rsidRDefault="00C95DC4">
      <w:pPr>
        <w:tabs>
          <w:tab w:val="center" w:pos="870"/>
          <w:tab w:val="center" w:pos="4416"/>
        </w:tabs>
        <w:spacing w:after="258" w:line="259" w:lineRule="auto"/>
        <w:ind w:left="0" w:firstLine="0"/>
        <w:jc w:val="left"/>
      </w:pPr>
      <w:r>
        <w:rPr>
          <w:rFonts w:ascii="Calibri" w:eastAsia="Calibri" w:hAnsi="Calibri" w:cs="Calibri"/>
          <w:sz w:val="22"/>
        </w:rPr>
        <w:tab/>
      </w:r>
      <w:r>
        <w:t>22.</w:t>
      </w:r>
      <w:r>
        <w:tab/>
      </w:r>
      <w:r w:rsidRPr="006D3EC5">
        <w:rPr>
          <w:highlight w:val="yellow"/>
        </w:rPr>
        <w:t>11 U.S.C. § 362(a) provides for a stay of, among other things:</w:t>
      </w:r>
      <w:r>
        <w:t xml:space="preserve"> </w:t>
      </w:r>
    </w:p>
    <w:p w14:paraId="5D3788AE" w14:textId="77777777" w:rsidR="00B223C1" w:rsidRDefault="00C95DC4">
      <w:pPr>
        <w:spacing w:after="276" w:line="238" w:lineRule="auto"/>
        <w:ind w:left="1450" w:right="1444"/>
      </w:pPr>
      <w:r>
        <w:t xml:space="preserve">(1) the commencement or continuation, including the issuance or employment of process, of a judicial, administrative, or other action or </w:t>
      </w:r>
      <w:proofErr w:type="gramStart"/>
      <w:r>
        <w:t>proceeding</w:t>
      </w:r>
      <w:proofErr w:type="gramEnd"/>
      <w:r>
        <w:t xml:space="preserve"> against the debtor that was or could have been commenced before the commencement of the case under this title, or to recover a claim against the debtor that arose before the commencement of the case under this title . . . </w:t>
      </w:r>
    </w:p>
    <w:p w14:paraId="3683635D" w14:textId="77777777" w:rsidR="00B223C1" w:rsidRDefault="00C95DC4">
      <w:pPr>
        <w:spacing w:after="276" w:line="238" w:lineRule="auto"/>
        <w:ind w:left="1450" w:right="1447"/>
      </w:pPr>
      <w:r>
        <w:t xml:space="preserve">(3) any act to obtain possession of property of the estate or of property from the estate or to exercise control over property of the estate . . .  </w:t>
      </w:r>
    </w:p>
    <w:p w14:paraId="6987ACB1" w14:textId="77777777" w:rsidR="00B223C1" w:rsidRDefault="00C95DC4">
      <w:pPr>
        <w:spacing w:after="276" w:line="238" w:lineRule="auto"/>
        <w:ind w:left="1450" w:right="1026"/>
      </w:pPr>
      <w:r>
        <w:t xml:space="preserve">(6) any act to collect, assess, or recover a claim against the debtor that arose before the commencement of the case under this title . . ..  </w:t>
      </w:r>
    </w:p>
    <w:p w14:paraId="14F8EE33" w14:textId="77777777" w:rsidR="00B223C1" w:rsidRDefault="00C95DC4">
      <w:pPr>
        <w:spacing w:after="251" w:line="259" w:lineRule="auto"/>
        <w:ind w:left="-5"/>
      </w:pPr>
      <w:r>
        <w:t xml:space="preserve">11 U.S.C. § 362(a).  </w:t>
      </w:r>
    </w:p>
    <w:p w14:paraId="2CD6E395" w14:textId="77777777" w:rsidR="00B223C1" w:rsidRDefault="00C95DC4">
      <w:pPr>
        <w:numPr>
          <w:ilvl w:val="0"/>
          <w:numId w:val="6"/>
        </w:numPr>
        <w:ind w:firstLine="720"/>
      </w:pPr>
      <w:r w:rsidRPr="006D3EC5">
        <w:rPr>
          <w:highlight w:val="yellow"/>
        </w:rPr>
        <w:t>11 U.S.C. § 362(d)(1) allows the Court to grant relief from the stay provided for by 11 U.S.C. § 362(a) for cause after notice and a hearing. 11 U.S.C. § 362(d)(1). If the moving party establishes cause, the burden shifts to debtor</w:t>
      </w:r>
      <w:r>
        <w:t xml:space="preserve">, “except for the issue of the debtor’s equity in property.” </w:t>
      </w:r>
      <w:r>
        <w:rPr>
          <w:i/>
        </w:rPr>
        <w:t>See In re Deep</w:t>
      </w:r>
      <w:r>
        <w:t>, 279 B.R. 653, 657 (</w:t>
      </w:r>
      <w:proofErr w:type="spellStart"/>
      <w:r>
        <w:t>Bankr</w:t>
      </w:r>
      <w:proofErr w:type="spellEnd"/>
      <w:r>
        <w:t xml:space="preserve">. N.D.N.Y. 2002) (citing </w:t>
      </w:r>
      <w:proofErr w:type="gramStart"/>
      <w:r>
        <w:rPr>
          <w:i/>
        </w:rPr>
        <w:t>In</w:t>
      </w:r>
      <w:proofErr w:type="gramEnd"/>
      <w:r>
        <w:rPr>
          <w:i/>
        </w:rPr>
        <w:t xml:space="preserve"> re </w:t>
      </w:r>
      <w:proofErr w:type="spellStart"/>
      <w:r>
        <w:rPr>
          <w:i/>
        </w:rPr>
        <w:t>Sonnax</w:t>
      </w:r>
      <w:proofErr w:type="spellEnd"/>
      <w:r>
        <w:rPr>
          <w:i/>
        </w:rPr>
        <w:t xml:space="preserve"> Industries</w:t>
      </w:r>
      <w:r>
        <w:t>, 907 F.2d 1280, 1286 (2d Cir. 1990) and 11 U.S.C. § 362(d)(1)).</w:t>
      </w:r>
    </w:p>
    <w:p w14:paraId="4AE5A8CA" w14:textId="77777777" w:rsidR="00B223C1" w:rsidRDefault="00C95DC4">
      <w:pPr>
        <w:numPr>
          <w:ilvl w:val="0"/>
          <w:numId w:val="6"/>
        </w:numPr>
        <w:ind w:firstLine="720"/>
      </w:pPr>
      <w:r>
        <w:t xml:space="preserve">The Second Circuit has set forth the following </w:t>
      </w:r>
      <w:r w:rsidRPr="006D3EC5">
        <w:rPr>
          <w:highlight w:val="yellow"/>
        </w:rPr>
        <w:t>list of twelve-factors relevant</w:t>
      </w:r>
      <w:r>
        <w:t xml:space="preserve"> to the determination of whether cause exists under 11 U.S.C. § 362(d)(1): </w:t>
      </w:r>
    </w:p>
    <w:p w14:paraId="6789292B" w14:textId="77777777" w:rsidR="00B223C1" w:rsidRDefault="00C95DC4">
      <w:pPr>
        <w:numPr>
          <w:ilvl w:val="1"/>
          <w:numId w:val="6"/>
        </w:numPr>
        <w:spacing w:after="276" w:line="238" w:lineRule="auto"/>
        <w:ind w:right="808" w:hanging="458"/>
      </w:pPr>
      <w:r>
        <w:t xml:space="preserve">whether relief would result in a partial or complete resolution of the </w:t>
      </w:r>
      <w:proofErr w:type="gramStart"/>
      <w:r>
        <w:t>issues;</w:t>
      </w:r>
      <w:proofErr w:type="gramEnd"/>
      <w:r>
        <w:t xml:space="preserve">  </w:t>
      </w:r>
    </w:p>
    <w:p w14:paraId="13FD4405" w14:textId="77777777" w:rsidR="00B223C1" w:rsidRDefault="00C95DC4">
      <w:pPr>
        <w:numPr>
          <w:ilvl w:val="1"/>
          <w:numId w:val="6"/>
        </w:numPr>
        <w:spacing w:after="276" w:line="238" w:lineRule="auto"/>
        <w:ind w:right="808" w:hanging="458"/>
      </w:pPr>
      <w:r>
        <w:lastRenderedPageBreak/>
        <w:t xml:space="preserve">lack of any connection with or interference with the bankruptcy </w:t>
      </w:r>
      <w:proofErr w:type="gramStart"/>
      <w:r>
        <w:t>case;</w:t>
      </w:r>
      <w:proofErr w:type="gramEnd"/>
      <w:r>
        <w:t xml:space="preserve">  </w:t>
      </w:r>
    </w:p>
    <w:p w14:paraId="76272EC8" w14:textId="77777777" w:rsidR="00B223C1" w:rsidRDefault="00C95DC4">
      <w:pPr>
        <w:numPr>
          <w:ilvl w:val="1"/>
          <w:numId w:val="6"/>
        </w:numPr>
        <w:spacing w:after="252" w:line="259" w:lineRule="auto"/>
        <w:ind w:right="808" w:hanging="458"/>
      </w:pPr>
      <w:r>
        <w:t xml:space="preserve">whether the other proceeding involves the debtor as a </w:t>
      </w:r>
      <w:proofErr w:type="gramStart"/>
      <w:r>
        <w:t>fiduciary;</w:t>
      </w:r>
      <w:proofErr w:type="gramEnd"/>
      <w:r>
        <w:t xml:space="preserve">  </w:t>
      </w:r>
    </w:p>
    <w:p w14:paraId="583AACFC" w14:textId="77777777" w:rsidR="00B223C1" w:rsidRDefault="00C95DC4">
      <w:pPr>
        <w:numPr>
          <w:ilvl w:val="1"/>
          <w:numId w:val="6"/>
        </w:numPr>
        <w:spacing w:line="238" w:lineRule="auto"/>
        <w:ind w:right="808" w:hanging="458"/>
      </w:pPr>
      <w:r>
        <w:t xml:space="preserve">whether a specialized tribunal with the necessary expertise has been established to hear the cause of </w:t>
      </w:r>
      <w:proofErr w:type="gramStart"/>
      <w:r>
        <w:t>action;</w:t>
      </w:r>
      <w:proofErr w:type="gramEnd"/>
      <w:r>
        <w:t xml:space="preserve">  </w:t>
      </w:r>
    </w:p>
    <w:p w14:paraId="5E0B22FA" w14:textId="77777777" w:rsidR="00B223C1" w:rsidRDefault="00C95DC4">
      <w:pPr>
        <w:numPr>
          <w:ilvl w:val="1"/>
          <w:numId w:val="6"/>
        </w:numPr>
        <w:spacing w:after="276" w:line="238" w:lineRule="auto"/>
        <w:ind w:right="808" w:hanging="458"/>
      </w:pPr>
      <w:r>
        <w:t xml:space="preserve">whether the debtor’s insurer has assumed full responsibility for defending </w:t>
      </w:r>
      <w:proofErr w:type="gramStart"/>
      <w:r>
        <w:t>it;</w:t>
      </w:r>
      <w:proofErr w:type="gramEnd"/>
      <w:r>
        <w:t xml:space="preserve">  </w:t>
      </w:r>
    </w:p>
    <w:p w14:paraId="6C49AC15" w14:textId="77777777" w:rsidR="00B223C1" w:rsidRDefault="00C95DC4">
      <w:pPr>
        <w:numPr>
          <w:ilvl w:val="1"/>
          <w:numId w:val="6"/>
        </w:numPr>
        <w:spacing w:after="251" w:line="259" w:lineRule="auto"/>
        <w:ind w:right="808" w:hanging="458"/>
      </w:pPr>
      <w:r>
        <w:t xml:space="preserve">whether the action primarily involves third </w:t>
      </w:r>
      <w:proofErr w:type="gramStart"/>
      <w:r>
        <w:t>parties;</w:t>
      </w:r>
      <w:proofErr w:type="gramEnd"/>
      <w:r>
        <w:t xml:space="preserve">  </w:t>
      </w:r>
    </w:p>
    <w:p w14:paraId="615B849C" w14:textId="77777777" w:rsidR="00B223C1" w:rsidRDefault="00C95DC4">
      <w:pPr>
        <w:numPr>
          <w:ilvl w:val="1"/>
          <w:numId w:val="6"/>
        </w:numPr>
        <w:spacing w:after="276" w:line="238" w:lineRule="auto"/>
        <w:ind w:right="808" w:hanging="458"/>
      </w:pPr>
      <w:r>
        <w:t xml:space="preserve">whether litigation in another forum would prejudice the interests of other </w:t>
      </w:r>
      <w:proofErr w:type="gramStart"/>
      <w:r>
        <w:t>creditors;</w:t>
      </w:r>
      <w:proofErr w:type="gramEnd"/>
      <w:r>
        <w:t xml:space="preserve">  </w:t>
      </w:r>
    </w:p>
    <w:p w14:paraId="0EFB2C91" w14:textId="77777777" w:rsidR="00B223C1" w:rsidRDefault="00C95DC4">
      <w:pPr>
        <w:numPr>
          <w:ilvl w:val="1"/>
          <w:numId w:val="6"/>
        </w:numPr>
        <w:spacing w:after="276" w:line="238" w:lineRule="auto"/>
        <w:ind w:right="808" w:hanging="458"/>
      </w:pPr>
      <w:r w:rsidRPr="006D3EC5">
        <w:rPr>
          <w:highlight w:val="yellow"/>
        </w:rPr>
        <w:t xml:space="preserve">whether the judgment claim arising from the other action is subject to equitable </w:t>
      </w:r>
      <w:proofErr w:type="gramStart"/>
      <w:r w:rsidRPr="006D3EC5">
        <w:rPr>
          <w:highlight w:val="yellow"/>
        </w:rPr>
        <w:t>subordination</w:t>
      </w:r>
      <w:r>
        <w:t>;</w:t>
      </w:r>
      <w:proofErr w:type="gramEnd"/>
      <w:r>
        <w:t xml:space="preserve">  </w:t>
      </w:r>
    </w:p>
    <w:p w14:paraId="54E96CA0" w14:textId="77777777" w:rsidR="00B223C1" w:rsidRDefault="00C95DC4">
      <w:pPr>
        <w:numPr>
          <w:ilvl w:val="1"/>
          <w:numId w:val="6"/>
        </w:numPr>
        <w:spacing w:after="276" w:line="238" w:lineRule="auto"/>
        <w:ind w:right="808" w:hanging="458"/>
      </w:pPr>
      <w:r>
        <w:t xml:space="preserve">whether movant’s success in the other proceeding would result in a judicial </w:t>
      </w:r>
      <w:proofErr w:type="gramStart"/>
      <w:r>
        <w:t>lien</w:t>
      </w:r>
      <w:proofErr w:type="gramEnd"/>
      <w:r>
        <w:t xml:space="preserve"> avoidable by the </w:t>
      </w:r>
      <w:proofErr w:type="gramStart"/>
      <w:r>
        <w:t>debtor;</w:t>
      </w:r>
      <w:proofErr w:type="gramEnd"/>
      <w:r>
        <w:t xml:space="preserve">  </w:t>
      </w:r>
    </w:p>
    <w:p w14:paraId="19F90793" w14:textId="77777777" w:rsidR="00B223C1" w:rsidRDefault="00C95DC4">
      <w:pPr>
        <w:numPr>
          <w:ilvl w:val="1"/>
          <w:numId w:val="6"/>
        </w:numPr>
        <w:spacing w:after="276" w:line="238" w:lineRule="auto"/>
        <w:ind w:right="808" w:hanging="458"/>
      </w:pPr>
      <w:r w:rsidRPr="006D3EC5">
        <w:rPr>
          <w:highlight w:val="yellow"/>
        </w:rPr>
        <w:t xml:space="preserve">the interests of judicial economy and the expeditious and economical resolution of </w:t>
      </w:r>
      <w:proofErr w:type="gramStart"/>
      <w:r w:rsidRPr="006D3EC5">
        <w:rPr>
          <w:highlight w:val="yellow"/>
        </w:rPr>
        <w:t>litigation</w:t>
      </w:r>
      <w:r>
        <w:t>;</w:t>
      </w:r>
      <w:proofErr w:type="gramEnd"/>
      <w:r>
        <w:t xml:space="preserve">  </w:t>
      </w:r>
    </w:p>
    <w:p w14:paraId="01A456E4" w14:textId="77777777" w:rsidR="00B223C1" w:rsidRDefault="00C95DC4">
      <w:pPr>
        <w:numPr>
          <w:ilvl w:val="1"/>
          <w:numId w:val="6"/>
        </w:numPr>
        <w:spacing w:after="276" w:line="238" w:lineRule="auto"/>
        <w:ind w:right="808" w:hanging="458"/>
      </w:pPr>
      <w:r>
        <w:t xml:space="preserve">whether the parties are ready for trial in the other proceeding; and  </w:t>
      </w:r>
    </w:p>
    <w:p w14:paraId="18A61D0E" w14:textId="77777777" w:rsidR="00B223C1" w:rsidRDefault="00C95DC4">
      <w:pPr>
        <w:numPr>
          <w:ilvl w:val="1"/>
          <w:numId w:val="6"/>
        </w:numPr>
        <w:spacing w:after="252" w:line="259" w:lineRule="auto"/>
        <w:ind w:right="808" w:hanging="458"/>
      </w:pPr>
      <w:r w:rsidRPr="006D3EC5">
        <w:rPr>
          <w:highlight w:val="yellow"/>
        </w:rPr>
        <w:t xml:space="preserve">impact of the stay on the parties and the balance of </w:t>
      </w:r>
      <w:proofErr w:type="gramStart"/>
      <w:r w:rsidRPr="006D3EC5">
        <w:rPr>
          <w:highlight w:val="yellow"/>
        </w:rPr>
        <w:t>harms</w:t>
      </w:r>
      <w:proofErr w:type="gramEnd"/>
      <w:r>
        <w:t xml:space="preserve">. </w:t>
      </w:r>
    </w:p>
    <w:p w14:paraId="37B56CB7" w14:textId="77777777" w:rsidR="00B223C1" w:rsidRDefault="00C95DC4">
      <w:pPr>
        <w:spacing w:after="262" w:line="249" w:lineRule="auto"/>
        <w:ind w:left="-5"/>
        <w:jc w:val="left"/>
      </w:pPr>
      <w:r>
        <w:rPr>
          <w:i/>
        </w:rPr>
        <w:t xml:space="preserve">Id.  </w:t>
      </w:r>
    </w:p>
    <w:p w14:paraId="46188A86" w14:textId="77777777" w:rsidR="00B223C1" w:rsidRDefault="00C95DC4">
      <w:pPr>
        <w:numPr>
          <w:ilvl w:val="0"/>
          <w:numId w:val="6"/>
        </w:numPr>
        <w:ind w:firstLine="720"/>
      </w:pPr>
      <w:r>
        <w:t xml:space="preserve">Not </w:t>
      </w:r>
      <w:proofErr w:type="gramStart"/>
      <w:r>
        <w:t>all of</w:t>
      </w:r>
      <w:proofErr w:type="gramEnd"/>
      <w:r>
        <w:t xml:space="preserve"> the factors are relevant in every case</w:t>
      </w:r>
      <w:r>
        <w:rPr>
          <w:i/>
        </w:rPr>
        <w:t>, id.</w:t>
      </w:r>
      <w:r>
        <w:t xml:space="preserve">, and “the Court need not assign equal weight to each factor.” </w:t>
      </w:r>
      <w:r>
        <w:rPr>
          <w:i/>
        </w:rPr>
        <w:t>In re Keene Corp.</w:t>
      </w:r>
      <w:r>
        <w:t>, 171 B.R. 180, 183 (</w:t>
      </w:r>
      <w:proofErr w:type="spellStart"/>
      <w:r>
        <w:t>Bankr</w:t>
      </w:r>
      <w:proofErr w:type="spellEnd"/>
      <w:r>
        <w:t xml:space="preserve">. S.D.N.Y. 1994). “When applying these factors and considering whether to modify the automatic stay, the Court should take into account the particular circumstances of the case and ascertain what is just to the claimants, the debtor and the estate.” </w:t>
      </w:r>
      <w:r>
        <w:rPr>
          <w:i/>
        </w:rPr>
        <w:t xml:space="preserve">Id. </w:t>
      </w:r>
      <w:r>
        <w:t xml:space="preserve">Bankruptcy courts have discretion to determine whether to modify the automatic stay. </w:t>
      </w:r>
      <w:proofErr w:type="spellStart"/>
      <w:r>
        <w:rPr>
          <w:i/>
        </w:rPr>
        <w:t>Sonnax</w:t>
      </w:r>
      <w:proofErr w:type="spellEnd"/>
      <w:r>
        <w:t xml:space="preserve">, 907 F.2d at 1286. </w:t>
      </w:r>
    </w:p>
    <w:p w14:paraId="36871757" w14:textId="77777777" w:rsidR="00B223C1" w:rsidRDefault="00C95DC4">
      <w:pPr>
        <w:numPr>
          <w:ilvl w:val="0"/>
          <w:numId w:val="6"/>
        </w:numPr>
        <w:spacing w:after="3" w:line="265" w:lineRule="auto"/>
        <w:ind w:firstLine="720"/>
      </w:pPr>
      <w:r>
        <w:t xml:space="preserve">The </w:t>
      </w:r>
      <w:proofErr w:type="spellStart"/>
      <w:r>
        <w:rPr>
          <w:i/>
        </w:rPr>
        <w:t>Sonnax</w:t>
      </w:r>
      <w:proofErr w:type="spellEnd"/>
      <w:r>
        <w:rPr>
          <w:i/>
        </w:rPr>
        <w:t xml:space="preserve"> </w:t>
      </w:r>
      <w:r>
        <w:t>factors relevant to the Stay Relief Motions are addressed below.</w:t>
      </w:r>
      <w:r>
        <w:rPr>
          <w:vertAlign w:val="superscript"/>
        </w:rPr>
        <w:footnoteReference w:id="7"/>
      </w:r>
    </w:p>
    <w:p w14:paraId="09DADF50" w14:textId="77777777" w:rsidR="00586325" w:rsidRDefault="00586325" w:rsidP="00586325">
      <w:pPr>
        <w:spacing w:after="3" w:line="265" w:lineRule="auto"/>
        <w:ind w:left="720" w:firstLine="0"/>
      </w:pPr>
    </w:p>
    <w:p w14:paraId="77972437" w14:textId="77777777" w:rsidR="00B223C1" w:rsidRDefault="00C95DC4">
      <w:pPr>
        <w:tabs>
          <w:tab w:val="center" w:pos="2951"/>
        </w:tabs>
        <w:spacing w:after="264" w:line="249" w:lineRule="auto"/>
        <w:ind w:left="-15" w:firstLine="0"/>
        <w:jc w:val="left"/>
      </w:pPr>
      <w:r>
        <w:rPr>
          <w:b/>
        </w:rPr>
        <w:lastRenderedPageBreak/>
        <w:t>II.</w:t>
      </w:r>
      <w:r>
        <w:rPr>
          <w:b/>
        </w:rPr>
        <w:tab/>
        <w:t xml:space="preserve">CAUSE EXISTS TO MODIFY THE STAY  </w:t>
      </w:r>
    </w:p>
    <w:p w14:paraId="7C555A59" w14:textId="77777777" w:rsidR="00B223C1" w:rsidRPr="006D3EC5" w:rsidRDefault="00C95DC4">
      <w:pPr>
        <w:pStyle w:val="Heading2"/>
        <w:ind w:left="1440" w:right="0" w:hanging="720"/>
        <w:rPr>
          <w:highlight w:val="yellow"/>
        </w:rPr>
      </w:pPr>
      <w:proofErr w:type="gramStart"/>
      <w:r>
        <w:t xml:space="preserve">a. </w:t>
      </w:r>
      <w:r w:rsidRPr="006D3EC5">
        <w:rPr>
          <w:highlight w:val="yellow"/>
        </w:rPr>
        <w:t>Relief</w:t>
      </w:r>
      <w:proofErr w:type="gramEnd"/>
      <w:r w:rsidRPr="006D3EC5">
        <w:rPr>
          <w:highlight w:val="yellow"/>
        </w:rPr>
        <w:t xml:space="preserve"> Will Promote the Expedient and Economical Resolution of this Case and Prevent Further Harm to Survivors (</w:t>
      </w:r>
      <w:proofErr w:type="spellStart"/>
      <w:r w:rsidRPr="006D3EC5">
        <w:rPr>
          <w:i/>
          <w:highlight w:val="yellow"/>
        </w:rPr>
        <w:t>Sonnax</w:t>
      </w:r>
      <w:proofErr w:type="spellEnd"/>
      <w:r w:rsidRPr="006D3EC5">
        <w:rPr>
          <w:i/>
          <w:highlight w:val="yellow"/>
        </w:rPr>
        <w:t xml:space="preserve"> </w:t>
      </w:r>
      <w:r w:rsidRPr="006D3EC5">
        <w:rPr>
          <w:highlight w:val="yellow"/>
        </w:rPr>
        <w:t xml:space="preserve">Factors 2, 10 and 12)  </w:t>
      </w:r>
    </w:p>
    <w:p w14:paraId="7177F8A6" w14:textId="77777777" w:rsidR="00B223C1" w:rsidRPr="006D3EC5" w:rsidRDefault="00C95DC4">
      <w:pPr>
        <w:numPr>
          <w:ilvl w:val="0"/>
          <w:numId w:val="7"/>
        </w:numPr>
        <w:ind w:firstLine="720"/>
        <w:rPr>
          <w:highlight w:val="yellow"/>
        </w:rPr>
      </w:pPr>
      <w:proofErr w:type="spellStart"/>
      <w:r w:rsidRPr="006D3EC5">
        <w:rPr>
          <w:i/>
          <w:highlight w:val="yellow"/>
        </w:rPr>
        <w:t>Sonnax</w:t>
      </w:r>
      <w:proofErr w:type="spellEnd"/>
      <w:r w:rsidRPr="006D3EC5">
        <w:rPr>
          <w:highlight w:val="yellow"/>
        </w:rPr>
        <w:t xml:space="preserve"> factors 2, 10 and 12 most significantly bear on whether there is cause to modify the stay to permit the Movants to bring their claims against the Debtor in New York state court. </w:t>
      </w:r>
    </w:p>
    <w:p w14:paraId="228ADCEF" w14:textId="77777777" w:rsidR="00B223C1" w:rsidRDefault="00C95DC4">
      <w:pPr>
        <w:numPr>
          <w:ilvl w:val="0"/>
          <w:numId w:val="7"/>
        </w:numPr>
        <w:ind w:firstLine="720"/>
      </w:pPr>
      <w:proofErr w:type="spellStart"/>
      <w:r w:rsidRPr="006D3EC5">
        <w:rPr>
          <w:i/>
          <w:highlight w:val="yellow"/>
        </w:rPr>
        <w:t>Sonnax</w:t>
      </w:r>
      <w:proofErr w:type="spellEnd"/>
      <w:r w:rsidRPr="006D3EC5">
        <w:rPr>
          <w:i/>
          <w:highlight w:val="yellow"/>
        </w:rPr>
        <w:t xml:space="preserve"> </w:t>
      </w:r>
      <w:r w:rsidRPr="006D3EC5">
        <w:rPr>
          <w:highlight w:val="yellow"/>
        </w:rPr>
        <w:t>factor 12—the impact of the stay and balance of harms—is the most critical. The insurers’ ability to use the automatic stay as a shield from litigation pressure</w:t>
      </w:r>
      <w:r>
        <w:t xml:space="preserve"> is a significant barrier to progress in this case. Unlike the Debtor, which, by filing for bankruptcy, conceded it must use its available assets to resolve survivor claims, the insurers contest their liability resulting from survivor claims. Yet the insurers benefit from the survivors’ inability to liquidate their claims against the Debtor </w:t>
      </w:r>
      <w:proofErr w:type="gramStart"/>
      <w:r>
        <w:t>as a result of</w:t>
      </w:r>
      <w:proofErr w:type="gramEnd"/>
      <w:r>
        <w:t xml:space="preserve"> the stay, providing the insurers with increased bargaining leverage that they would not possess in the state court tort system. With no possibility of an adverse consequence for the insurers in bankruptcy, </w:t>
      </w:r>
      <w:r w:rsidRPr="006D3EC5">
        <w:rPr>
          <w:highlight w:val="yellow"/>
        </w:rPr>
        <w:t>there is no incentive for the insurers to pay fair value to settle the abuse claims. Instead, the insurers are incentivized</w:t>
      </w:r>
      <w:r>
        <w:t xml:space="preserve">—and likely required by obligations to their stakeholders—to wield this power to the detriment of the survivors. Unless survivors are willing to settle for values much below their claims’ fair worth, gridlock ensues. </w:t>
      </w:r>
    </w:p>
    <w:p w14:paraId="444A9491" w14:textId="77777777" w:rsidR="00B223C1" w:rsidRDefault="00C95DC4">
      <w:pPr>
        <w:numPr>
          <w:ilvl w:val="0"/>
          <w:numId w:val="7"/>
        </w:numPr>
        <w:ind w:firstLine="720"/>
      </w:pPr>
      <w:r>
        <w:t xml:space="preserve">The insurers’ misuse of the automatic stay significantly harms survivors. The automatic stay restricts survivors to the bankruptcy forum, which affords the insurers unequal bargaining power in negotiations, and forces survivors to wade through the morass of bankruptcy process and procedure, watch time pass by, and sit on the sidelines as the insurers attack the validity of their claims. These real harms are directly traceable to the insurers’ almost exclusive enjoyment of the automatic stay. And, unfortunately, these harms compound the damage that has already been done to survivors. </w:t>
      </w:r>
    </w:p>
    <w:p w14:paraId="7C324D0C" w14:textId="77777777" w:rsidR="00B223C1" w:rsidRDefault="00C95DC4">
      <w:pPr>
        <w:numPr>
          <w:ilvl w:val="0"/>
          <w:numId w:val="7"/>
        </w:numPr>
        <w:spacing w:after="255" w:line="259" w:lineRule="auto"/>
        <w:ind w:firstLine="720"/>
      </w:pPr>
      <w:r>
        <w:lastRenderedPageBreak/>
        <w:t xml:space="preserve">The harm done to survivors by a bankruptcy filing is amplified considering New </w:t>
      </w:r>
    </w:p>
    <w:p w14:paraId="30C2C56A" w14:textId="77777777" w:rsidR="00B223C1" w:rsidRDefault="00C95DC4">
      <w:pPr>
        <w:ind w:left="-5"/>
      </w:pPr>
      <w:r>
        <w:t xml:space="preserve">York’s strong public policy of protecting children </w:t>
      </w:r>
      <w:proofErr w:type="gramStart"/>
      <w:r>
        <w:t>and,</w:t>
      </w:r>
      <w:proofErr w:type="gramEnd"/>
      <w:r>
        <w:t xml:space="preserve"> as evidenced by the passage of the Child Victim’s Act, allowing those already harmed to have the right </w:t>
      </w:r>
      <w:r>
        <w:rPr>
          <w:i/>
        </w:rPr>
        <w:t>to seek redress in the state court system</w:t>
      </w:r>
      <w:r>
        <w:t xml:space="preserve">. As the U.S. Supreme Court has explained, the “sexual abuse of a child is a most serious crime and an act repugnant to the moral instincts of a decent people.”  </w:t>
      </w:r>
      <w:r>
        <w:rPr>
          <w:i/>
        </w:rPr>
        <w:t>Ashcroft v. Free Speech Coal.</w:t>
      </w:r>
      <w:r>
        <w:t xml:space="preserve">, 535 U.S. 234, 244 (2002).  Specific to the childhood sexual abuse context, “there can be no real dispute that the controversy over the misconduct of priests, as well as the Church’s responsibility for the misconduct and its alleged cover-up, is a ‘public controversy.’” </w:t>
      </w:r>
      <w:r>
        <w:rPr>
          <w:i/>
        </w:rPr>
        <w:t xml:space="preserve">New Life Ctr., Inc. v. </w:t>
      </w:r>
      <w:proofErr w:type="spellStart"/>
      <w:r>
        <w:rPr>
          <w:i/>
        </w:rPr>
        <w:t>Fessio</w:t>
      </w:r>
      <w:proofErr w:type="spellEnd"/>
      <w:r>
        <w:t xml:space="preserve">, 2000 WL 1157800, at *4 (4th Cir. Aug. 16, 2000). Unfortunately, the automatic stay prohibits survivors from seeking full redress from insurance companies that have not even filed for bankruptcy, countervailing undisputable public policy to the contrary. </w:t>
      </w:r>
    </w:p>
    <w:p w14:paraId="3B1C3752" w14:textId="77777777" w:rsidR="00B223C1" w:rsidRDefault="00C95DC4">
      <w:pPr>
        <w:numPr>
          <w:ilvl w:val="0"/>
          <w:numId w:val="7"/>
        </w:numPr>
        <w:spacing w:after="273"/>
        <w:ind w:firstLine="720"/>
      </w:pPr>
      <w:r>
        <w:t xml:space="preserve">Modifying the stay to allow the Movants to proceed will begin to balance the </w:t>
      </w:r>
      <w:proofErr w:type="gramStart"/>
      <w:r>
        <w:t>harms</w:t>
      </w:r>
      <w:proofErr w:type="gramEnd"/>
      <w:r>
        <w:t xml:space="preserve"> that all survivors suffer </w:t>
      </w:r>
      <w:proofErr w:type="gramStart"/>
      <w:r>
        <w:t>as a result of</w:t>
      </w:r>
      <w:proofErr w:type="gramEnd"/>
      <w:r>
        <w:t xml:space="preserve"> the automatic stay. The Stay Relief Insurers will have to engage in good faith as the Movant’s claims move forward to judgment or risk the consequences of failing to do so.</w:t>
      </w:r>
      <w:r>
        <w:rPr>
          <w:vertAlign w:val="superscript"/>
        </w:rPr>
        <w:footnoteReference w:id="8"/>
      </w:r>
      <w:r>
        <w:t xml:space="preserve"> Similarly, an adjudicated or settled determination of the Movants’ claims will aid the parties’ efforts in resolving the insurers’ exposure as to the remaining survivor claims.</w:t>
      </w:r>
      <w:r>
        <w:rPr>
          <w:vertAlign w:val="superscript"/>
        </w:rPr>
        <w:t>10</w:t>
      </w:r>
    </w:p>
    <w:p w14:paraId="44830707" w14:textId="77777777" w:rsidR="00B223C1" w:rsidRDefault="00C95DC4">
      <w:pPr>
        <w:spacing w:after="300" w:line="259" w:lineRule="auto"/>
        <w:ind w:left="-5"/>
      </w:pPr>
      <w:r>
        <w:lastRenderedPageBreak/>
        <w:t>The Debtor will likewise benefit from balanced negotiating leverage.</w:t>
      </w:r>
      <w:r>
        <w:rPr>
          <w:vertAlign w:val="superscript"/>
        </w:rPr>
        <w:footnoteReference w:id="9"/>
      </w:r>
    </w:p>
    <w:p w14:paraId="71B160E5" w14:textId="77777777" w:rsidR="00B223C1" w:rsidRDefault="00C95DC4">
      <w:pPr>
        <w:numPr>
          <w:ilvl w:val="0"/>
          <w:numId w:val="7"/>
        </w:numPr>
        <w:spacing w:after="590"/>
        <w:ind w:firstLine="720"/>
      </w:pPr>
      <w:proofErr w:type="spellStart"/>
      <w:r>
        <w:rPr>
          <w:i/>
        </w:rPr>
        <w:t>Sonnax</w:t>
      </w:r>
      <w:proofErr w:type="spellEnd"/>
      <w:r>
        <w:rPr>
          <w:i/>
        </w:rPr>
        <w:t xml:space="preserve"> </w:t>
      </w:r>
      <w:r>
        <w:t>factor 10—</w:t>
      </w:r>
      <w:r w:rsidRPr="006D3EC5">
        <w:rPr>
          <w:highlight w:val="yellow"/>
        </w:rPr>
        <w:t>the interests of judicial economy and the expeditious and economical resolution of litigation—similarly weighs in favor of modifying the stay</w:t>
      </w:r>
      <w:r>
        <w:t>. The length and expense of Diocesan bankruptcies is trending in the wrong direction to the detriment of both survivors and dioceses, while benefitting insurers. Bankruptcy courts and higher courts are being inundated with filings from insurers designed to maintain the leverage and prolong cases. The only way to avoid that fate in this case is to allow survivors to proceed in the New York court system now. A wait and see approach will only delay this case, resulting in wasted resources and more damage to survivors.</w:t>
      </w:r>
      <w:r>
        <w:rPr>
          <w:vertAlign w:val="superscript"/>
        </w:rPr>
        <w:footnoteReference w:id="10"/>
      </w:r>
      <w:r>
        <w:t xml:space="preserve"> As described above, action is needed to equalize the incentives for </w:t>
      </w:r>
    </w:p>
    <w:p w14:paraId="3CDF2ABA" w14:textId="77777777" w:rsidR="00B223C1" w:rsidRDefault="00C95DC4">
      <w:pPr>
        <w:spacing w:after="188" w:line="243" w:lineRule="auto"/>
        <w:ind w:left="-5" w:right="-11"/>
      </w:pPr>
      <w:r>
        <w:rPr>
          <w:sz w:val="22"/>
          <w:vertAlign w:val="superscript"/>
        </w:rPr>
        <w:t xml:space="preserve">10 </w:t>
      </w:r>
      <w:r>
        <w:rPr>
          <w:i/>
          <w:sz w:val="22"/>
        </w:rPr>
        <w:t>In re PG&amp;E Corp.</w:t>
      </w:r>
      <w:r>
        <w:rPr>
          <w:sz w:val="22"/>
        </w:rPr>
        <w:t xml:space="preserve"> 2019 WL 3889247, at *2 (</w:t>
      </w:r>
      <w:proofErr w:type="spellStart"/>
      <w:r>
        <w:rPr>
          <w:sz w:val="22"/>
        </w:rPr>
        <w:t>Bankr</w:t>
      </w:r>
      <w:proofErr w:type="spellEnd"/>
      <w:r>
        <w:rPr>
          <w:sz w:val="22"/>
        </w:rPr>
        <w:t xml:space="preserve">. N.D. Cal. Aug. 16, 2019) (“First, relief from stay will definitively bring a resolution as to Debtors’ liability in the [named wildfire], </w:t>
      </w:r>
      <w:r w:rsidRPr="006D3EC5">
        <w:rPr>
          <w:sz w:val="22"/>
          <w:highlight w:val="yellow"/>
        </w:rPr>
        <w:t>and provide an important data point that most likely will facilitate resolution of the wildfire tort claims in this case.”);</w:t>
      </w:r>
      <w:r>
        <w:rPr>
          <w:sz w:val="22"/>
        </w:rPr>
        <w:t xml:space="preserve"> </w:t>
      </w:r>
      <w:r>
        <w:rPr>
          <w:i/>
          <w:sz w:val="22"/>
        </w:rPr>
        <w:t>See, e.g.</w:t>
      </w:r>
      <w:r>
        <w:rPr>
          <w:sz w:val="22"/>
        </w:rPr>
        <w:t xml:space="preserve">, Jonathan L. Goldberg, Note, </w:t>
      </w:r>
      <w:r>
        <w:rPr>
          <w:i/>
          <w:sz w:val="22"/>
        </w:rPr>
        <w:t>"Otherwise Consistent": A Due Process Framework for Mass-Tort Bankruptcies</w:t>
      </w:r>
      <w:r>
        <w:rPr>
          <w:sz w:val="22"/>
        </w:rPr>
        <w:t xml:space="preserve">, 98 N.Y.U. L. REV. 1696, 1748 (2023) (citing Sergio Campos &amp; Samir D. Parikh, </w:t>
      </w:r>
      <w:r>
        <w:rPr>
          <w:i/>
          <w:sz w:val="22"/>
        </w:rPr>
        <w:t>Due Process Alignment in Mass Restructurings</w:t>
      </w:r>
      <w:r>
        <w:rPr>
          <w:sz w:val="22"/>
        </w:rPr>
        <w:t>, 91 F</w:t>
      </w:r>
      <w:r>
        <w:rPr>
          <w:sz w:val="18"/>
        </w:rPr>
        <w:t xml:space="preserve">ORDHAM </w:t>
      </w:r>
      <w:r>
        <w:rPr>
          <w:sz w:val="22"/>
        </w:rPr>
        <w:t>L. R</w:t>
      </w:r>
      <w:r>
        <w:rPr>
          <w:sz w:val="18"/>
        </w:rPr>
        <w:t>EV</w:t>
      </w:r>
      <w:r>
        <w:rPr>
          <w:sz w:val="22"/>
        </w:rPr>
        <w:t xml:space="preserve">. 325, 357-58 (2022)). </w:t>
      </w:r>
    </w:p>
    <w:p w14:paraId="5876ED06" w14:textId="77777777" w:rsidR="00B223C1" w:rsidRDefault="00C95DC4">
      <w:pPr>
        <w:spacing w:after="53"/>
        <w:ind w:left="-5"/>
      </w:pPr>
      <w:r>
        <w:lastRenderedPageBreak/>
        <w:t xml:space="preserve">settlement. </w:t>
      </w:r>
      <w:proofErr w:type="gramStart"/>
      <w:r>
        <w:t>The Stay</w:t>
      </w:r>
      <w:proofErr w:type="gramEnd"/>
      <w:r>
        <w:t xml:space="preserve"> Relief Motions offer the Court an opportunity to be proactive and mitigate the tremendous cost of the status quo and further delay.</w:t>
      </w:r>
      <w:r>
        <w:rPr>
          <w:vertAlign w:val="superscript"/>
        </w:rPr>
        <w:t>13</w:t>
      </w:r>
    </w:p>
    <w:p w14:paraId="656FD5A5" w14:textId="77777777" w:rsidR="00B223C1" w:rsidRDefault="00C95DC4">
      <w:pPr>
        <w:numPr>
          <w:ilvl w:val="0"/>
          <w:numId w:val="8"/>
        </w:numPr>
        <w:ind w:firstLine="720"/>
      </w:pPr>
      <w:r>
        <w:t xml:space="preserve">Relatedly, </w:t>
      </w:r>
      <w:proofErr w:type="spellStart"/>
      <w:r>
        <w:rPr>
          <w:i/>
        </w:rPr>
        <w:t>Sonnax</w:t>
      </w:r>
      <w:proofErr w:type="spellEnd"/>
      <w:r>
        <w:rPr>
          <w:i/>
        </w:rPr>
        <w:t xml:space="preserve"> </w:t>
      </w:r>
      <w:r>
        <w:t>factor 2—lack of any connection with or interference with the bankruptcy case—also weighs in favor of relief. The relief sought will not “interfere” with the bankruptcy case.</w:t>
      </w:r>
      <w:r>
        <w:rPr>
          <w:vertAlign w:val="superscript"/>
        </w:rPr>
        <w:t>14</w:t>
      </w:r>
      <w:r>
        <w:t xml:space="preserve"> The continued litigation of the claims filed by the Movants prior to the bankruptcy in New York state court is precisely what will promote progress in the bankruptcy case for the reasons detailed above. </w:t>
      </w:r>
    </w:p>
    <w:p w14:paraId="0E640C50" w14:textId="77777777" w:rsidR="00B223C1" w:rsidRDefault="00C95DC4">
      <w:pPr>
        <w:numPr>
          <w:ilvl w:val="0"/>
          <w:numId w:val="8"/>
        </w:numPr>
        <w:spacing w:after="495"/>
        <w:ind w:firstLine="720"/>
      </w:pPr>
      <w:r w:rsidRPr="006D3EC5">
        <w:rPr>
          <w:highlight w:val="yellow"/>
        </w:rPr>
        <w:t xml:space="preserve">Importantly, the Movants seek only limited relief, </w:t>
      </w:r>
      <w:proofErr w:type="gramStart"/>
      <w:r w:rsidRPr="006D3EC5">
        <w:rPr>
          <w:highlight w:val="yellow"/>
        </w:rPr>
        <w:t>namely</w:t>
      </w:r>
      <w:proofErr w:type="gramEnd"/>
      <w:r w:rsidRPr="006D3EC5">
        <w:rPr>
          <w:highlight w:val="yellow"/>
        </w:rPr>
        <w:t xml:space="preserve"> to obtain, </w:t>
      </w:r>
      <w:r w:rsidRPr="006D3EC5">
        <w:rPr>
          <w:i/>
          <w:highlight w:val="yellow"/>
        </w:rPr>
        <w:t>but not enforce</w:t>
      </w:r>
      <w:r w:rsidRPr="006D3EC5">
        <w:rPr>
          <w:highlight w:val="yellow"/>
        </w:rPr>
        <w:t>, judgements against the Debtor.</w:t>
      </w:r>
      <w:r>
        <w:t xml:space="preserve"> Additionally, given the fact that Hartford has an obligation to pay the Debtor’s defense costs, the Debtor’s estate will not be diminished. Moreover, the Debtor has experienced bankruptcy counsel and special litigation counsel </w:t>
      </w:r>
      <w:r w:rsidRPr="006D3EC5">
        <w:rPr>
          <w:highlight w:val="yellow"/>
        </w:rPr>
        <w:t>capable of administering the Debtor’s bankruptcy case while simultaneously attending to the defense of a limited subset of survivor claims should they so choose</w:t>
      </w:r>
      <w:r>
        <w:t>. The Debtor’s ability to handle a dual-track approach is reflected in its defense of the St. Claire pensioners’ claims, which the Debtor is litigating in state court while mediating at the same time in the bankruptcy case.</w:t>
      </w:r>
      <w:r>
        <w:rPr>
          <w:vertAlign w:val="superscript"/>
        </w:rPr>
        <w:t>15</w:t>
      </w:r>
      <w:r>
        <w:t xml:space="preserve"> If the stay relief cases lead to a global resolution, the Debtor will avoid further litigation costs associated with the gridlock </w:t>
      </w:r>
    </w:p>
    <w:p w14:paraId="2F3905B9" w14:textId="77777777" w:rsidR="00B223C1" w:rsidRDefault="00C95DC4">
      <w:pPr>
        <w:spacing w:after="111" w:line="259" w:lineRule="auto"/>
        <w:ind w:left="0" w:firstLine="0"/>
        <w:jc w:val="left"/>
      </w:pPr>
      <w:r>
        <w:rPr>
          <w:rFonts w:ascii="Calibri" w:eastAsia="Calibri" w:hAnsi="Calibri" w:cs="Calibri"/>
          <w:noProof/>
          <w:sz w:val="22"/>
        </w:rPr>
        <mc:AlternateContent>
          <mc:Choice Requires="wpg">
            <w:drawing>
              <wp:inline distT="0" distB="0" distL="0" distR="0" wp14:anchorId="78F261DC" wp14:editId="05A12B3D">
                <wp:extent cx="1828800" cy="7620"/>
                <wp:effectExtent l="0" t="0" r="0" b="0"/>
                <wp:docPr id="12761" name="Group 12761"/>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3939" name="Shape 1393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BDDB8C" id="Group 12761"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">
                <v:shape id="Shape 13939"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" path="m,l1828800,r,9144l,9144,,e" fillcolor="black" stroked="f" strokeweight="0">
                  <v:stroke miterlimit="83231f" joinstyle="miter"/>
                  <v:path arrowok="t" textboxrect="0,0,1828800,9144"/>
                </v:shape>
                <w10:anchorlock/>
              </v:group>
            </w:pict>
          </mc:Fallback>
        </mc:AlternateContent>
      </w:r>
    </w:p>
    <w:p w14:paraId="399D4793" w14:textId="77777777" w:rsidR="00B223C1" w:rsidRDefault="00C95DC4">
      <w:pPr>
        <w:spacing w:after="188" w:line="243" w:lineRule="auto"/>
        <w:ind w:left="-5" w:right="-11"/>
      </w:pPr>
      <w:r>
        <w:rPr>
          <w:sz w:val="22"/>
        </w:rPr>
        <w:t xml:space="preserve">And, the Abuse Survivors are entitled to have juries hear their cases—an option rarely available in bankruptcy courts.”). </w:t>
      </w:r>
    </w:p>
    <w:p w14:paraId="61CFA32C" w14:textId="77777777" w:rsidR="00B223C1" w:rsidRDefault="00C95DC4">
      <w:pPr>
        <w:numPr>
          <w:ilvl w:val="0"/>
          <w:numId w:val="9"/>
        </w:numPr>
        <w:spacing w:after="188" w:line="243" w:lineRule="auto"/>
        <w:ind w:right="-11"/>
      </w:pPr>
      <w:r>
        <w:rPr>
          <w:sz w:val="22"/>
        </w:rPr>
        <w:t>S</w:t>
      </w:r>
      <w:r>
        <w:rPr>
          <w:i/>
          <w:sz w:val="22"/>
        </w:rPr>
        <w:t>ee In re 950 Meat &amp; Grocery Corp.</w:t>
      </w:r>
      <w:r>
        <w:rPr>
          <w:sz w:val="22"/>
        </w:rPr>
        <w:t>, 617 B.R. 224, 228-29 (</w:t>
      </w:r>
      <w:proofErr w:type="spellStart"/>
      <w:r>
        <w:rPr>
          <w:sz w:val="22"/>
        </w:rPr>
        <w:t>Bankr</w:t>
      </w:r>
      <w:proofErr w:type="spellEnd"/>
      <w:r>
        <w:rPr>
          <w:sz w:val="22"/>
        </w:rPr>
        <w:t xml:space="preserve">. S.D.N.Y. 2020) (“the continuation of the State Court Action, where all parties are present and all claims have been asserted, will promote the interests of judicial economy and the expeditious and economical resolution of the litigation”). </w:t>
      </w:r>
    </w:p>
    <w:p w14:paraId="75B3C7D7" w14:textId="77777777" w:rsidR="00B223C1" w:rsidRDefault="00C95DC4">
      <w:pPr>
        <w:numPr>
          <w:ilvl w:val="0"/>
          <w:numId w:val="9"/>
        </w:numPr>
        <w:spacing w:after="188" w:line="243" w:lineRule="auto"/>
        <w:ind w:right="-11"/>
      </w:pPr>
      <w:r>
        <w:rPr>
          <w:i/>
          <w:sz w:val="22"/>
        </w:rPr>
        <w:t>PG&amp;E Corp.</w:t>
      </w:r>
      <w:r>
        <w:rPr>
          <w:sz w:val="22"/>
        </w:rPr>
        <w:t xml:space="preserve">, 2019 WL 3889247, at *2 (holding that state court litigation “may proceed on a parallel track” to the bankruptcy case). </w:t>
      </w:r>
    </w:p>
    <w:p w14:paraId="0D0682C9" w14:textId="77777777" w:rsidR="00B223C1" w:rsidRDefault="00C95DC4">
      <w:pPr>
        <w:numPr>
          <w:ilvl w:val="0"/>
          <w:numId w:val="9"/>
        </w:numPr>
        <w:spacing w:after="0" w:line="288" w:lineRule="auto"/>
        <w:ind w:right="-11"/>
      </w:pPr>
      <w:r>
        <w:rPr>
          <w:i/>
          <w:sz w:val="22"/>
        </w:rPr>
        <w:t xml:space="preserve">See Order Pursuant to 11 U.S.C. § 362(d) Granting Relief from the Automatic Stay Imposed by 11 U.S.C. § 362(a) </w:t>
      </w:r>
      <w:r>
        <w:rPr>
          <w:sz w:val="22"/>
        </w:rPr>
        <w:t>[</w:t>
      </w:r>
      <w:proofErr w:type="spellStart"/>
      <w:r>
        <w:rPr>
          <w:sz w:val="22"/>
        </w:rPr>
        <w:t>Dkt</w:t>
      </w:r>
      <w:proofErr w:type="spellEnd"/>
      <w:r>
        <w:rPr>
          <w:sz w:val="22"/>
        </w:rPr>
        <w:t xml:space="preserve">. No. 265] and Mediation Order.  </w:t>
      </w:r>
    </w:p>
    <w:p w14:paraId="4DD42047" w14:textId="77777777" w:rsidR="00B223C1" w:rsidRDefault="00C95DC4">
      <w:pPr>
        <w:ind w:left="-5"/>
      </w:pPr>
      <w:r>
        <w:lastRenderedPageBreak/>
        <w:t xml:space="preserve">imposed by the insurers which has—and will continue to—prolong the litigation of this bankruptcy case.  </w:t>
      </w:r>
    </w:p>
    <w:p w14:paraId="5DE713AA" w14:textId="77777777" w:rsidR="00B223C1" w:rsidRDefault="00C95DC4">
      <w:pPr>
        <w:pStyle w:val="Heading2"/>
        <w:ind w:left="1440" w:right="0" w:hanging="720"/>
      </w:pPr>
      <w:r>
        <w:t>b.  The Survivor Claims Will Be Adjudicated by a Court System Designed for that Express Purpose (</w:t>
      </w:r>
      <w:proofErr w:type="spellStart"/>
      <w:r>
        <w:rPr>
          <w:i/>
        </w:rPr>
        <w:t>Sonnax</w:t>
      </w:r>
      <w:proofErr w:type="spellEnd"/>
      <w:r>
        <w:rPr>
          <w:i/>
        </w:rPr>
        <w:t xml:space="preserve"> </w:t>
      </w:r>
      <w:r>
        <w:t xml:space="preserve">Factors 1, 4, and 11) </w:t>
      </w:r>
    </w:p>
    <w:p w14:paraId="04EA52BA" w14:textId="77777777" w:rsidR="00B223C1" w:rsidRDefault="00C95DC4">
      <w:pPr>
        <w:numPr>
          <w:ilvl w:val="0"/>
          <w:numId w:val="10"/>
        </w:numPr>
        <w:spacing w:after="33"/>
        <w:ind w:firstLine="720"/>
      </w:pPr>
      <w:proofErr w:type="spellStart"/>
      <w:r>
        <w:rPr>
          <w:i/>
        </w:rPr>
        <w:t>Sonnax</w:t>
      </w:r>
      <w:proofErr w:type="spellEnd"/>
      <w:r>
        <w:rPr>
          <w:i/>
        </w:rPr>
        <w:t xml:space="preserve"> </w:t>
      </w:r>
      <w:r>
        <w:t>factor 4—</w:t>
      </w:r>
      <w:r w:rsidRPr="006D3EC5">
        <w:rPr>
          <w:highlight w:val="yellow"/>
        </w:rPr>
        <w:t>whether a specialized tribunal with the necessary expertise has been established to hear the cause of action—clearly weighs in favor of relief. The New York state court system is the most appropriate forum to adjudicate the Movants’ claims</w:t>
      </w:r>
      <w:r>
        <w:t>. In addition to New York courts’ familiarity with the New York law giving rise to the Movants’ claims, the New York state court system has been explicitly organized to handle actions initiated under the Child Victim’s Act.</w:t>
      </w:r>
      <w:r>
        <w:rPr>
          <w:vertAlign w:val="superscript"/>
        </w:rPr>
        <w:footnoteReference w:id="11"/>
      </w:r>
      <w:r>
        <w:t xml:space="preserve"> Prior to the implementation of the Child Victim’s Act, New York state courts implemented procedures for the efficient and expeditious consideration of survivor claims, including: the assignment of all CVA cases to “dedicated part(s) of Supreme Court in each Judicial District”; mandated training in “subjects related to sexual assault and the sexual abuse of minors”, organization of judicial hearing officers, referees, and ADR neutrals to oversee survivors’ cases; and a recommended pre-trial schedule for survivor cases.</w:t>
      </w:r>
      <w:r>
        <w:rPr>
          <w:vertAlign w:val="superscript"/>
        </w:rPr>
        <w:footnoteReference w:id="12"/>
      </w:r>
      <w:r>
        <w:t xml:space="preserve"> </w:t>
      </w:r>
      <w:r w:rsidRPr="006D3EC5">
        <w:rPr>
          <w:highlight w:val="yellow"/>
        </w:rPr>
        <w:t>The proposed schedule provides for the expeditious resolution of survivor cases: one year to complete discovery, ninety days to file dispositive motions after the completion of discovery, and trial within sixty days of note of issue or decision on dispositive motions</w:t>
      </w:r>
      <w:r>
        <w:t>.</w:t>
      </w:r>
      <w:r>
        <w:rPr>
          <w:vertAlign w:val="superscript"/>
        </w:rPr>
        <w:footnoteReference w:id="13"/>
      </w:r>
      <w:r>
        <w:t xml:space="preserve"> Moreover, since the inception of the Child Victim’s Act in </w:t>
      </w:r>
    </w:p>
    <w:p w14:paraId="2C74679D" w14:textId="77777777" w:rsidR="00B223C1" w:rsidRDefault="00C95DC4">
      <w:pPr>
        <w:ind w:left="-5"/>
      </w:pPr>
      <w:r>
        <w:t xml:space="preserve">2019, the State Court system has had the opportunity to manage cases brought under the Child Victim’s Act, lending to familiarity with their efficient adjudication.  </w:t>
      </w:r>
    </w:p>
    <w:p w14:paraId="08B7B4CD" w14:textId="77777777" w:rsidR="00B223C1" w:rsidRDefault="00C95DC4">
      <w:pPr>
        <w:numPr>
          <w:ilvl w:val="0"/>
          <w:numId w:val="10"/>
        </w:numPr>
        <w:spacing w:after="32"/>
        <w:ind w:firstLine="720"/>
      </w:pPr>
      <w:proofErr w:type="spellStart"/>
      <w:r>
        <w:rPr>
          <w:i/>
        </w:rPr>
        <w:lastRenderedPageBreak/>
        <w:t>Sonnax</w:t>
      </w:r>
      <w:proofErr w:type="spellEnd"/>
      <w:r>
        <w:rPr>
          <w:i/>
        </w:rPr>
        <w:t xml:space="preserve"> </w:t>
      </w:r>
      <w:r>
        <w:t xml:space="preserve">factor 1—whether relief would result in a partial or complete resolution of the issues—and </w:t>
      </w:r>
      <w:proofErr w:type="spellStart"/>
      <w:r>
        <w:rPr>
          <w:i/>
        </w:rPr>
        <w:t>Sonnax</w:t>
      </w:r>
      <w:proofErr w:type="spellEnd"/>
      <w:r>
        <w:rPr>
          <w:i/>
        </w:rPr>
        <w:t xml:space="preserve"> </w:t>
      </w:r>
      <w:r>
        <w:t>factor 11—whether the parties are ready for trial in the other proceeding— likewise weigh in favor of relief because the Movants are seeking to litigate their claims to conclusion, which New York state courts will be able to completely resolve via a system designed to move cases quickly to trial.</w:t>
      </w:r>
      <w:r>
        <w:rPr>
          <w:vertAlign w:val="superscript"/>
        </w:rPr>
        <w:footnoteReference w:id="14"/>
      </w:r>
      <w:r>
        <w:t xml:space="preserve"> Moreover, litigation of the Movants’ cases will proceed swiftly in light of the significant discovery that occurred prior to the Debtor’s bankruptcy filing. First, in 2021, the Debtor was ordered to produce the files of priests included on the Debtor’s list of clergy credibly accused of sexual misconduct.</w:t>
      </w:r>
      <w:r>
        <w:rPr>
          <w:vertAlign w:val="superscript"/>
        </w:rPr>
        <w:footnoteReference w:id="15"/>
      </w:r>
      <w:r>
        <w:t xml:space="preserve"> Second, also in 2021, attorneys for hundreds of survivors took the deposition of Diocese of Albany Bishop Howard Hubbard—who led the Debtor from 1977 to 2014—over the course of four days and stipulated with attorneys for the Debtor that such testimony was to be used as substantive evidence in discovery and at trial.</w:t>
      </w:r>
      <w:r>
        <w:rPr>
          <w:vertAlign w:val="superscript"/>
        </w:rPr>
        <w:footnoteReference w:id="16"/>
      </w:r>
      <w:r>
        <w:t xml:space="preserve"> Consequently, the </w:t>
      </w:r>
    </w:p>
    <w:p w14:paraId="0A9FC9E2" w14:textId="77777777" w:rsidR="00B223C1" w:rsidRDefault="00C95DC4">
      <w:pPr>
        <w:spacing w:after="256" w:line="259" w:lineRule="auto"/>
        <w:ind w:left="-5"/>
      </w:pPr>
      <w:r>
        <w:t xml:space="preserve">Movants are well-equipped to litigate their cases to conclusion expeditiously. </w:t>
      </w:r>
    </w:p>
    <w:p w14:paraId="2F10996D" w14:textId="77777777" w:rsidR="00B223C1" w:rsidRDefault="00C95DC4">
      <w:pPr>
        <w:pStyle w:val="Heading2"/>
        <w:tabs>
          <w:tab w:val="center" w:pos="803"/>
          <w:tab w:val="center" w:pos="4546"/>
        </w:tabs>
        <w:ind w:left="0" w:right="0" w:firstLine="0"/>
      </w:pPr>
      <w:r>
        <w:rPr>
          <w:rFonts w:ascii="Calibri" w:eastAsia="Calibri" w:hAnsi="Calibri" w:cs="Calibri"/>
          <w:b w:val="0"/>
          <w:sz w:val="22"/>
        </w:rPr>
        <w:tab/>
      </w:r>
      <w:r>
        <w:t>c</w:t>
      </w:r>
      <w:proofErr w:type="gramStart"/>
      <w:r>
        <w:t xml:space="preserve">.  </w:t>
      </w:r>
      <w:r>
        <w:tab/>
      </w:r>
      <w:proofErr w:type="gramEnd"/>
      <w:r>
        <w:t>Relief Will Not Prejudice Other Survivors (</w:t>
      </w:r>
      <w:proofErr w:type="spellStart"/>
      <w:r>
        <w:rPr>
          <w:i/>
        </w:rPr>
        <w:t>Sonnax</w:t>
      </w:r>
      <w:proofErr w:type="spellEnd"/>
      <w:r>
        <w:rPr>
          <w:i/>
        </w:rPr>
        <w:t xml:space="preserve"> </w:t>
      </w:r>
      <w:r>
        <w:t xml:space="preserve">Factor 7)  </w:t>
      </w:r>
    </w:p>
    <w:p w14:paraId="2ADAB886" w14:textId="77777777" w:rsidR="00B223C1" w:rsidRDefault="00C95DC4">
      <w:pPr>
        <w:ind w:left="-15" w:firstLine="720"/>
      </w:pPr>
      <w:r>
        <w:t xml:space="preserve">37. </w:t>
      </w:r>
      <w:proofErr w:type="spellStart"/>
      <w:r>
        <w:rPr>
          <w:i/>
        </w:rPr>
        <w:t>Sonnax</w:t>
      </w:r>
      <w:proofErr w:type="spellEnd"/>
      <w:r>
        <w:rPr>
          <w:i/>
        </w:rPr>
        <w:t xml:space="preserve"> </w:t>
      </w:r>
      <w:r>
        <w:t xml:space="preserve">factor 7—whether the relief will prejudice other survivors—indisputably weighs in favor of relief. The Movants are not seeking to collect on any judgment they may obtain against the Debtor to the detriment of other survivors, and thus there is no prejudice </w:t>
      </w:r>
      <w:proofErr w:type="gramStart"/>
      <w:r>
        <w:t>to</w:t>
      </w:r>
      <w:proofErr w:type="gramEnd"/>
      <w:r>
        <w:t xml:space="preserve"> other </w:t>
      </w:r>
      <w:r>
        <w:lastRenderedPageBreak/>
        <w:t>survivor creditors.</w:t>
      </w:r>
      <w:r>
        <w:rPr>
          <w:vertAlign w:val="superscript"/>
        </w:rPr>
        <w:footnoteReference w:id="17"/>
      </w:r>
      <w:r>
        <w:t xml:space="preserve"> To the contrary, the Movants are </w:t>
      </w:r>
      <w:proofErr w:type="gramStart"/>
      <w:r>
        <w:t>taking action</w:t>
      </w:r>
      <w:proofErr w:type="gramEnd"/>
      <w:r>
        <w:t xml:space="preserve"> designed to promote progress in the bankruptcy proceeding for the benefit of all survivors. Lifting the automatic stay to permit the stay relief cases to move forward will drive resolution of this case, including with the insurers. </w:t>
      </w:r>
    </w:p>
    <w:p w14:paraId="23E5C2ED" w14:textId="77777777" w:rsidR="00B223C1" w:rsidRDefault="00C95DC4">
      <w:pPr>
        <w:ind w:left="-5"/>
      </w:pPr>
      <w:r>
        <w:t xml:space="preserve">Moreover, given the Debtor’s desire for a global resolution, non-survivor creditors, including the St. Clare’s pensioners should they establish their claims, will also benefit from any action that leads to progress between the survivors and the insurers. </w:t>
      </w:r>
    </w:p>
    <w:p w14:paraId="4073B432" w14:textId="77777777" w:rsidR="00B223C1" w:rsidRDefault="00C95DC4">
      <w:pPr>
        <w:pStyle w:val="Heading2"/>
        <w:tabs>
          <w:tab w:val="center" w:pos="817"/>
          <w:tab w:val="center" w:pos="5200"/>
        </w:tabs>
        <w:ind w:left="0" w:right="0" w:firstLine="0"/>
      </w:pPr>
      <w:r>
        <w:rPr>
          <w:rFonts w:ascii="Calibri" w:eastAsia="Calibri" w:hAnsi="Calibri" w:cs="Calibri"/>
          <w:b w:val="0"/>
          <w:sz w:val="22"/>
        </w:rPr>
        <w:tab/>
      </w:r>
      <w:r>
        <w:t>d</w:t>
      </w:r>
      <w:proofErr w:type="gramStart"/>
      <w:r>
        <w:t xml:space="preserve">.  </w:t>
      </w:r>
      <w:r>
        <w:tab/>
      </w:r>
      <w:proofErr w:type="gramEnd"/>
      <w:r>
        <w:t>Hartford is Responsible for the Debtor’s Defense Costs (</w:t>
      </w:r>
      <w:proofErr w:type="spellStart"/>
      <w:r>
        <w:rPr>
          <w:i/>
        </w:rPr>
        <w:t>Sonnax</w:t>
      </w:r>
      <w:proofErr w:type="spellEnd"/>
      <w:r>
        <w:rPr>
          <w:i/>
        </w:rPr>
        <w:t xml:space="preserve"> </w:t>
      </w:r>
      <w:r>
        <w:t xml:space="preserve">Factor 5)  </w:t>
      </w:r>
    </w:p>
    <w:p w14:paraId="31D4C18D" w14:textId="77777777" w:rsidR="00B223C1" w:rsidRDefault="00C95DC4">
      <w:pPr>
        <w:numPr>
          <w:ilvl w:val="0"/>
          <w:numId w:val="11"/>
        </w:numPr>
        <w:ind w:firstLine="720"/>
      </w:pPr>
      <w:proofErr w:type="spellStart"/>
      <w:r>
        <w:rPr>
          <w:i/>
        </w:rPr>
        <w:t>Sonnax</w:t>
      </w:r>
      <w:proofErr w:type="spellEnd"/>
      <w:r>
        <w:rPr>
          <w:i/>
        </w:rPr>
        <w:t xml:space="preserve"> </w:t>
      </w:r>
      <w:r>
        <w:t xml:space="preserve">factor 5—whether debtor’s insurer has assumed full responsibility for defending it—also weighs in favor of granting the Stay Relief Motions. </w:t>
      </w:r>
    </w:p>
    <w:p w14:paraId="4A11FA77" w14:textId="77777777" w:rsidR="00B223C1" w:rsidRDefault="00C95DC4">
      <w:pPr>
        <w:numPr>
          <w:ilvl w:val="0"/>
          <w:numId w:val="11"/>
        </w:numPr>
        <w:spacing w:after="258" w:line="259" w:lineRule="auto"/>
        <w:ind w:firstLine="720"/>
      </w:pPr>
      <w:r>
        <w:t>As one court noted:</w:t>
      </w:r>
    </w:p>
    <w:p w14:paraId="2EC28292" w14:textId="77777777" w:rsidR="00B223C1" w:rsidRDefault="00C95DC4">
      <w:pPr>
        <w:spacing w:after="276" w:line="238" w:lineRule="auto"/>
        <w:ind w:left="1450" w:right="1445"/>
      </w:pPr>
      <w:r>
        <w:t>The rationale for granting relief from the automatic stay for this purpose is that the prejudice to the debtor, who may suffer modest or even no adverse financial consequences but may only have to expend some time and effort in cooperating with his insurer in the defense of the litigation, is outweighed by the prejudice to the creditor whose ability to prosecute the action and reach the insurance benefits may be undermined by the “aging of evidence, loss of witnesses, and crowded court dockets.”</w:t>
      </w:r>
    </w:p>
    <w:p w14:paraId="7717DE9F" w14:textId="77777777" w:rsidR="00B223C1" w:rsidRDefault="00C95DC4">
      <w:pPr>
        <w:spacing w:after="251" w:line="259" w:lineRule="auto"/>
        <w:ind w:left="-5"/>
      </w:pPr>
      <w:r>
        <w:rPr>
          <w:i/>
        </w:rPr>
        <w:t>In re Glunk</w:t>
      </w:r>
      <w:r>
        <w:t>, 342 B.R. 717, 740 (</w:t>
      </w:r>
      <w:proofErr w:type="spellStart"/>
      <w:r>
        <w:t>Bankr</w:t>
      </w:r>
      <w:proofErr w:type="spellEnd"/>
      <w:r>
        <w:t>. E.D. Pa. 2006) (citations omitted).</w:t>
      </w:r>
    </w:p>
    <w:p w14:paraId="69C473D1" w14:textId="77777777" w:rsidR="00B223C1" w:rsidRDefault="00C95DC4">
      <w:pPr>
        <w:numPr>
          <w:ilvl w:val="0"/>
          <w:numId w:val="11"/>
        </w:numPr>
        <w:ind w:firstLine="720"/>
      </w:pPr>
      <w:proofErr w:type="gramStart"/>
      <w:r>
        <w:t>All of</w:t>
      </w:r>
      <w:proofErr w:type="gramEnd"/>
      <w:r>
        <w:t xml:space="preserve"> the Movants’ claims allege abuse, at least in part, during the </w:t>
      </w:r>
      <w:proofErr w:type="gramStart"/>
      <w:r>
        <w:t>time period</w:t>
      </w:r>
      <w:proofErr w:type="gramEnd"/>
      <w:r>
        <w:t xml:space="preserve"> Hartford insured the Debtor. As noted earlier, Hartford has a duty to defend the Debtor, and payment of defense costs does not reduce the limits under the Hartford policies. Further, although the Movants are not seeking to enforce any judgment obtained against the Debtor, the Movant’s </w:t>
      </w:r>
      <w:r>
        <w:lastRenderedPageBreak/>
        <w:t>claims are insured and thus any judgment obtained is payable by the Stay Relief Insurers, none of which have aggregate limits that would apply to these claims.</w:t>
      </w:r>
    </w:p>
    <w:p w14:paraId="309C1515" w14:textId="77777777" w:rsidR="00B223C1" w:rsidRDefault="00C95DC4">
      <w:pPr>
        <w:pStyle w:val="Heading1"/>
        <w:ind w:left="724" w:right="0"/>
      </w:pPr>
      <w:r>
        <w:t>CONCLUSION</w:t>
      </w:r>
    </w:p>
    <w:p w14:paraId="6EE19FA4" w14:textId="77777777" w:rsidR="00B223C1" w:rsidRDefault="00C95DC4">
      <w:pPr>
        <w:spacing w:after="255" w:line="259" w:lineRule="auto"/>
        <w:ind w:left="10" w:right="80"/>
        <w:jc w:val="right"/>
      </w:pPr>
      <w:r>
        <w:t xml:space="preserve">For the foregoing reasons, the Tort Committee respectfully requests this Court grant the </w:t>
      </w:r>
    </w:p>
    <w:p w14:paraId="60B64EB0" w14:textId="77777777" w:rsidR="00B223C1" w:rsidRDefault="00C95DC4">
      <w:pPr>
        <w:spacing w:after="251" w:line="259" w:lineRule="auto"/>
        <w:ind w:left="-5"/>
      </w:pPr>
      <w:r>
        <w:t xml:space="preserve">Stay Relief Motions.  </w:t>
      </w:r>
    </w:p>
    <w:p w14:paraId="4CF5965F" w14:textId="77777777" w:rsidR="00B223C1" w:rsidRDefault="00C95DC4">
      <w:pPr>
        <w:spacing w:after="246" w:line="265" w:lineRule="auto"/>
        <w:ind w:left="3412" w:right="1130"/>
        <w:jc w:val="center"/>
      </w:pPr>
      <w:r>
        <w:t xml:space="preserve">Respectfully submitted,   </w:t>
      </w:r>
    </w:p>
    <w:p w14:paraId="04968B97" w14:textId="77777777" w:rsidR="00B223C1" w:rsidRDefault="00C95DC4">
      <w:pPr>
        <w:tabs>
          <w:tab w:val="center" w:pos="5641"/>
        </w:tabs>
        <w:spacing w:line="259" w:lineRule="auto"/>
        <w:ind w:left="-15" w:firstLine="0"/>
        <w:jc w:val="left"/>
      </w:pPr>
      <w:r>
        <w:t xml:space="preserve">Date: January 8, </w:t>
      </w:r>
      <w:proofErr w:type="gramStart"/>
      <w:r>
        <w:t xml:space="preserve">2025  </w:t>
      </w:r>
      <w:r>
        <w:tab/>
      </w:r>
      <w:proofErr w:type="gramEnd"/>
      <w:r>
        <w:rPr>
          <w:i/>
        </w:rPr>
        <w:t>/s/ Robert T. Kugler</w:t>
      </w:r>
    </w:p>
    <w:p w14:paraId="1E75C180" w14:textId="77777777" w:rsidR="00B223C1" w:rsidRDefault="00C95DC4">
      <w:pPr>
        <w:spacing w:after="24" w:line="259" w:lineRule="auto"/>
        <w:ind w:left="4651" w:right="-23" w:firstLine="0"/>
        <w:jc w:val="left"/>
      </w:pPr>
      <w:r>
        <w:rPr>
          <w:rFonts w:ascii="Calibri" w:eastAsia="Calibri" w:hAnsi="Calibri" w:cs="Calibri"/>
          <w:noProof/>
          <w:sz w:val="22"/>
        </w:rPr>
        <mc:AlternateContent>
          <mc:Choice Requires="wpg">
            <w:drawing>
              <wp:inline distT="0" distB="0" distL="0" distR="0" wp14:anchorId="13046F72" wp14:editId="2C34294E">
                <wp:extent cx="3008376" cy="6096"/>
                <wp:effectExtent l="0" t="0" r="0" b="0"/>
                <wp:docPr id="12762" name="Group 12762"/>
                <wp:cNvGraphicFramePr/>
                <a:graphic xmlns:a="http://schemas.openxmlformats.org/drawingml/2006/main">
                  <a:graphicData uri="http://schemas.microsoft.com/office/word/2010/wordprocessingGroup">
                    <wpg:wgp>
                      <wpg:cNvGrpSpPr/>
                      <wpg:grpSpPr>
                        <a:xfrm>
                          <a:off x="0" y="0"/>
                          <a:ext cx="3008376" cy="6096"/>
                          <a:chOff x="0" y="0"/>
                          <a:chExt cx="3008376" cy="6096"/>
                        </a:xfrm>
                      </wpg:grpSpPr>
                      <wps:wsp>
                        <wps:cNvPr id="13941" name="Shape 13941"/>
                        <wps:cNvSpPr/>
                        <wps:spPr>
                          <a:xfrm>
                            <a:off x="0" y="0"/>
                            <a:ext cx="3008376" cy="9144"/>
                          </a:xfrm>
                          <a:custGeom>
                            <a:avLst/>
                            <a:gdLst/>
                            <a:ahLst/>
                            <a:cxnLst/>
                            <a:rect l="0" t="0" r="0" b="0"/>
                            <a:pathLst>
                              <a:path w="3008376" h="9144">
                                <a:moveTo>
                                  <a:pt x="0" y="0"/>
                                </a:moveTo>
                                <a:lnTo>
                                  <a:pt x="3008376" y="0"/>
                                </a:lnTo>
                                <a:lnTo>
                                  <a:pt x="3008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F33161" id="Group 12762" o:spid="_x0000_s1026" style="width:236.9pt;height:.5pt;mso-position-horizontal-relative:char;mso-position-vertical-relative:line" coordsize="300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">
                <v:shape id="Shape 13941" o:spid="_x0000_s1027" style="position:absolute;width:30083;height:91;visibility:visible;mso-wrap-style:square;v-text-anchor:top" coordsize="3008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" path="m,l3008376,r,9144l,9144,,e" fillcolor="black" stroked="f" strokeweight="0">
                  <v:stroke miterlimit="83231f" joinstyle="miter"/>
                  <v:path arrowok="t" textboxrect="0,0,3008376,9144"/>
                </v:shape>
                <w10:anchorlock/>
              </v:group>
            </w:pict>
          </mc:Fallback>
        </mc:AlternateContent>
      </w:r>
    </w:p>
    <w:p w14:paraId="268D1455" w14:textId="77777777" w:rsidR="00B223C1" w:rsidRDefault="00C95DC4">
      <w:pPr>
        <w:spacing w:line="259" w:lineRule="auto"/>
        <w:ind w:left="4690"/>
      </w:pPr>
      <w:r>
        <w:t xml:space="preserve">Robert T. Kugler (MN # 194116) </w:t>
      </w:r>
    </w:p>
    <w:p w14:paraId="0D51C9A3" w14:textId="77777777" w:rsidR="00B223C1" w:rsidRDefault="00C95DC4">
      <w:pPr>
        <w:spacing w:line="259" w:lineRule="auto"/>
        <w:ind w:left="4690"/>
      </w:pPr>
      <w:r>
        <w:t xml:space="preserve">Edwin H. Caldie (MN # 388930) </w:t>
      </w:r>
    </w:p>
    <w:p w14:paraId="15B13401" w14:textId="77777777" w:rsidR="00B223C1" w:rsidRDefault="00C95DC4">
      <w:pPr>
        <w:spacing w:after="0" w:line="259" w:lineRule="auto"/>
        <w:ind w:left="1293"/>
        <w:jc w:val="center"/>
      </w:pPr>
      <w:r>
        <w:rPr>
          <w:b/>
        </w:rPr>
        <w:t xml:space="preserve">Stinson LLP </w:t>
      </w:r>
    </w:p>
    <w:p w14:paraId="4A24D045" w14:textId="77777777" w:rsidR="00B223C1" w:rsidRDefault="00C95DC4">
      <w:pPr>
        <w:spacing w:line="259" w:lineRule="auto"/>
        <w:ind w:left="4690"/>
      </w:pPr>
      <w:r>
        <w:t xml:space="preserve">50 South Sixth Street, Suite 2600 </w:t>
      </w:r>
    </w:p>
    <w:p w14:paraId="0156D2F8" w14:textId="77777777" w:rsidR="00B223C1" w:rsidRDefault="00C95DC4">
      <w:pPr>
        <w:spacing w:after="3" w:line="265" w:lineRule="auto"/>
        <w:ind w:left="3412" w:right="1042"/>
        <w:jc w:val="center"/>
      </w:pPr>
      <w:r>
        <w:t xml:space="preserve">Minneapolis, MN 55402 </w:t>
      </w:r>
    </w:p>
    <w:p w14:paraId="7AE816C8" w14:textId="77777777" w:rsidR="00B223C1" w:rsidRDefault="00C95DC4">
      <w:pPr>
        <w:spacing w:after="3" w:line="265" w:lineRule="auto"/>
        <w:ind w:left="3412" w:right="1416"/>
        <w:jc w:val="center"/>
      </w:pPr>
      <w:r>
        <w:t xml:space="preserve">Main: 612-335-1500 </w:t>
      </w:r>
    </w:p>
    <w:p w14:paraId="34BEFAAF" w14:textId="77777777" w:rsidR="00B223C1" w:rsidRDefault="00C95DC4">
      <w:pPr>
        <w:spacing w:after="3" w:line="265" w:lineRule="auto"/>
        <w:ind w:left="3412" w:right="970"/>
        <w:jc w:val="center"/>
      </w:pPr>
      <w:r>
        <w:t xml:space="preserve">Facsimile: 612-335-1657 </w:t>
      </w:r>
    </w:p>
    <w:p w14:paraId="1DA3CC8A" w14:textId="77777777" w:rsidR="00B223C1" w:rsidRDefault="00C95DC4">
      <w:pPr>
        <w:spacing w:after="276" w:line="244" w:lineRule="auto"/>
        <w:ind w:left="5400" w:hanging="720"/>
      </w:pPr>
      <w:r>
        <w:t xml:space="preserve">Email: </w:t>
      </w:r>
      <w:r>
        <w:tab/>
        <w:t xml:space="preserve">robert.kugler@stinson.com   </w:t>
      </w:r>
      <w:r>
        <w:tab/>
        <w:t xml:space="preserve">ed.caldie@stinson.com  </w:t>
      </w:r>
    </w:p>
    <w:p w14:paraId="2FEA901E" w14:textId="77777777" w:rsidR="00B223C1" w:rsidRDefault="00C95DC4">
      <w:pPr>
        <w:spacing w:after="246" w:line="265" w:lineRule="auto"/>
        <w:ind w:left="3412" w:right="3063"/>
        <w:jc w:val="center"/>
      </w:pPr>
      <w:r>
        <w:t xml:space="preserve">and  </w:t>
      </w:r>
    </w:p>
    <w:p w14:paraId="54A79B66" w14:textId="77777777" w:rsidR="00B223C1" w:rsidRDefault="00C95DC4">
      <w:pPr>
        <w:spacing w:after="0" w:line="259" w:lineRule="auto"/>
        <w:ind w:left="4680" w:firstLine="0"/>
        <w:jc w:val="left"/>
      </w:pPr>
      <w:r>
        <w:rPr>
          <w:i/>
          <w:u w:val="single" w:color="000000"/>
        </w:rPr>
        <w:t xml:space="preserve">/s/ Timothy W. Burns                                            </w:t>
      </w:r>
      <w:r>
        <w:rPr>
          <w:i/>
        </w:rPr>
        <w:t xml:space="preserve"> </w:t>
      </w:r>
    </w:p>
    <w:p w14:paraId="3D01835A" w14:textId="77777777" w:rsidR="00B223C1" w:rsidRDefault="00C95DC4">
      <w:pPr>
        <w:spacing w:after="0" w:line="238" w:lineRule="auto"/>
        <w:ind w:left="4680" w:right="1780" w:firstLine="0"/>
        <w:jc w:val="left"/>
      </w:pPr>
      <w:r>
        <w:t xml:space="preserve">BURNS BAIR </w:t>
      </w:r>
      <w:proofErr w:type="gramStart"/>
      <w:r>
        <w:t>LLP  Timothy</w:t>
      </w:r>
      <w:proofErr w:type="gramEnd"/>
      <w:r>
        <w:t xml:space="preserve"> W. </w:t>
      </w:r>
      <w:proofErr w:type="gramStart"/>
      <w:r>
        <w:t>Burns  tburns@burnsbair.com</w:t>
      </w:r>
      <w:proofErr w:type="gramEnd"/>
      <w:r>
        <w:t xml:space="preserve">  Jesse J. </w:t>
      </w:r>
      <w:proofErr w:type="gramStart"/>
      <w:r>
        <w:t>Bair  jbair@burnsbair.com</w:t>
      </w:r>
      <w:proofErr w:type="gramEnd"/>
      <w:r>
        <w:t xml:space="preserve">  10 East Doty Street, Suite 600  </w:t>
      </w:r>
    </w:p>
    <w:p w14:paraId="7E18F1BA" w14:textId="77777777" w:rsidR="00B223C1" w:rsidRDefault="00C95DC4">
      <w:pPr>
        <w:spacing w:line="259" w:lineRule="auto"/>
        <w:ind w:left="4690"/>
      </w:pPr>
      <w:r>
        <w:t xml:space="preserve">Madison, Wisconsin 53703-3392  </w:t>
      </w:r>
    </w:p>
    <w:p w14:paraId="1DFE6B34" w14:textId="77777777" w:rsidR="00B223C1" w:rsidRDefault="00C95DC4">
      <w:pPr>
        <w:spacing w:after="246" w:line="265" w:lineRule="auto"/>
        <w:ind w:left="3412" w:right="769"/>
        <w:jc w:val="center"/>
      </w:pPr>
      <w:r>
        <w:t xml:space="preserve">Telephone: (608) 286-2808  </w:t>
      </w:r>
    </w:p>
    <w:p w14:paraId="44635C78" w14:textId="77777777" w:rsidR="00B223C1" w:rsidRDefault="00C95DC4">
      <w:pPr>
        <w:spacing w:after="262" w:line="249" w:lineRule="auto"/>
        <w:ind w:left="4690"/>
        <w:jc w:val="left"/>
      </w:pPr>
      <w:r>
        <w:rPr>
          <w:i/>
        </w:rPr>
        <w:t xml:space="preserve">Counsel for the Official Committee of Tort Claimants  </w:t>
      </w:r>
    </w:p>
    <w:p w14:paraId="5419CB42" w14:textId="77777777" w:rsidR="00586325" w:rsidRDefault="00586325">
      <w:pPr>
        <w:pStyle w:val="Heading2"/>
        <w:spacing w:after="0"/>
        <w:ind w:left="-5"/>
      </w:pPr>
    </w:p>
    <w:p w14:paraId="5B3A487C" w14:textId="77777777" w:rsidR="00586325" w:rsidRDefault="00586325">
      <w:pPr>
        <w:pStyle w:val="Heading2"/>
        <w:spacing w:after="0"/>
        <w:ind w:left="-5"/>
      </w:pPr>
    </w:p>
    <w:p w14:paraId="00510EB6" w14:textId="77777777" w:rsidR="00586325" w:rsidRDefault="00586325">
      <w:pPr>
        <w:pStyle w:val="Heading2"/>
        <w:spacing w:after="0"/>
        <w:ind w:left="-5"/>
      </w:pPr>
    </w:p>
    <w:p w14:paraId="6D96AE8D" w14:textId="77777777" w:rsidR="00586325" w:rsidRDefault="00586325">
      <w:pPr>
        <w:pStyle w:val="Heading2"/>
        <w:spacing w:after="0"/>
        <w:ind w:left="-5"/>
      </w:pPr>
    </w:p>
    <w:p w14:paraId="7259ABFB" w14:textId="77777777" w:rsidR="00586325" w:rsidRDefault="00586325">
      <w:pPr>
        <w:spacing w:after="3" w:line="265" w:lineRule="auto"/>
        <w:ind w:left="3412"/>
        <w:jc w:val="center"/>
      </w:pPr>
    </w:p>
    <w:p w14:paraId="107013EB" w14:textId="4DE835C0" w:rsidR="00586325" w:rsidRDefault="00586325">
      <w:pPr>
        <w:spacing w:after="3" w:line="265" w:lineRule="auto"/>
        <w:ind w:left="3412"/>
        <w:jc w:val="center"/>
      </w:pPr>
      <w:r>
        <w:lastRenderedPageBreak/>
        <w:t>__________________________________________________________________________________________________</w:t>
      </w:r>
    </w:p>
    <w:p w14:paraId="4AA285CC" w14:textId="77777777" w:rsidR="00586325" w:rsidRDefault="00586325">
      <w:pPr>
        <w:spacing w:after="3" w:line="265" w:lineRule="auto"/>
        <w:ind w:left="3412"/>
        <w:jc w:val="center"/>
      </w:pPr>
    </w:p>
    <w:p w14:paraId="17E78F1D" w14:textId="77777777" w:rsidR="00586325" w:rsidRPr="00586325" w:rsidRDefault="00586325" w:rsidP="00586325">
      <w:pPr>
        <w:spacing w:after="0" w:line="260" w:lineRule="auto"/>
        <w:ind w:left="26" w:right="451" w:firstLine="70"/>
        <w:jc w:val="left"/>
      </w:pPr>
      <w:r w:rsidRPr="00586325">
        <w:rPr>
          <w:rFonts w:ascii="Calibri" w:eastAsia="Calibri" w:hAnsi="Calibri" w:cs="Calibri"/>
        </w:rPr>
        <w:t>Case 23-10244-1-rel    Doc 1413    Filed 01/22/25    Entered 01/22/25 16:02:46    Desc</w:t>
      </w:r>
      <w:r w:rsidRPr="00586325">
        <w:rPr>
          <w:rFonts w:ascii="Calibri" w:eastAsia="Calibri" w:hAnsi="Calibri" w:cs="Calibri"/>
          <w:sz w:val="22"/>
        </w:rPr>
        <w:t xml:space="preserve"> </w:t>
      </w:r>
      <w:r w:rsidRPr="00586325">
        <w:rPr>
          <w:rFonts w:ascii="Calibri" w:eastAsia="Calibri" w:hAnsi="Calibri" w:cs="Calibri"/>
        </w:rPr>
        <w:t xml:space="preserve">Main Document      </w:t>
      </w:r>
      <w:r w:rsidRPr="00586325">
        <w:t xml:space="preserve"> </w:t>
      </w:r>
    </w:p>
    <w:p w14:paraId="296A0A40" w14:textId="77777777" w:rsidR="00586325" w:rsidRPr="00586325" w:rsidRDefault="00586325" w:rsidP="00586325">
      <w:pPr>
        <w:spacing w:after="0" w:line="259" w:lineRule="auto"/>
        <w:ind w:left="26" w:firstLine="0"/>
        <w:jc w:val="left"/>
      </w:pPr>
      <w:r w:rsidRPr="00586325">
        <w:t xml:space="preserve"> </w:t>
      </w:r>
    </w:p>
    <w:p w14:paraId="6418145C" w14:textId="77777777" w:rsidR="00586325" w:rsidRPr="00586325" w:rsidRDefault="00586325" w:rsidP="00586325">
      <w:pPr>
        <w:spacing w:after="13" w:line="259" w:lineRule="auto"/>
        <w:ind w:left="21" w:right="12"/>
      </w:pPr>
      <w:r w:rsidRPr="00586325">
        <w:t xml:space="preserve">UNITED STATES BANKRUPTCY COURT </w:t>
      </w:r>
      <w:r w:rsidRPr="00586325">
        <w:rPr>
          <w:rFonts w:ascii="Calibri" w:eastAsia="Calibri" w:hAnsi="Calibri" w:cs="Calibri"/>
          <w:sz w:val="22"/>
        </w:rPr>
        <w:t xml:space="preserve"> </w:t>
      </w:r>
    </w:p>
    <w:p w14:paraId="0AD208D5" w14:textId="77777777" w:rsidR="00586325" w:rsidRPr="00586325" w:rsidRDefault="00586325" w:rsidP="00586325">
      <w:pPr>
        <w:spacing w:after="13" w:line="259" w:lineRule="auto"/>
        <w:ind w:left="21" w:right="12"/>
      </w:pPr>
      <w:r w:rsidRPr="00586325">
        <w:t xml:space="preserve">NORTHERN DISTRICT OF NEW YORK </w:t>
      </w:r>
      <w:r w:rsidRPr="00586325">
        <w:rPr>
          <w:rFonts w:ascii="Calibri" w:eastAsia="Calibri" w:hAnsi="Calibri" w:cs="Calibri"/>
          <w:sz w:val="22"/>
        </w:rPr>
        <w:t xml:space="preserve"> </w:t>
      </w:r>
    </w:p>
    <w:tbl>
      <w:tblPr>
        <w:tblStyle w:val="TableGrid"/>
        <w:tblpPr w:vertAnchor="text" w:tblpX="-10" w:tblpY="-52"/>
        <w:tblOverlap w:val="never"/>
        <w:tblW w:w="5245" w:type="dxa"/>
        <w:tblInd w:w="0" w:type="dxa"/>
        <w:tblCellMar>
          <w:top w:w="76" w:type="dxa"/>
          <w:left w:w="132" w:type="dxa"/>
          <w:right w:w="115" w:type="dxa"/>
        </w:tblCellMar>
        <w:tblLook w:val="04A0" w:firstRow="1" w:lastRow="0" w:firstColumn="1" w:lastColumn="0" w:noHBand="0" w:noVBand="1"/>
      </w:tblPr>
      <w:tblGrid>
        <w:gridCol w:w="5245"/>
      </w:tblGrid>
      <w:tr w:rsidR="00586325" w:rsidRPr="00586325" w14:paraId="3B747087" w14:textId="77777777" w:rsidTr="00C63A87">
        <w:trPr>
          <w:trHeight w:val="1968"/>
        </w:trPr>
        <w:tc>
          <w:tcPr>
            <w:tcW w:w="5245" w:type="dxa"/>
            <w:tcBorders>
              <w:top w:val="single" w:sz="4" w:space="0" w:color="000000"/>
              <w:left w:val="nil"/>
              <w:bottom w:val="single" w:sz="4" w:space="0" w:color="000000"/>
              <w:right w:val="single" w:sz="4" w:space="0" w:color="000000"/>
            </w:tcBorders>
          </w:tcPr>
          <w:p w14:paraId="36A98D13" w14:textId="77777777" w:rsidR="00586325" w:rsidRPr="00586325" w:rsidRDefault="00586325" w:rsidP="00586325">
            <w:pPr>
              <w:spacing w:after="0" w:line="259" w:lineRule="auto"/>
              <w:ind w:left="0" w:firstLine="0"/>
              <w:jc w:val="left"/>
            </w:pPr>
            <w:r w:rsidRPr="00586325">
              <w:t xml:space="preserve">In re </w:t>
            </w:r>
            <w:r w:rsidRPr="00586325">
              <w:rPr>
                <w:rFonts w:ascii="Calibri" w:eastAsia="Calibri" w:hAnsi="Calibri" w:cs="Calibri"/>
                <w:sz w:val="22"/>
              </w:rPr>
              <w:t xml:space="preserve"> </w:t>
            </w:r>
          </w:p>
          <w:p w14:paraId="2195E680" w14:textId="77777777" w:rsidR="00586325" w:rsidRPr="00586325" w:rsidRDefault="00586325" w:rsidP="00586325">
            <w:pPr>
              <w:spacing w:after="0" w:line="259" w:lineRule="auto"/>
              <w:ind w:left="0" w:firstLine="0"/>
              <w:jc w:val="left"/>
            </w:pPr>
            <w:r w:rsidRPr="00586325">
              <w:t xml:space="preserve"> </w:t>
            </w:r>
            <w:r w:rsidRPr="00586325">
              <w:rPr>
                <w:rFonts w:ascii="Calibri" w:eastAsia="Calibri" w:hAnsi="Calibri" w:cs="Calibri"/>
                <w:sz w:val="22"/>
              </w:rPr>
              <w:t xml:space="preserve"> </w:t>
            </w:r>
          </w:p>
          <w:p w14:paraId="0EB872C0" w14:textId="77777777" w:rsidR="00586325" w:rsidRPr="00586325" w:rsidRDefault="00586325" w:rsidP="00586325">
            <w:pPr>
              <w:spacing w:after="0" w:line="259" w:lineRule="auto"/>
              <w:ind w:left="0" w:firstLine="0"/>
              <w:jc w:val="left"/>
            </w:pPr>
            <w:r w:rsidRPr="00586325">
              <w:t xml:space="preserve">THE ROMAN CATHOLIC DIOCESE OF </w:t>
            </w:r>
            <w:r w:rsidRPr="00586325">
              <w:rPr>
                <w:rFonts w:ascii="Calibri" w:eastAsia="Calibri" w:hAnsi="Calibri" w:cs="Calibri"/>
                <w:sz w:val="22"/>
              </w:rPr>
              <w:t xml:space="preserve"> </w:t>
            </w:r>
          </w:p>
          <w:p w14:paraId="5516F6B5" w14:textId="77777777" w:rsidR="00586325" w:rsidRPr="00586325" w:rsidRDefault="00586325" w:rsidP="00586325">
            <w:pPr>
              <w:spacing w:after="0" w:line="259" w:lineRule="auto"/>
              <w:ind w:left="0" w:firstLine="0"/>
              <w:jc w:val="left"/>
            </w:pPr>
            <w:r w:rsidRPr="00586325">
              <w:t xml:space="preserve">ALBANY, NEW </w:t>
            </w:r>
            <w:proofErr w:type="gramStart"/>
            <w:r w:rsidRPr="00586325">
              <w:t>YORK,</w:t>
            </w:r>
            <w:proofErr w:type="gramEnd"/>
            <w:r w:rsidRPr="00586325">
              <w:t xml:space="preserve">  </w:t>
            </w:r>
            <w:r w:rsidRPr="00586325">
              <w:rPr>
                <w:rFonts w:ascii="Calibri" w:eastAsia="Calibri" w:hAnsi="Calibri" w:cs="Calibri"/>
                <w:sz w:val="22"/>
              </w:rPr>
              <w:t xml:space="preserve"> </w:t>
            </w:r>
          </w:p>
          <w:p w14:paraId="6D03581D" w14:textId="77777777" w:rsidR="00586325" w:rsidRPr="00586325" w:rsidRDefault="00586325" w:rsidP="00586325">
            <w:pPr>
              <w:spacing w:after="0" w:line="259" w:lineRule="auto"/>
              <w:ind w:left="0" w:firstLine="0"/>
              <w:jc w:val="left"/>
            </w:pPr>
            <w:r w:rsidRPr="00586325">
              <w:t xml:space="preserve"> </w:t>
            </w:r>
            <w:r w:rsidRPr="00586325">
              <w:rPr>
                <w:rFonts w:ascii="Calibri" w:eastAsia="Calibri" w:hAnsi="Calibri" w:cs="Calibri"/>
                <w:sz w:val="22"/>
              </w:rPr>
              <w:t xml:space="preserve"> </w:t>
            </w:r>
          </w:p>
          <w:p w14:paraId="345852FD" w14:textId="77777777" w:rsidR="00586325" w:rsidRPr="00586325" w:rsidRDefault="00586325" w:rsidP="00586325">
            <w:pPr>
              <w:spacing w:after="0" w:line="259" w:lineRule="auto"/>
              <w:ind w:left="0" w:firstLine="0"/>
              <w:jc w:val="left"/>
            </w:pPr>
            <w:r w:rsidRPr="00586325">
              <w:t xml:space="preserve">                                                           Debtor.  </w:t>
            </w:r>
            <w:r w:rsidRPr="00586325">
              <w:rPr>
                <w:rFonts w:ascii="Calibri" w:eastAsia="Calibri" w:hAnsi="Calibri" w:cs="Calibri"/>
                <w:sz w:val="22"/>
              </w:rPr>
              <w:t xml:space="preserve"> </w:t>
            </w:r>
          </w:p>
        </w:tc>
      </w:tr>
    </w:tbl>
    <w:p w14:paraId="7D0DC2DB" w14:textId="77777777" w:rsidR="00586325" w:rsidRPr="00586325" w:rsidRDefault="00586325" w:rsidP="00586325">
      <w:pPr>
        <w:spacing w:after="0" w:line="259" w:lineRule="auto"/>
        <w:ind w:left="5390" w:firstLine="0"/>
        <w:jc w:val="center"/>
      </w:pPr>
      <w:r w:rsidRPr="00586325">
        <w:t xml:space="preserve"> </w:t>
      </w:r>
      <w:r w:rsidRPr="00586325">
        <w:rPr>
          <w:rFonts w:ascii="Calibri" w:eastAsia="Calibri" w:hAnsi="Calibri" w:cs="Calibri"/>
          <w:sz w:val="22"/>
        </w:rPr>
        <w:t xml:space="preserve"> </w:t>
      </w:r>
    </w:p>
    <w:p w14:paraId="13F94745" w14:textId="77777777" w:rsidR="00586325" w:rsidRPr="00586325" w:rsidRDefault="00586325" w:rsidP="00586325">
      <w:pPr>
        <w:spacing w:after="9" w:line="259" w:lineRule="auto"/>
        <w:ind w:left="5390" w:firstLine="0"/>
        <w:jc w:val="center"/>
      </w:pPr>
      <w:r w:rsidRPr="00586325">
        <w:t xml:space="preserve"> </w:t>
      </w:r>
      <w:r w:rsidRPr="00586325">
        <w:rPr>
          <w:rFonts w:ascii="Calibri" w:eastAsia="Calibri" w:hAnsi="Calibri" w:cs="Calibri"/>
          <w:sz w:val="22"/>
        </w:rPr>
        <w:t xml:space="preserve"> </w:t>
      </w:r>
    </w:p>
    <w:p w14:paraId="5D2FD158" w14:textId="77777777" w:rsidR="00586325" w:rsidRPr="00586325" w:rsidRDefault="00586325" w:rsidP="00586325">
      <w:pPr>
        <w:spacing w:after="3" w:line="259" w:lineRule="auto"/>
        <w:ind w:left="2173"/>
        <w:jc w:val="center"/>
      </w:pPr>
      <w:r w:rsidRPr="00586325">
        <w:t xml:space="preserve">Chapter 11 </w:t>
      </w:r>
      <w:r w:rsidRPr="00586325">
        <w:rPr>
          <w:rFonts w:ascii="Calibri" w:eastAsia="Calibri" w:hAnsi="Calibri" w:cs="Calibri"/>
          <w:sz w:val="22"/>
        </w:rPr>
        <w:t xml:space="preserve"> </w:t>
      </w:r>
    </w:p>
    <w:p w14:paraId="0E7F0E6A" w14:textId="77777777" w:rsidR="00586325" w:rsidRPr="00586325" w:rsidRDefault="00586325" w:rsidP="00586325">
      <w:pPr>
        <w:spacing w:after="0" w:line="265" w:lineRule="auto"/>
        <w:ind w:left="10" w:right="1157"/>
        <w:jc w:val="right"/>
      </w:pPr>
      <w:r w:rsidRPr="00586325">
        <w:t xml:space="preserve">Case No. 23-10244 </w:t>
      </w:r>
      <w:r w:rsidRPr="00586325">
        <w:rPr>
          <w:rFonts w:ascii="Calibri" w:eastAsia="Calibri" w:hAnsi="Calibri" w:cs="Calibri"/>
          <w:sz w:val="22"/>
        </w:rPr>
        <w:t xml:space="preserve"> </w:t>
      </w:r>
    </w:p>
    <w:p w14:paraId="3B58AC22" w14:textId="77777777" w:rsidR="00586325" w:rsidRPr="00586325" w:rsidRDefault="00586325" w:rsidP="00586325">
      <w:pPr>
        <w:spacing w:after="511" w:line="259" w:lineRule="auto"/>
        <w:ind w:left="5390" w:firstLine="0"/>
        <w:jc w:val="center"/>
      </w:pPr>
      <w:r w:rsidRPr="00586325">
        <w:t xml:space="preserve"> </w:t>
      </w:r>
      <w:r w:rsidRPr="00586325">
        <w:rPr>
          <w:rFonts w:ascii="Calibri" w:eastAsia="Calibri" w:hAnsi="Calibri" w:cs="Calibri"/>
          <w:sz w:val="22"/>
        </w:rPr>
        <w:t xml:space="preserve"> </w:t>
      </w:r>
    </w:p>
    <w:p w14:paraId="53D073F6" w14:textId="77777777" w:rsidR="00586325" w:rsidRPr="00586325" w:rsidRDefault="00586325" w:rsidP="00586325">
      <w:pPr>
        <w:spacing w:after="0" w:line="259" w:lineRule="auto"/>
        <w:ind w:left="14" w:firstLine="0"/>
        <w:jc w:val="left"/>
      </w:pPr>
      <w:r w:rsidRPr="00586325">
        <w:t xml:space="preserve"> </w:t>
      </w:r>
      <w:r w:rsidRPr="00586325">
        <w:rPr>
          <w:rFonts w:ascii="Calibri" w:eastAsia="Calibri" w:hAnsi="Calibri" w:cs="Calibri"/>
          <w:sz w:val="22"/>
        </w:rPr>
        <w:t xml:space="preserve"> </w:t>
      </w:r>
    </w:p>
    <w:p w14:paraId="7EFD7583" w14:textId="77777777" w:rsidR="00586325" w:rsidRPr="00586325" w:rsidRDefault="00586325" w:rsidP="00586325">
      <w:pPr>
        <w:spacing w:after="12" w:line="259" w:lineRule="auto"/>
        <w:ind w:left="172" w:firstLine="0"/>
        <w:jc w:val="center"/>
      </w:pPr>
      <w:r w:rsidRPr="00586325">
        <w:rPr>
          <w:b/>
        </w:rPr>
        <w:t xml:space="preserve"> </w:t>
      </w:r>
      <w:r w:rsidRPr="00586325">
        <w:rPr>
          <w:rFonts w:ascii="Calibri" w:eastAsia="Calibri" w:hAnsi="Calibri" w:cs="Calibri"/>
          <w:sz w:val="22"/>
        </w:rPr>
        <w:t xml:space="preserve"> </w:t>
      </w:r>
    </w:p>
    <w:p w14:paraId="5C9217ED" w14:textId="77777777" w:rsidR="00586325" w:rsidRPr="00586325" w:rsidRDefault="00586325" w:rsidP="00586325">
      <w:pPr>
        <w:spacing w:after="5" w:line="259" w:lineRule="auto"/>
        <w:ind w:left="26" w:firstLine="0"/>
        <w:jc w:val="left"/>
      </w:pPr>
      <w:r w:rsidRPr="00586325">
        <w:rPr>
          <w:b/>
        </w:rPr>
        <w:t xml:space="preserve">OMNIBUS OBJECTION BY THE ROMAN CATHOLIC DIOCESE OF ALBANY, NEW </w:t>
      </w:r>
      <w:r w:rsidRPr="00586325">
        <w:rPr>
          <w:rFonts w:ascii="Calibri" w:eastAsia="Calibri" w:hAnsi="Calibri" w:cs="Calibri"/>
          <w:sz w:val="22"/>
        </w:rPr>
        <w:t xml:space="preserve"> </w:t>
      </w:r>
    </w:p>
    <w:p w14:paraId="6BACCA51" w14:textId="77777777" w:rsidR="00586325" w:rsidRPr="00586325" w:rsidRDefault="00586325" w:rsidP="00586325">
      <w:pPr>
        <w:spacing w:line="259" w:lineRule="auto"/>
        <w:ind w:left="14"/>
        <w:jc w:val="center"/>
      </w:pPr>
      <w:r w:rsidRPr="00586325">
        <w:rPr>
          <w:b/>
        </w:rPr>
        <w:t xml:space="preserve">YORK TO MOTIONS FOR RELIEF FROM AUTOMATIC STAY FILED BY </w:t>
      </w:r>
      <w:r w:rsidRPr="00586325">
        <w:rPr>
          <w:rFonts w:ascii="Calibri" w:eastAsia="Calibri" w:hAnsi="Calibri" w:cs="Calibri"/>
          <w:sz w:val="22"/>
        </w:rPr>
        <w:t xml:space="preserve"> </w:t>
      </w:r>
    </w:p>
    <w:p w14:paraId="5EDA82DB" w14:textId="77777777" w:rsidR="00586325" w:rsidRPr="00586325" w:rsidRDefault="00586325" w:rsidP="00586325">
      <w:pPr>
        <w:spacing w:line="259" w:lineRule="auto"/>
        <w:ind w:left="14" w:right="9"/>
        <w:jc w:val="center"/>
      </w:pPr>
      <w:r w:rsidRPr="00586325">
        <w:rPr>
          <w:b/>
        </w:rPr>
        <w:t xml:space="preserve">SURVIVOR-PLAINTIFFS IN STATE COURT CVA ACTIONS  </w:t>
      </w:r>
      <w:r w:rsidRPr="00586325">
        <w:rPr>
          <w:rFonts w:ascii="Calibri" w:eastAsia="Calibri" w:hAnsi="Calibri" w:cs="Calibri"/>
          <w:sz w:val="22"/>
        </w:rPr>
        <w:t xml:space="preserve"> </w:t>
      </w:r>
    </w:p>
    <w:p w14:paraId="7FDAE817" w14:textId="77777777" w:rsidR="00586325" w:rsidRPr="00586325" w:rsidRDefault="00586325" w:rsidP="00586325">
      <w:pPr>
        <w:spacing w:after="39" w:line="259" w:lineRule="auto"/>
        <w:ind w:left="172" w:firstLine="0"/>
        <w:jc w:val="center"/>
      </w:pPr>
      <w:r w:rsidRPr="00586325">
        <w:t xml:space="preserve"> </w:t>
      </w:r>
      <w:r w:rsidRPr="00586325">
        <w:rPr>
          <w:rFonts w:ascii="Calibri" w:eastAsia="Calibri" w:hAnsi="Calibri" w:cs="Calibri"/>
          <w:sz w:val="22"/>
        </w:rPr>
        <w:t xml:space="preserve"> </w:t>
      </w:r>
    </w:p>
    <w:p w14:paraId="0C06C713" w14:textId="77777777" w:rsidR="00586325" w:rsidRPr="00586325" w:rsidRDefault="00586325" w:rsidP="00586325">
      <w:pPr>
        <w:spacing w:after="0" w:line="360" w:lineRule="auto"/>
        <w:ind w:left="0" w:right="17" w:firstLine="0"/>
        <w:jc w:val="right"/>
      </w:pPr>
      <w:r w:rsidRPr="00586325">
        <w:rPr>
          <w:b/>
        </w:rPr>
        <w:t>THE ROMAN CATHOLIC DIOCESE OF ALBANY, NEW YORK (“Debtor”),</w:t>
      </w:r>
      <w:r w:rsidRPr="00586325">
        <w:t xml:space="preserve"> by </w:t>
      </w:r>
    </w:p>
    <w:p w14:paraId="7B0FDC2C" w14:textId="77777777" w:rsidR="00586325" w:rsidRPr="00586325" w:rsidRDefault="00586325" w:rsidP="00586325">
      <w:pPr>
        <w:spacing w:after="0" w:line="360" w:lineRule="auto"/>
        <w:ind w:left="21" w:right="12"/>
      </w:pPr>
      <w:r w:rsidRPr="00586325">
        <w:t>and through its attorneys, Whiteman Osterman &amp; Hanna LLP</w:t>
      </w:r>
      <w:r w:rsidRPr="00586325">
        <w:rPr>
          <w:vertAlign w:val="superscript"/>
        </w:rPr>
        <w:footnoteReference w:id="18"/>
      </w:r>
      <w:r w:rsidRPr="00586325">
        <w:t xml:space="preserve">, respectfully files the within omnibus objection (the “Objection”) to the six (6) Motions for Relief from Automatic Stay (ECF </w:t>
      </w:r>
    </w:p>
    <w:p w14:paraId="2A7E6DA3" w14:textId="77777777" w:rsidR="00586325" w:rsidRPr="00586325" w:rsidRDefault="00586325" w:rsidP="00586325">
      <w:pPr>
        <w:spacing w:after="0" w:line="360" w:lineRule="auto"/>
        <w:ind w:left="21" w:right="12"/>
      </w:pPr>
      <w:r w:rsidRPr="00586325">
        <w:t>Nos. 1342, 1343, 1344, 1345, 1349 and 1355 (collectively, the “Stay Relief Motions”)</w:t>
      </w:r>
      <w:proofErr w:type="gramStart"/>
      <w:r w:rsidRPr="00586325">
        <w:rPr>
          <w:vertAlign w:val="superscript"/>
        </w:rPr>
        <w:t xml:space="preserve">2  </w:t>
      </w:r>
      <w:r w:rsidRPr="00586325">
        <w:t>and</w:t>
      </w:r>
      <w:proofErr w:type="gramEnd"/>
      <w:r w:rsidRPr="00586325">
        <w:t xml:space="preserve"> </w:t>
      </w:r>
      <w:r w:rsidRPr="00586325">
        <w:rPr>
          <w:i/>
        </w:rPr>
        <w:t xml:space="preserve">The </w:t>
      </w:r>
      <w:r w:rsidRPr="00586325">
        <w:rPr>
          <w:rFonts w:ascii="Calibri" w:eastAsia="Calibri" w:hAnsi="Calibri" w:cs="Calibri"/>
          <w:sz w:val="22"/>
        </w:rPr>
        <w:t xml:space="preserve"> </w:t>
      </w:r>
    </w:p>
    <w:p w14:paraId="4F40BE30" w14:textId="77777777" w:rsidR="00586325" w:rsidRPr="00586325" w:rsidRDefault="00586325" w:rsidP="00586325">
      <w:pPr>
        <w:spacing w:after="0" w:line="360" w:lineRule="auto"/>
        <w:ind w:left="9"/>
        <w:jc w:val="left"/>
      </w:pPr>
      <w:r w:rsidRPr="00586325">
        <w:rPr>
          <w:i/>
        </w:rPr>
        <w:t xml:space="preserve">Official Committee of Tort Claimants’ Memorandum in Support of Stay Relief Motions </w:t>
      </w:r>
      <w:r w:rsidRPr="00586325">
        <w:t xml:space="preserve">(the </w:t>
      </w:r>
      <w:r w:rsidRPr="00586325">
        <w:rPr>
          <w:rFonts w:ascii="Calibri" w:eastAsia="Calibri" w:hAnsi="Calibri" w:cs="Calibri"/>
          <w:sz w:val="22"/>
        </w:rPr>
        <w:t xml:space="preserve"> </w:t>
      </w:r>
    </w:p>
    <w:p w14:paraId="01CD0538" w14:textId="77777777" w:rsidR="00586325" w:rsidRPr="00586325" w:rsidRDefault="00586325" w:rsidP="00586325">
      <w:pPr>
        <w:spacing w:after="0" w:line="360" w:lineRule="auto"/>
        <w:ind w:left="21" w:right="12"/>
      </w:pPr>
      <w:r w:rsidRPr="00586325">
        <w:t xml:space="preserve">“Committee Memorandum”) filed in the Debtor’s case, and respectfully states as follows:   </w:t>
      </w:r>
      <w:r w:rsidRPr="00586325">
        <w:rPr>
          <w:rFonts w:ascii="Calibri" w:eastAsia="Calibri" w:hAnsi="Calibri" w:cs="Calibri"/>
          <w:sz w:val="22"/>
        </w:rPr>
        <w:t xml:space="preserve"> </w:t>
      </w:r>
    </w:p>
    <w:p w14:paraId="314DD74A" w14:textId="77777777" w:rsidR="00586325" w:rsidRPr="00586325" w:rsidRDefault="00586325" w:rsidP="00586325">
      <w:pPr>
        <w:keepNext/>
        <w:keepLines/>
        <w:spacing w:after="98" w:line="259" w:lineRule="auto"/>
        <w:ind w:left="12"/>
        <w:jc w:val="center"/>
        <w:outlineLvl w:val="0"/>
        <w:rPr>
          <w:rFonts w:eastAsia="Calibri"/>
          <w:b/>
          <w:bCs/>
          <w:color w:val="0F4761"/>
        </w:rPr>
      </w:pPr>
      <w:r w:rsidRPr="00586325">
        <w:rPr>
          <w:rFonts w:eastAsia="Calibri"/>
          <w:b/>
          <w:bCs/>
          <w:color w:val="0F4761"/>
        </w:rPr>
        <w:t xml:space="preserve">PRELIMINARY STATEMENT  </w:t>
      </w:r>
    </w:p>
    <w:p w14:paraId="6338A1C3" w14:textId="5F281EDE" w:rsidR="00586325" w:rsidRDefault="00586325" w:rsidP="00586325">
      <w:pPr>
        <w:spacing w:after="0" w:line="360" w:lineRule="auto"/>
        <w:ind w:left="28" w:right="14" w:firstLine="692"/>
        <w:rPr>
          <w:rFonts w:ascii="Calibri" w:eastAsia="Calibri" w:hAnsi="Calibri" w:cs="Calibri"/>
          <w:sz w:val="22"/>
        </w:rPr>
      </w:pPr>
      <w:r w:rsidRPr="00586325">
        <w:t xml:space="preserve">The Debtor has consistently taken the position in its pleadings filed with the Court and communications with the Official Committee of Tort Creditors (the “Tort Committee”), the Official Committee of Unsecured Creditors, and the Insurers that it is committed to negotiating </w:t>
      </w:r>
      <w:r w:rsidRPr="00586325">
        <w:lastRenderedPageBreak/>
        <w:t xml:space="preserve">terms for a reorganization plan to provide compensation for allowed sexual abuse claims that includes contributions from the Insurers and to provide payment to its other creditors to the extent </w:t>
      </w:r>
      <w:r w:rsidRPr="00586325">
        <w:rPr>
          <w:rFonts w:ascii="Calibri" w:eastAsia="Calibri" w:hAnsi="Calibri" w:cs="Calibri"/>
          <w:sz w:val="22"/>
        </w:rPr>
        <w:t xml:space="preserve"> </w:t>
      </w:r>
      <w:r w:rsidRPr="00586325">
        <w:t xml:space="preserve">their claims are allowed, in an equitable manner. The Debtor submits the best and most fair way to achieve that goal is for the automatic stay to remain fully in place so that all the parties remain engaged in the mediation process.  </w:t>
      </w:r>
      <w:r w:rsidRPr="00586325">
        <w:rPr>
          <w:rFonts w:ascii="Calibri" w:eastAsia="Calibri" w:hAnsi="Calibri" w:cs="Calibri"/>
          <w:sz w:val="22"/>
        </w:rPr>
        <w:t xml:space="preserve"> </w:t>
      </w:r>
    </w:p>
    <w:p w14:paraId="089E06E5" w14:textId="41F15AE4" w:rsidR="00586325" w:rsidRPr="00586325" w:rsidRDefault="00586325" w:rsidP="00586325">
      <w:pPr>
        <w:spacing w:after="0" w:line="360" w:lineRule="auto"/>
        <w:ind w:left="28" w:right="14" w:firstLine="692"/>
      </w:pPr>
      <w:r w:rsidRPr="00586325">
        <w:t>Seven claimants now seek relief from the stay for the purpose of litigating their CVA claims in the tort system on the theory that such litigation will bring about resolution of this bankruptcy.   Five of the Stay Relief Motions</w:t>
      </w:r>
      <w:r w:rsidRPr="00586325">
        <w:rPr>
          <w:vertAlign w:val="superscript"/>
        </w:rPr>
        <w:footnoteReference w:id="19"/>
      </w:r>
      <w:r w:rsidRPr="00586325">
        <w:t xml:space="preserve"> perfunctorily allege that relief “would enhance the probability of a successful, global resolution of this case” and further echo the arguments asserted in the Committee Memorandum which incorrectly alleges that the applicable </w:t>
      </w:r>
      <w:r w:rsidRPr="00586325">
        <w:rPr>
          <w:i/>
        </w:rPr>
        <w:t>Sonnax</w:t>
      </w:r>
      <w:r w:rsidRPr="00586325">
        <w:rPr>
          <w:i/>
          <w:vertAlign w:val="superscript"/>
        </w:rPr>
        <w:t>4</w:t>
      </w:r>
      <w:r w:rsidRPr="00586325">
        <w:rPr>
          <w:i/>
        </w:rPr>
        <w:t xml:space="preserve"> </w:t>
      </w:r>
      <w:r w:rsidRPr="00586325">
        <w:t xml:space="preserve">factors have been met.  </w:t>
      </w:r>
      <w:r w:rsidRPr="006D3EC5">
        <w:rPr>
          <w:highlight w:val="yellow"/>
        </w:rPr>
        <w:t>Generalizing the status and outcomes in other confirmed and pending diocesan bankruptcy cases, such as those of the Rockville Centre Diocese and the Buffalo Diocese, the Tort Committee claims that the Insurers improperly rely on the automatic stay to avoid their obligations</w:t>
      </w:r>
      <w:r w:rsidRPr="00586325">
        <w:t xml:space="preserve"> under their respective policies to the detriment of survivors.  Stay relief in favor of several survivors in a limited number of pending CVA Actions, it is argued, will somehow compel the Insurers to more actively participate in not only those actions that are accorded stay relief but also force the Insurers </w:t>
      </w:r>
    </w:p>
    <w:p w14:paraId="6075C338" w14:textId="77777777" w:rsidR="00586325" w:rsidRPr="00586325" w:rsidRDefault="00586325" w:rsidP="00586325">
      <w:pPr>
        <w:spacing w:after="0" w:line="360" w:lineRule="auto"/>
        <w:ind w:left="21" w:right="12"/>
      </w:pPr>
      <w:r w:rsidRPr="00586325">
        <w:t>“</w:t>
      </w:r>
      <w:proofErr w:type="gramStart"/>
      <w:r w:rsidRPr="00586325">
        <w:t>to</w:t>
      </w:r>
      <w:proofErr w:type="gramEnd"/>
      <w:r w:rsidRPr="00586325">
        <w:t xml:space="preserve"> take a seat at the table, and to negotiate fairly and in good faith or face the very real possibility of adverse trial verdicts.”  </w:t>
      </w:r>
      <w:r w:rsidRPr="00586325">
        <w:rPr>
          <w:i/>
        </w:rPr>
        <w:t>Committee Memorandum, ¶</w:t>
      </w:r>
      <w:r w:rsidRPr="00586325">
        <w:t xml:space="preserve">5.    </w:t>
      </w:r>
      <w:r w:rsidRPr="00586325">
        <w:rPr>
          <w:rFonts w:ascii="Calibri" w:eastAsia="Calibri" w:hAnsi="Calibri" w:cs="Calibri"/>
          <w:sz w:val="22"/>
        </w:rPr>
        <w:t xml:space="preserve"> </w:t>
      </w:r>
    </w:p>
    <w:p w14:paraId="3CBF198A" w14:textId="568BE797" w:rsidR="00586325" w:rsidRPr="00586325" w:rsidRDefault="00586325" w:rsidP="00586325">
      <w:pPr>
        <w:spacing w:after="0" w:line="360" w:lineRule="auto"/>
        <w:ind w:left="21" w:right="12" w:firstLine="699"/>
      </w:pPr>
      <w:r w:rsidRPr="00586325">
        <w:t xml:space="preserve"> </w:t>
      </w:r>
      <w:r w:rsidRPr="006D3EC5">
        <w:rPr>
          <w:highlight w:val="yellow"/>
        </w:rPr>
        <w:t>Putting aside the fact that the Motions are unsupported by any evidence that Insurers are not participating in the mediation in good faith, the</w:t>
      </w:r>
      <w:r w:rsidRPr="00586325">
        <w:t xml:space="preserve"> Debtor submits that the relief requested is, at best, </w:t>
      </w:r>
      <w:r w:rsidRPr="006D3EC5">
        <w:rPr>
          <w:highlight w:val="yellow"/>
        </w:rPr>
        <w:t>unnecessary and, at worst, counterproductive</w:t>
      </w:r>
      <w:r w:rsidRPr="00586325">
        <w:t xml:space="preserve"> to the outcome the Debtor seeks- a global resolution of treatment and payment of allowed CVA Claims funded by the Debtor, Parishes and Insurers and equitable treatment for payment of the Debtor’s other creditors.  Unlike other </w:t>
      </w:r>
      <w:proofErr w:type="gramStart"/>
      <w:r w:rsidRPr="00586325">
        <w:t xml:space="preserve">diocesan </w:t>
      </w:r>
      <w:r w:rsidRPr="00586325">
        <w:rPr>
          <w:rFonts w:ascii="Calibri" w:eastAsia="Calibri" w:hAnsi="Calibri" w:cs="Calibri"/>
          <w:sz w:val="22"/>
        </w:rPr>
        <w:t xml:space="preserve"> </w:t>
      </w:r>
      <w:r w:rsidRPr="006D3EC5">
        <w:rPr>
          <w:highlight w:val="yellow"/>
        </w:rPr>
        <w:t>Chapter</w:t>
      </w:r>
      <w:proofErr w:type="gramEnd"/>
      <w:r w:rsidRPr="006D3EC5">
        <w:rPr>
          <w:highlight w:val="yellow"/>
        </w:rPr>
        <w:t xml:space="preserve"> 11 cases in which stay relief was granted</w:t>
      </w:r>
      <w:r w:rsidRPr="006D3EC5">
        <w:rPr>
          <w:highlight w:val="yellow"/>
          <w:vertAlign w:val="superscript"/>
        </w:rPr>
        <w:t>5</w:t>
      </w:r>
      <w:r w:rsidRPr="00586325">
        <w:t xml:space="preserve">, the Debtor’s Chapter 11 case has the distinction of having been filed years after the expiration of the CVA statute of limitations.  In the </w:t>
      </w:r>
      <w:proofErr w:type="gramStart"/>
      <w:r w:rsidRPr="00586325">
        <w:t>time period</w:t>
      </w:r>
      <w:proofErr w:type="gramEnd"/>
      <w:r w:rsidRPr="00586325">
        <w:t xml:space="preserve"> between the CVA’s effective date and the petition date, </w:t>
      </w:r>
      <w:proofErr w:type="gramStart"/>
      <w:r w:rsidRPr="006D3EC5">
        <w:rPr>
          <w:highlight w:val="yellow"/>
        </w:rPr>
        <w:t>a number of</w:t>
      </w:r>
      <w:proofErr w:type="gramEnd"/>
      <w:r w:rsidRPr="006D3EC5">
        <w:rPr>
          <w:highlight w:val="yellow"/>
        </w:rPr>
        <w:t xml:space="preserve"> CVA claims </w:t>
      </w:r>
      <w:r w:rsidRPr="006D3EC5">
        <w:rPr>
          <w:highlight w:val="yellow"/>
        </w:rPr>
        <w:lastRenderedPageBreak/>
        <w:t>against the Debtor and Parishes (among others) were litigated in actions overseen by New York State Supreme Court Justices Mackey and Corcoran</w:t>
      </w:r>
      <w:r w:rsidRPr="00586325">
        <w:rPr>
          <w:vertAlign w:val="superscript"/>
        </w:rPr>
        <w:footnoteReference w:id="20"/>
      </w:r>
      <w:r w:rsidRPr="00586325">
        <w:t xml:space="preserve">, and involved counsel for the Debtor and Parishes, counsel for the Insurers and respective counsel for the survivors in the CVA Actions.  In contrast with the Rockville Centre Diocese and Buffalo Diocese cases, both of which were filed shortly after the enactment of the CVA, approximately 440 CVA Actions were commenced against the Debtor.  Of that number, </w:t>
      </w:r>
      <w:r w:rsidRPr="006D3EC5">
        <w:rPr>
          <w:highlight w:val="yellow"/>
        </w:rPr>
        <w:t>approximately fifty CVA Actions were resolved prior to the Filing Date, including by dispositive motions and mediated and negotiated settlements</w:t>
      </w:r>
      <w:r w:rsidRPr="00586325">
        <w:t xml:space="preserve">.   </w:t>
      </w:r>
      <w:r w:rsidRPr="00586325">
        <w:rPr>
          <w:rFonts w:ascii="Calibri" w:eastAsia="Calibri" w:hAnsi="Calibri" w:cs="Calibri"/>
          <w:sz w:val="22"/>
        </w:rPr>
        <w:t xml:space="preserve"> </w:t>
      </w:r>
    </w:p>
    <w:p w14:paraId="5BD071D2" w14:textId="77777777" w:rsidR="00586325" w:rsidRPr="00586325" w:rsidRDefault="00586325" w:rsidP="00586325">
      <w:pPr>
        <w:spacing w:after="0" w:line="360" w:lineRule="auto"/>
        <w:ind w:left="11" w:right="12" w:firstLine="720"/>
      </w:pPr>
      <w:r w:rsidRPr="00586325">
        <w:t xml:space="preserve">The extensive pre-petition litigation and settlement history makes the Debtor’s case </w:t>
      </w:r>
      <w:r w:rsidRPr="00586325">
        <w:rPr>
          <w:i/>
        </w:rPr>
        <w:t xml:space="preserve">sui </w:t>
      </w:r>
      <w:proofErr w:type="gramStart"/>
      <w:r w:rsidRPr="00586325">
        <w:rPr>
          <w:i/>
        </w:rPr>
        <w:t>generis</w:t>
      </w:r>
      <w:proofErr w:type="gramEnd"/>
      <w:r w:rsidRPr="00586325">
        <w:t xml:space="preserve"> and </w:t>
      </w:r>
      <w:r w:rsidRPr="006D3EC5">
        <w:rPr>
          <w:highlight w:val="yellow"/>
        </w:rPr>
        <w:t>sets it apart from other diocesan cases</w:t>
      </w:r>
      <w:r w:rsidRPr="00586325">
        <w:rPr>
          <w:i/>
        </w:rPr>
        <w:t xml:space="preserve">.  </w:t>
      </w:r>
      <w:r w:rsidRPr="00586325">
        <w:t xml:space="preserve">The significant number of CVA cases that were litigated pre-petition provide a range of outcomes from dismissal to significant settlement payments.  Unlike the limited number of cases that are the subjects the Motions, which presumably are not representative of potential outcomes to plaintiffs, the pre-petition resolutions provide the best record of the continuum of potential outcomes.  Under the particular facts of this case, stay relief is entirely unnecessary. </w:t>
      </w:r>
      <w:r w:rsidRPr="00586325">
        <w:rPr>
          <w:rFonts w:ascii="Calibri" w:eastAsia="Calibri" w:hAnsi="Calibri" w:cs="Calibri"/>
          <w:sz w:val="22"/>
        </w:rPr>
        <w:t xml:space="preserve"> </w:t>
      </w:r>
    </w:p>
    <w:p w14:paraId="66AB778D" w14:textId="77777777" w:rsidR="00586325" w:rsidRPr="00586325" w:rsidRDefault="00586325" w:rsidP="00586325">
      <w:pPr>
        <w:spacing w:after="0" w:line="360" w:lineRule="auto"/>
        <w:ind w:left="11" w:right="12" w:firstLine="720"/>
      </w:pPr>
      <w:r w:rsidRPr="00586325">
        <w:t xml:space="preserve">  Not only would stay relief serve as a needless detour, </w:t>
      </w:r>
      <w:proofErr w:type="gramStart"/>
      <w:r w:rsidRPr="00586325">
        <w:t>it may</w:t>
      </w:r>
      <w:proofErr w:type="gramEnd"/>
      <w:r w:rsidRPr="00586325">
        <w:t xml:space="preserve"> have adverse consequences, which could make an already complex case even more complex and difficult to resolve.  Once litigation is underway, </w:t>
      </w:r>
      <w:r w:rsidRPr="006D3EC5">
        <w:rPr>
          <w:highlight w:val="yellow"/>
        </w:rPr>
        <w:t>the Committee may have little incentive to reach a resolution</w:t>
      </w:r>
      <w:r w:rsidRPr="00586325">
        <w:t xml:space="preserve"> in the </w:t>
      </w:r>
      <w:r w:rsidRPr="00586325">
        <w:rPr>
          <w:rFonts w:ascii="Calibri" w:eastAsia="Calibri" w:hAnsi="Calibri" w:cs="Calibri"/>
          <w:sz w:val="22"/>
        </w:rPr>
        <w:t xml:space="preserve"> </w:t>
      </w:r>
    </w:p>
    <w:p w14:paraId="5B165C80" w14:textId="77777777" w:rsidR="00586325" w:rsidRPr="00586325" w:rsidRDefault="00586325" w:rsidP="00586325">
      <w:pPr>
        <w:spacing w:after="0" w:line="360" w:lineRule="auto"/>
        <w:ind w:left="14" w:firstLine="0"/>
        <w:jc w:val="left"/>
      </w:pPr>
      <w:r w:rsidRPr="00586325">
        <w:rPr>
          <w:rFonts w:ascii="Calibri" w:eastAsia="Calibri" w:hAnsi="Calibri" w:cs="Calibri"/>
          <w:noProof/>
          <w:sz w:val="22"/>
        </w:rPr>
        <mc:AlternateContent>
          <mc:Choice Requires="wpg">
            <w:drawing>
              <wp:inline distT="0" distB="0" distL="0" distR="0" wp14:anchorId="4E96E778" wp14:editId="0E3AD0D8">
                <wp:extent cx="1828800" cy="8890"/>
                <wp:effectExtent l="0" t="0" r="0" b="0"/>
                <wp:docPr id="18124" name="Group 18124"/>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22565" name="Shape 2256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B9F20C4" id="Group 18124" o:spid="_x0000_s1026" style="width:2in;height:.7pt;mso-position-horizontal-relative:char;mso-position-vertical-relative:line" coordsize="182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">
                <v:shape id="Shape 22565"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" path="m,l1828800,r,9144l,9144,,e" fillcolor="black" stroked="f" strokeweight="0">
                  <v:stroke miterlimit="83231f" joinstyle="miter"/>
                  <v:path arrowok="t" textboxrect="0,0,1828800,9144"/>
                </v:shape>
                <w10:anchorlock/>
              </v:group>
            </w:pict>
          </mc:Fallback>
        </mc:AlternateContent>
      </w:r>
      <w:r w:rsidRPr="00586325">
        <w:rPr>
          <w:rFonts w:ascii="Calibri" w:eastAsia="Calibri" w:hAnsi="Calibri" w:cs="Calibri"/>
          <w:sz w:val="22"/>
        </w:rPr>
        <w:t xml:space="preserve">  </w:t>
      </w:r>
    </w:p>
    <w:p w14:paraId="61390158" w14:textId="50406EC3" w:rsidR="00586325" w:rsidRPr="00586325" w:rsidRDefault="00586325" w:rsidP="00586325">
      <w:pPr>
        <w:spacing w:after="0" w:line="360" w:lineRule="auto"/>
        <w:ind w:left="14" w:firstLine="0"/>
        <w:jc w:val="left"/>
      </w:pPr>
      <w:r w:rsidRPr="00586325">
        <w:rPr>
          <w:rFonts w:ascii="Courier New" w:eastAsia="Courier New" w:hAnsi="Courier New" w:cs="Courier New"/>
          <w:sz w:val="13"/>
        </w:rPr>
        <w:t>5</w:t>
      </w:r>
      <w:r w:rsidRPr="00586325">
        <w:rPr>
          <w:rFonts w:ascii="Courier New" w:eastAsia="Courier New" w:hAnsi="Courier New" w:cs="Courier New"/>
          <w:sz w:val="20"/>
        </w:rPr>
        <w:t xml:space="preserve"> </w:t>
      </w:r>
      <w:r w:rsidRPr="006D3EC5">
        <w:rPr>
          <w:i/>
          <w:sz w:val="20"/>
          <w:highlight w:val="yellow"/>
        </w:rPr>
        <w:t>See In re The Roman Catholic Diocese of Rockville Centre</w:t>
      </w:r>
      <w:r w:rsidRPr="006D3EC5">
        <w:rPr>
          <w:sz w:val="20"/>
          <w:highlight w:val="yellow"/>
        </w:rPr>
        <w:t>, Case No. 20-12345, ECF No. 3236 (</w:t>
      </w:r>
      <w:proofErr w:type="spellStart"/>
      <w:r w:rsidRPr="006D3EC5">
        <w:rPr>
          <w:sz w:val="20"/>
          <w:highlight w:val="yellow"/>
        </w:rPr>
        <w:t>Bankr</w:t>
      </w:r>
      <w:proofErr w:type="spellEnd"/>
      <w:r w:rsidRPr="006D3EC5">
        <w:rPr>
          <w:sz w:val="20"/>
          <w:highlight w:val="yellow"/>
        </w:rPr>
        <w:t>. S.D.N.Y. Aug. 27, 2024);</w:t>
      </w:r>
      <w:r w:rsidRPr="006D3EC5">
        <w:rPr>
          <w:rFonts w:ascii="Courier New" w:eastAsia="Courier New" w:hAnsi="Courier New" w:cs="Courier New"/>
          <w:sz w:val="20"/>
          <w:highlight w:val="yellow"/>
        </w:rPr>
        <w:t xml:space="preserve"> </w:t>
      </w:r>
      <w:r w:rsidRPr="006D3EC5">
        <w:rPr>
          <w:i/>
          <w:sz w:val="20"/>
          <w:highlight w:val="yellow"/>
        </w:rPr>
        <w:t>In re The Roman Catholic Diocese of Buffalo, New York</w:t>
      </w:r>
      <w:r w:rsidRPr="006D3EC5">
        <w:rPr>
          <w:sz w:val="20"/>
          <w:highlight w:val="yellow"/>
        </w:rPr>
        <w:t>, Case No. 20-10322, ECF No. 3345 (</w:t>
      </w:r>
      <w:proofErr w:type="spellStart"/>
      <w:r w:rsidRPr="006D3EC5">
        <w:rPr>
          <w:sz w:val="20"/>
          <w:highlight w:val="yellow"/>
        </w:rPr>
        <w:t>Bankr</w:t>
      </w:r>
      <w:proofErr w:type="spellEnd"/>
      <w:r w:rsidRPr="006D3EC5">
        <w:rPr>
          <w:sz w:val="20"/>
          <w:highlight w:val="yellow"/>
        </w:rPr>
        <w:t xml:space="preserve">. </w:t>
      </w:r>
      <w:r w:rsidRPr="006D3EC5">
        <w:rPr>
          <w:rFonts w:ascii="Calibri" w:eastAsia="Calibri" w:hAnsi="Calibri" w:cs="Calibri"/>
          <w:sz w:val="22"/>
          <w:highlight w:val="yellow"/>
        </w:rPr>
        <w:t xml:space="preserve"> </w:t>
      </w:r>
      <w:r w:rsidRPr="006D3EC5">
        <w:rPr>
          <w:sz w:val="20"/>
          <w:highlight w:val="yellow"/>
        </w:rPr>
        <w:t>W.D.N.Y. Nov. 22, 2024</w:t>
      </w:r>
      <w:proofErr w:type="gramStart"/>
      <w:r w:rsidRPr="00586325">
        <w:rPr>
          <w:sz w:val="20"/>
        </w:rPr>
        <w:t xml:space="preserve">) </w:t>
      </w:r>
      <w:r w:rsidRPr="00586325">
        <w:rPr>
          <w:rFonts w:ascii="Calibri" w:eastAsia="Calibri" w:hAnsi="Calibri" w:cs="Calibri"/>
          <w:sz w:val="22"/>
        </w:rPr>
        <w:t xml:space="preserve"> </w:t>
      </w:r>
      <w:r w:rsidRPr="00586325">
        <w:t>mediation</w:t>
      </w:r>
      <w:proofErr w:type="gramEnd"/>
      <w:r w:rsidRPr="00586325">
        <w:t xml:space="preserve"> as it awaits the outcome of the litigation, which, incidentally, may not even achieve the hypothesized objective of pressuring the Insurers.  Worse, litigation is inherently unpredictable and could jeopardize the insurance available </w:t>
      </w:r>
      <w:r w:rsidRPr="006D3EC5">
        <w:rPr>
          <w:highlight w:val="yellow"/>
        </w:rPr>
        <w:t>to pay CVA claims by generating evidence that the insurers can use to support their coverage defenses</w:t>
      </w:r>
      <w:r w:rsidRPr="00586325">
        <w:t xml:space="preserve">.  Significantly, the insurers have not fully accepted coverage for any of the extant CVA </w:t>
      </w:r>
      <w:proofErr w:type="gramStart"/>
      <w:r w:rsidRPr="00586325">
        <w:t>claims, but</w:t>
      </w:r>
      <w:proofErr w:type="gramEnd"/>
      <w:r w:rsidRPr="00586325">
        <w:t xml:space="preserve"> instead have reserved their rights to deny coverage based on a myriad of exclusions and </w:t>
      </w:r>
      <w:r w:rsidRPr="00586325">
        <w:lastRenderedPageBreak/>
        <w:t xml:space="preserve">limitations.  Whatever the outcome of the CVA cases, the insurers would still be able to assert these coverage defenses.   </w:t>
      </w:r>
      <w:r w:rsidRPr="00586325">
        <w:rPr>
          <w:rFonts w:ascii="Calibri" w:eastAsia="Calibri" w:hAnsi="Calibri" w:cs="Calibri"/>
          <w:sz w:val="22"/>
        </w:rPr>
        <w:t xml:space="preserve"> </w:t>
      </w:r>
    </w:p>
    <w:p w14:paraId="62F581EE" w14:textId="52E5FFB0" w:rsidR="00586325" w:rsidRPr="00586325" w:rsidRDefault="00586325" w:rsidP="00586325">
      <w:pPr>
        <w:spacing w:after="0" w:line="360" w:lineRule="auto"/>
        <w:ind w:left="21" w:right="12"/>
      </w:pPr>
      <w:r w:rsidRPr="00586325">
        <w:t xml:space="preserve"> </w:t>
      </w:r>
      <w:r>
        <w:tab/>
      </w:r>
      <w:r w:rsidRPr="00586325">
        <w:t xml:space="preserve">As more particularly discussed herein, Movants have failed to demonstrate that the relief sought in the Motions satisfies the Second Circuit’s analysis in </w:t>
      </w:r>
      <w:proofErr w:type="gramStart"/>
      <w:r w:rsidRPr="00586325">
        <w:rPr>
          <w:i/>
        </w:rPr>
        <w:t>In</w:t>
      </w:r>
      <w:proofErr w:type="gramEnd"/>
      <w:r w:rsidRPr="00586325">
        <w:rPr>
          <w:i/>
        </w:rPr>
        <w:t xml:space="preserve"> re </w:t>
      </w:r>
      <w:proofErr w:type="spellStart"/>
      <w:r w:rsidRPr="00586325">
        <w:rPr>
          <w:i/>
        </w:rPr>
        <w:t>Sonnax</w:t>
      </w:r>
      <w:proofErr w:type="spellEnd"/>
      <w:r w:rsidRPr="00586325">
        <w:rPr>
          <w:i/>
        </w:rPr>
        <w:t xml:space="preserve"> Industries, Inc.</w:t>
      </w:r>
      <w:r w:rsidRPr="00586325">
        <w:t xml:space="preserve">, 907 F.2d 1280, 1285 (2d Cir. 1990).  The mediation is intended to result in a global resolution of funding and treatment of CVA Claims and equitable distribution of the Debtor’s assets to pay the Debtor’s other classes of creditors.  Stay relief in favor of a small number of survivors whose claims </w:t>
      </w:r>
      <w:r w:rsidRPr="006D3EC5">
        <w:rPr>
          <w:highlight w:val="yellow"/>
        </w:rPr>
        <w:t xml:space="preserve">have not been shown to be representative of CVA Claims in general may indicate the verdict value of the Movants’ claims but they do not aid all of the parties, including other survivors and plaintiffs’ counsel, in assessing the risks of adverse or more limited verdicts in some of the pending CVA Actions.  Indeed, verdict values have been held to artificially inflate the value of survivor claims and “may create a subjective criterion which ignores the risks and costs of the tort </w:t>
      </w:r>
      <w:proofErr w:type="gramStart"/>
      <w:r w:rsidRPr="006D3EC5">
        <w:rPr>
          <w:highlight w:val="yellow"/>
        </w:rPr>
        <w:t>system, and</w:t>
      </w:r>
      <w:proofErr w:type="gramEnd"/>
      <w:r w:rsidRPr="006D3EC5">
        <w:rPr>
          <w:highlight w:val="yellow"/>
        </w:rPr>
        <w:t xml:space="preserve"> artificially inflate the value of claims.”</w:t>
      </w:r>
      <w:r w:rsidRPr="00586325">
        <w:t xml:space="preserve">  </w:t>
      </w:r>
      <w:r w:rsidRPr="00586325">
        <w:rPr>
          <w:i/>
        </w:rPr>
        <w:t xml:space="preserve">In re Diocese of Camden, </w:t>
      </w:r>
      <w:r w:rsidRPr="00586325">
        <w:t>653 B.R. 309, 357 (</w:t>
      </w:r>
      <w:proofErr w:type="spellStart"/>
      <w:r w:rsidRPr="00586325">
        <w:t>Bankr</w:t>
      </w:r>
      <w:proofErr w:type="spellEnd"/>
      <w:r w:rsidRPr="00586325">
        <w:t xml:space="preserve">. </w:t>
      </w:r>
      <w:r w:rsidRPr="00586325">
        <w:rPr>
          <w:rFonts w:ascii="Calibri" w:eastAsia="Calibri" w:hAnsi="Calibri" w:cs="Calibri"/>
          <w:sz w:val="22"/>
        </w:rPr>
        <w:t xml:space="preserve"> </w:t>
      </w:r>
    </w:p>
    <w:p w14:paraId="7F86760D" w14:textId="77777777" w:rsidR="00586325" w:rsidRPr="00586325" w:rsidRDefault="00586325" w:rsidP="00586325">
      <w:pPr>
        <w:spacing w:after="0" w:line="360" w:lineRule="auto"/>
        <w:ind w:left="21" w:right="12"/>
      </w:pPr>
      <w:r w:rsidRPr="00586325">
        <w:t xml:space="preserve">D. N.J. 2023) </w:t>
      </w:r>
      <w:r w:rsidRPr="00586325">
        <w:rPr>
          <w:rFonts w:ascii="Calibri" w:eastAsia="Calibri" w:hAnsi="Calibri" w:cs="Calibri"/>
          <w:sz w:val="22"/>
        </w:rPr>
        <w:t xml:space="preserve"> </w:t>
      </w:r>
    </w:p>
    <w:p w14:paraId="2FDDF224" w14:textId="7CFA7278" w:rsidR="00586325" w:rsidRPr="00586325" w:rsidRDefault="00586325" w:rsidP="00586325">
      <w:pPr>
        <w:spacing w:after="0" w:line="360" w:lineRule="auto"/>
        <w:ind w:left="11" w:right="12" w:firstLine="720"/>
      </w:pPr>
      <w:r w:rsidRPr="00586325">
        <w:t xml:space="preserve">The Motions are directed at the Insurers with the intent presumably being to choose cases that assert particularly terrible claims of abuse that are likely to result in substantial verdicts.  </w:t>
      </w:r>
      <w:r w:rsidRPr="006D3EC5">
        <w:rPr>
          <w:highlight w:val="yellow"/>
        </w:rPr>
        <w:t xml:space="preserve">Failing to include cases that may be subject to defenses or whose allegations may be more difficult to prove and that may result in smaller verdicts or dismissal following motion practice will </w:t>
      </w:r>
      <w:r w:rsidRPr="006D3EC5">
        <w:rPr>
          <w:rFonts w:ascii="Calibri" w:eastAsia="Calibri" w:hAnsi="Calibri" w:cs="Calibri"/>
          <w:sz w:val="22"/>
          <w:highlight w:val="yellow"/>
        </w:rPr>
        <w:t xml:space="preserve"> </w:t>
      </w:r>
      <w:r w:rsidRPr="006D3EC5">
        <w:rPr>
          <w:highlight w:val="yellow"/>
        </w:rPr>
        <w:t>inevitably present a skewed perspective that fails to meaningfully inform claimants and their respective counsel of different potential outcomes from those cases chosen to prompt the Insurers to participate more fulsomely in the mediation process.  If the Court determines that stay relief is appropriate to allow “test cases” to proceed, those cases should be representative of the risks and range of outcomes rather than be limited to a few cases presumably chosen because of the likelihood of substantial verdicts in favor of survivors</w:t>
      </w:r>
      <w:r w:rsidRPr="006D3EC5">
        <w:rPr>
          <w:highlight w:val="yellow"/>
          <w:vertAlign w:val="superscript"/>
        </w:rPr>
        <w:t>7</w:t>
      </w:r>
      <w:r w:rsidRPr="006D3EC5">
        <w:rPr>
          <w:highlight w:val="yellow"/>
        </w:rPr>
        <w:t>.</w:t>
      </w:r>
      <w:r w:rsidRPr="00586325">
        <w:t xml:space="preserve">  Indeed, that rationale was specifically raised and applied by Judge Glenn in the Rockville Centre Diocese case in his denial of motions for stay relief by plaintiff-survivors who sought to proceed with test cases based on the same claim raised in the Motions – absent active state court litigation with the threat of substantial verdicts insurers would not meaningfully participate in mediation and plan funding.</w:t>
      </w:r>
      <w:r w:rsidRPr="00586325">
        <w:rPr>
          <w:vertAlign w:val="superscript"/>
        </w:rPr>
        <w:t>8</w:t>
      </w:r>
      <w:r w:rsidRPr="00586325">
        <w:t xml:space="preserve">  </w:t>
      </w:r>
      <w:r w:rsidRPr="006D3EC5">
        <w:rPr>
          <w:highlight w:val="yellow"/>
        </w:rPr>
        <w:t>Absent evidence that the Movants’ cases are representative of the potential range of outcomes – from dismissal to substantial verdict with recoveries within that range as well – the Motions should be denied</w:t>
      </w:r>
      <w:r w:rsidRPr="00586325">
        <w:t xml:space="preserve">.  The clear intent of the Motions is to impress on the Insurers their risks attendant to the Movants’ CVA </w:t>
      </w:r>
      <w:r w:rsidRPr="00586325">
        <w:rPr>
          <w:rFonts w:ascii="Calibri" w:eastAsia="Calibri" w:hAnsi="Calibri" w:cs="Calibri"/>
          <w:sz w:val="22"/>
        </w:rPr>
        <w:t xml:space="preserve"> </w:t>
      </w:r>
    </w:p>
    <w:p w14:paraId="709F2CA9" w14:textId="77777777" w:rsidR="00586325" w:rsidRPr="00586325" w:rsidRDefault="00586325" w:rsidP="00586325">
      <w:pPr>
        <w:spacing w:after="0" w:line="360" w:lineRule="auto"/>
        <w:ind w:left="14" w:firstLine="0"/>
        <w:jc w:val="left"/>
      </w:pPr>
      <w:r w:rsidRPr="00586325">
        <w:rPr>
          <w:rFonts w:ascii="Calibri" w:eastAsia="Calibri" w:hAnsi="Calibri" w:cs="Calibri"/>
          <w:noProof/>
          <w:sz w:val="22"/>
        </w:rPr>
        <w:lastRenderedPageBreak/>
        <mc:AlternateContent>
          <mc:Choice Requires="wpg">
            <w:drawing>
              <wp:inline distT="0" distB="0" distL="0" distR="0" wp14:anchorId="016AB7AE" wp14:editId="76152D14">
                <wp:extent cx="1828800" cy="8889"/>
                <wp:effectExtent l="0" t="0" r="0" b="0"/>
                <wp:docPr id="18690" name="Group 18690"/>
                <wp:cNvGraphicFramePr/>
                <a:graphic xmlns:a="http://schemas.openxmlformats.org/drawingml/2006/main">
                  <a:graphicData uri="http://schemas.microsoft.com/office/word/2010/wordprocessingGroup">
                    <wpg:wgp>
                      <wpg:cNvGrpSpPr/>
                      <wpg:grpSpPr>
                        <a:xfrm>
                          <a:off x="0" y="0"/>
                          <a:ext cx="1828800" cy="8889"/>
                          <a:chOff x="0" y="0"/>
                          <a:chExt cx="1828800" cy="8889"/>
                        </a:xfrm>
                      </wpg:grpSpPr>
                      <wps:wsp>
                        <wps:cNvPr id="22567" name="Shape 2256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67F9B1C" id="Group 18690" o:spid="_x0000_s1026" style="width:2in;height:.7pt;mso-position-horizontal-relative:char;mso-position-vertical-relative:line" coordsize="182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">
                <v:shape id="Shape 22567"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r w:rsidRPr="00586325">
        <w:rPr>
          <w:rFonts w:ascii="Calibri" w:eastAsia="Calibri" w:hAnsi="Calibri" w:cs="Calibri"/>
          <w:sz w:val="22"/>
        </w:rPr>
        <w:t xml:space="preserve">  </w:t>
      </w:r>
    </w:p>
    <w:p w14:paraId="25814A94" w14:textId="77777777" w:rsidR="00586325" w:rsidRPr="00586325" w:rsidRDefault="00586325" w:rsidP="00586325">
      <w:pPr>
        <w:numPr>
          <w:ilvl w:val="0"/>
          <w:numId w:val="12"/>
        </w:numPr>
        <w:spacing w:after="0" w:line="360" w:lineRule="auto"/>
      </w:pPr>
      <w:r w:rsidRPr="00586325">
        <w:rPr>
          <w:sz w:val="20"/>
        </w:rPr>
        <w:t>Neither counsel for the Movants nor the Tort Committee consulted counsel for the Debtor regarding the selection of potential test cases.</w:t>
      </w:r>
      <w:r w:rsidRPr="00586325">
        <w:rPr>
          <w:rFonts w:ascii="Courier New" w:eastAsia="Courier New" w:hAnsi="Courier New" w:cs="Courier New"/>
          <w:sz w:val="20"/>
        </w:rPr>
        <w:t xml:space="preserve"> </w:t>
      </w:r>
      <w:r w:rsidRPr="00586325">
        <w:rPr>
          <w:rFonts w:ascii="Calibri" w:eastAsia="Calibri" w:hAnsi="Calibri" w:cs="Calibri"/>
          <w:sz w:val="22"/>
        </w:rPr>
        <w:t xml:space="preserve"> </w:t>
      </w:r>
    </w:p>
    <w:p w14:paraId="6C16DAEB" w14:textId="77777777" w:rsidR="00586325" w:rsidRPr="00586325" w:rsidRDefault="00586325" w:rsidP="00586325">
      <w:pPr>
        <w:numPr>
          <w:ilvl w:val="0"/>
          <w:numId w:val="12"/>
        </w:numPr>
        <w:spacing w:after="0" w:line="360" w:lineRule="auto"/>
      </w:pPr>
      <w:r w:rsidRPr="00586325">
        <w:rPr>
          <w:i/>
          <w:sz w:val="20"/>
        </w:rPr>
        <w:t>In re The Roman Catholic Diocese of Rockville Centre, New York,</w:t>
      </w:r>
      <w:r w:rsidRPr="00586325">
        <w:rPr>
          <w:sz w:val="20"/>
        </w:rPr>
        <w:t xml:space="preserve"> Case No. 20-12345 (MG) (</w:t>
      </w:r>
      <w:proofErr w:type="spellStart"/>
      <w:r w:rsidRPr="00586325">
        <w:rPr>
          <w:sz w:val="20"/>
        </w:rPr>
        <w:t>Bankr</w:t>
      </w:r>
      <w:proofErr w:type="spellEnd"/>
      <w:r w:rsidRPr="00586325">
        <w:rPr>
          <w:sz w:val="20"/>
        </w:rPr>
        <w:t xml:space="preserve">. S.D.N.Y. December 19, 2023) (ECF No.  2753, the “Rockville Centre Transcript” at 45:14-18, 45:24-46:1): </w:t>
      </w:r>
      <w:r w:rsidRPr="00586325">
        <w:rPr>
          <w:rFonts w:ascii="Calibri" w:eastAsia="Calibri" w:hAnsi="Calibri" w:cs="Calibri"/>
          <w:sz w:val="22"/>
        </w:rPr>
        <w:t xml:space="preserve"> </w:t>
      </w:r>
      <w:r w:rsidRPr="00586325">
        <w:rPr>
          <w:rFonts w:ascii="Courier New" w:eastAsia="Courier New" w:hAnsi="Courier New" w:cs="Courier New"/>
          <w:sz w:val="20"/>
        </w:rPr>
        <w:t xml:space="preserve"> </w:t>
      </w:r>
      <w:r w:rsidRPr="00586325">
        <w:rPr>
          <w:rFonts w:ascii="Calibri" w:eastAsia="Calibri" w:hAnsi="Calibri" w:cs="Calibri"/>
          <w:sz w:val="22"/>
        </w:rPr>
        <w:t xml:space="preserve"> </w:t>
      </w:r>
    </w:p>
    <w:p w14:paraId="41A54997" w14:textId="7F2F8611" w:rsidR="00586325" w:rsidRPr="00586325" w:rsidRDefault="00586325" w:rsidP="00586325">
      <w:pPr>
        <w:spacing w:after="0" w:line="360" w:lineRule="auto"/>
        <w:ind w:left="9"/>
      </w:pPr>
      <w:r w:rsidRPr="00586325">
        <w:rPr>
          <w:sz w:val="20"/>
        </w:rPr>
        <w:t xml:space="preserve">“Mr. Stang [counsel for the </w:t>
      </w:r>
      <w:proofErr w:type="gramStart"/>
      <w:r w:rsidRPr="00586325">
        <w:rPr>
          <w:sz w:val="20"/>
        </w:rPr>
        <w:t>Committee]…</w:t>
      </w:r>
      <w:proofErr w:type="gramEnd"/>
      <w:r w:rsidRPr="00586325">
        <w:rPr>
          <w:sz w:val="20"/>
        </w:rPr>
        <w:t xml:space="preserve"> Your Honor, the Committee filed the motion for two purposes.  One was that we hoped that the test cases can serve to breach an impasse that is between the committee and state court counsel on the one hand and the Debtor, the Debtor’s affiliates, and perhaps as importantly or maybe more importantly, the insurer. </w:t>
      </w:r>
      <w:r w:rsidRPr="00586325">
        <w:rPr>
          <w:rFonts w:ascii="Calibri" w:eastAsia="Calibri" w:hAnsi="Calibri" w:cs="Calibri"/>
          <w:sz w:val="22"/>
        </w:rPr>
        <w:t xml:space="preserve"> </w:t>
      </w:r>
      <w:r w:rsidRPr="00586325">
        <w:rPr>
          <w:sz w:val="20"/>
        </w:rPr>
        <w:t xml:space="preserve">The Court: One thing that I never said was to pick your strongest cases, and those are the ones that ought to be tried.”  </w:t>
      </w:r>
      <w:r w:rsidRPr="00586325">
        <w:rPr>
          <w:rFonts w:ascii="Calibri" w:eastAsia="Calibri" w:hAnsi="Calibri" w:cs="Calibri"/>
          <w:sz w:val="22"/>
        </w:rPr>
        <w:t xml:space="preserve"> </w:t>
      </w:r>
      <w:r w:rsidRPr="00586325">
        <w:rPr>
          <w:sz w:val="20"/>
        </w:rPr>
        <w:t>Rockville Centre Transcript at 55:8-18</w:t>
      </w:r>
      <w:proofErr w:type="gramStart"/>
      <w:r w:rsidRPr="00586325">
        <w:rPr>
          <w:sz w:val="20"/>
        </w:rPr>
        <w:t xml:space="preserve">: </w:t>
      </w:r>
      <w:r w:rsidRPr="00586325">
        <w:rPr>
          <w:rFonts w:ascii="Calibri" w:eastAsia="Calibri" w:hAnsi="Calibri" w:cs="Calibri"/>
          <w:sz w:val="22"/>
        </w:rPr>
        <w:t xml:space="preserve"> </w:t>
      </w:r>
      <w:r w:rsidRPr="00586325">
        <w:rPr>
          <w:sz w:val="20"/>
        </w:rPr>
        <w:t>The</w:t>
      </w:r>
      <w:proofErr w:type="gramEnd"/>
      <w:r w:rsidRPr="00586325">
        <w:rPr>
          <w:sz w:val="20"/>
        </w:rPr>
        <w:t xml:space="preserve"> Court: The motion that you made is denied.  Because making a motion is not an opportunity to negotiate with me about who should pick the cases, weak cases, strong cases.  You filed a </w:t>
      </w:r>
      <w:proofErr w:type="gramStart"/>
      <w:r w:rsidRPr="00586325">
        <w:rPr>
          <w:sz w:val="20"/>
        </w:rPr>
        <w:t>motion</w:t>
      </w:r>
      <w:proofErr w:type="gramEnd"/>
      <w:r w:rsidRPr="00586325">
        <w:rPr>
          <w:sz w:val="20"/>
        </w:rPr>
        <w:t xml:space="preserve"> and you said let us pick the strongest cases.  That’s not how it works. Okay?  That’s not what the purpose of bellwether trials are, test cases.  It’s to set the data points so that potentially all- the plaintiffs and defendants can all get a sense of this is kind of the- here’s a selection of cases, this is the range of outcomes in those, and it should guide the discussions and negotiations.”  </w:t>
      </w:r>
      <w:r w:rsidRPr="00586325">
        <w:rPr>
          <w:rFonts w:ascii="Calibri" w:eastAsia="Calibri" w:hAnsi="Calibri" w:cs="Calibri"/>
          <w:sz w:val="22"/>
        </w:rPr>
        <w:t xml:space="preserve"> </w:t>
      </w:r>
    </w:p>
    <w:p w14:paraId="7D04F4D4" w14:textId="77777777" w:rsidR="00586325" w:rsidRPr="00586325" w:rsidRDefault="00586325" w:rsidP="00586325">
      <w:pPr>
        <w:spacing w:after="0" w:line="360" w:lineRule="auto"/>
        <w:ind w:left="14" w:firstLine="0"/>
        <w:jc w:val="left"/>
      </w:pPr>
      <w:r w:rsidRPr="00586325">
        <w:rPr>
          <w:rFonts w:ascii="Courier New" w:eastAsia="Courier New" w:hAnsi="Courier New" w:cs="Courier New"/>
          <w:sz w:val="20"/>
        </w:rPr>
        <w:t xml:space="preserve"> </w:t>
      </w:r>
      <w:r w:rsidRPr="00586325">
        <w:rPr>
          <w:rFonts w:ascii="Calibri" w:eastAsia="Calibri" w:hAnsi="Calibri" w:cs="Calibri"/>
          <w:sz w:val="22"/>
        </w:rPr>
        <w:t xml:space="preserve"> </w:t>
      </w:r>
    </w:p>
    <w:p w14:paraId="7973BF8F" w14:textId="77777777" w:rsidR="00586325" w:rsidRPr="00586325" w:rsidRDefault="00586325" w:rsidP="00586325">
      <w:pPr>
        <w:spacing w:after="0" w:line="360" w:lineRule="auto"/>
        <w:ind w:left="21" w:right="12"/>
      </w:pPr>
      <w:r w:rsidRPr="00586325">
        <w:t xml:space="preserve">Actions going to trial.  </w:t>
      </w:r>
      <w:r w:rsidRPr="006D3EC5">
        <w:rPr>
          <w:highlight w:val="yellow"/>
        </w:rPr>
        <w:t>Plaintiffs and their counsel should similarly have the benefit of potential adverse decisions in CVA Actions to inform their position in the mediation as well</w:t>
      </w:r>
      <w:r w:rsidRPr="00586325">
        <w:t xml:space="preserve">.   </w:t>
      </w:r>
      <w:r w:rsidRPr="00586325">
        <w:rPr>
          <w:rFonts w:ascii="Calibri" w:eastAsia="Calibri" w:hAnsi="Calibri" w:cs="Calibri"/>
          <w:sz w:val="22"/>
        </w:rPr>
        <w:t xml:space="preserve"> </w:t>
      </w:r>
    </w:p>
    <w:p w14:paraId="6888BC8B" w14:textId="77777777" w:rsidR="00586325" w:rsidRPr="00586325" w:rsidRDefault="00586325" w:rsidP="00586325">
      <w:pPr>
        <w:spacing w:after="0" w:line="360" w:lineRule="auto"/>
        <w:ind w:left="13"/>
        <w:jc w:val="center"/>
      </w:pPr>
      <w:r w:rsidRPr="00586325">
        <w:rPr>
          <w:b/>
          <w:u w:val="single" w:color="000000"/>
        </w:rPr>
        <w:t>BACKGROUND</w:t>
      </w:r>
      <w:r w:rsidRPr="00586325">
        <w:rPr>
          <w:b/>
        </w:rPr>
        <w:t xml:space="preserve"> </w:t>
      </w:r>
      <w:r w:rsidRPr="00586325">
        <w:rPr>
          <w:rFonts w:ascii="Calibri" w:eastAsia="Calibri" w:hAnsi="Calibri" w:cs="Calibri"/>
        </w:rPr>
        <w:t xml:space="preserve"> </w:t>
      </w:r>
    </w:p>
    <w:p w14:paraId="60B61A67" w14:textId="77777777" w:rsidR="00586325" w:rsidRPr="00586325" w:rsidRDefault="00586325" w:rsidP="00586325">
      <w:pPr>
        <w:keepNext/>
        <w:keepLines/>
        <w:spacing w:after="0" w:line="360" w:lineRule="auto"/>
        <w:ind w:left="9"/>
        <w:jc w:val="left"/>
        <w:outlineLvl w:val="0"/>
        <w:rPr>
          <w:rFonts w:eastAsia="Calibri"/>
          <w:b/>
          <w:bCs/>
          <w:color w:val="0F4761"/>
        </w:rPr>
      </w:pPr>
      <w:r w:rsidRPr="00586325">
        <w:rPr>
          <w:rFonts w:eastAsia="Calibri"/>
          <w:b/>
          <w:bCs/>
          <w:color w:val="0F4761"/>
        </w:rPr>
        <w:t>A.</w:t>
      </w:r>
      <w:r w:rsidRPr="00586325">
        <w:rPr>
          <w:rFonts w:eastAsia="Arial"/>
          <w:b/>
          <w:bCs/>
          <w:color w:val="0F4761"/>
        </w:rPr>
        <w:t xml:space="preserve"> </w:t>
      </w:r>
      <w:r w:rsidRPr="00586325">
        <w:rPr>
          <w:rFonts w:eastAsia="Calibri"/>
          <w:b/>
          <w:bCs/>
          <w:color w:val="0F4761"/>
        </w:rPr>
        <w:t xml:space="preserve">New York Child Victims Act  </w:t>
      </w:r>
    </w:p>
    <w:p w14:paraId="451FCF90" w14:textId="77777777" w:rsidR="00586325" w:rsidRPr="00586325" w:rsidRDefault="00586325" w:rsidP="00586325">
      <w:pPr>
        <w:spacing w:after="0" w:line="360" w:lineRule="auto"/>
        <w:ind w:left="11" w:right="12" w:firstLine="720"/>
      </w:pPr>
      <w:r w:rsidRPr="00586325">
        <w:t>1.</w:t>
      </w:r>
      <w:r w:rsidRPr="00586325">
        <w:rPr>
          <w:rFonts w:ascii="Arial" w:eastAsia="Arial" w:hAnsi="Arial" w:cs="Arial"/>
        </w:rPr>
        <w:t xml:space="preserve"> </w:t>
      </w:r>
      <w:r w:rsidRPr="00586325">
        <w:t xml:space="preserve">On January 28, 2019, the New York State Legislature passed the Child Victims Act (the “CVA”).  On February 14, 2019, Governor Andrew Cuomo signed the legislation into law.  In general, the CVA re-opened the applicable statute of limitations for claims of child sexual abuse that had otherwise expired. Victims covered by the CVA for whom the applicable statute of limitations had expired were given a one-year period until August 14, </w:t>
      </w:r>
      <w:proofErr w:type="gramStart"/>
      <w:r w:rsidRPr="00586325">
        <w:t>2020</w:t>
      </w:r>
      <w:proofErr w:type="gramEnd"/>
      <w:r w:rsidRPr="00586325">
        <w:t xml:space="preserve"> within which to file a CVA claim.  As a result of the COVID-19 pandemic, that statute of limitations was further extended until August 14, 2021.  In addition, the CVA provided that for any claim that had not expired under the prior statute of limitations starting when the victim turned 18 years of age, that victim has until reaching age 55 to file a CVA claim. </w:t>
      </w:r>
      <w:r w:rsidRPr="00586325">
        <w:rPr>
          <w:rFonts w:ascii="Calibri" w:eastAsia="Calibri" w:hAnsi="Calibri" w:cs="Calibri"/>
          <w:sz w:val="22"/>
        </w:rPr>
        <w:t xml:space="preserve"> </w:t>
      </w:r>
    </w:p>
    <w:p w14:paraId="706AA199" w14:textId="77777777" w:rsidR="00586325" w:rsidRPr="00586325" w:rsidRDefault="00586325" w:rsidP="00586325">
      <w:pPr>
        <w:keepNext/>
        <w:keepLines/>
        <w:spacing w:after="0" w:line="360" w:lineRule="auto"/>
        <w:ind w:left="9"/>
        <w:jc w:val="left"/>
        <w:outlineLvl w:val="0"/>
        <w:rPr>
          <w:rFonts w:eastAsia="Calibri"/>
          <w:b/>
          <w:bCs/>
          <w:color w:val="0F4761"/>
        </w:rPr>
      </w:pPr>
      <w:r w:rsidRPr="00586325">
        <w:rPr>
          <w:rFonts w:eastAsia="Calibri"/>
          <w:b/>
          <w:bCs/>
          <w:color w:val="0F4761"/>
        </w:rPr>
        <w:t>B.</w:t>
      </w:r>
      <w:r w:rsidRPr="00586325">
        <w:rPr>
          <w:rFonts w:eastAsia="Arial"/>
          <w:b/>
          <w:bCs/>
          <w:color w:val="0F4761"/>
        </w:rPr>
        <w:t xml:space="preserve"> </w:t>
      </w:r>
      <w:r w:rsidRPr="00586325">
        <w:rPr>
          <w:rFonts w:eastAsia="Calibri"/>
          <w:b/>
          <w:bCs/>
          <w:color w:val="0F4761"/>
        </w:rPr>
        <w:t xml:space="preserve">This Chapter 11 Case  </w:t>
      </w:r>
    </w:p>
    <w:p w14:paraId="45C66610" w14:textId="77777777" w:rsidR="00586325" w:rsidRPr="00586325" w:rsidRDefault="00586325" w:rsidP="00586325">
      <w:pPr>
        <w:numPr>
          <w:ilvl w:val="0"/>
          <w:numId w:val="13"/>
        </w:numPr>
        <w:spacing w:after="0" w:line="360" w:lineRule="auto"/>
        <w:ind w:right="12"/>
      </w:pPr>
      <w:r w:rsidRPr="00586325">
        <w:t xml:space="preserve">The Debtor filed a petition for relief (the “Petition”) on March 15, 2023 (the “Filing Date”) under Chapter 11 of Title 11 of the United States Code (11 U.S.C.  §101, </w:t>
      </w:r>
      <w:r w:rsidRPr="00586325">
        <w:rPr>
          <w:i/>
        </w:rPr>
        <w:t>et seq.</w:t>
      </w:r>
      <w:r w:rsidRPr="00586325">
        <w:t xml:space="preserve">, the “Code”) in the United States Bankruptcy Court for the Northern District of New York (the “Court”) and is a </w:t>
      </w:r>
      <w:r w:rsidRPr="00586325">
        <w:lastRenderedPageBreak/>
        <w:t xml:space="preserve">debtor and debtor in possession pursuant to §§1107 and 1108 of the Code.  No trustee or examiner has been appointed in this case. </w:t>
      </w:r>
      <w:r w:rsidRPr="00586325">
        <w:rPr>
          <w:rFonts w:ascii="Calibri" w:eastAsia="Calibri" w:hAnsi="Calibri" w:cs="Calibri"/>
          <w:sz w:val="22"/>
        </w:rPr>
        <w:t xml:space="preserve"> </w:t>
      </w:r>
    </w:p>
    <w:p w14:paraId="565D9CC0" w14:textId="5924F8D3" w:rsidR="00586325" w:rsidRPr="00586325" w:rsidRDefault="00586325" w:rsidP="00586325">
      <w:pPr>
        <w:numPr>
          <w:ilvl w:val="0"/>
          <w:numId w:val="13"/>
        </w:numPr>
        <w:spacing w:after="0" w:line="360" w:lineRule="auto"/>
        <w:ind w:left="21" w:right="12"/>
        <w:jc w:val="center"/>
      </w:pPr>
      <w:r w:rsidRPr="00586325">
        <w:t xml:space="preserve">From August 14, </w:t>
      </w:r>
      <w:proofErr w:type="gramStart"/>
      <w:r w:rsidRPr="00586325">
        <w:t>2019</w:t>
      </w:r>
      <w:proofErr w:type="gramEnd"/>
      <w:r w:rsidRPr="00586325">
        <w:t xml:space="preserve"> until the Filing Date, </w:t>
      </w:r>
      <w:r w:rsidRPr="006D3EC5">
        <w:rPr>
          <w:highlight w:val="yellow"/>
        </w:rPr>
        <w:t xml:space="preserve">a total of approximately 440 actions </w:t>
      </w:r>
      <w:proofErr w:type="gramStart"/>
      <w:r w:rsidRPr="006D3EC5">
        <w:rPr>
          <w:highlight w:val="yellow"/>
        </w:rPr>
        <w:t>have</w:t>
      </w:r>
      <w:proofErr w:type="gramEnd"/>
      <w:r w:rsidRPr="006D3EC5">
        <w:rPr>
          <w:highlight w:val="yellow"/>
        </w:rPr>
        <w:t xml:space="preserve"> been filed in New York State Supreme Court</w:t>
      </w:r>
      <w:r w:rsidRPr="00586325">
        <w:t xml:space="preserve">, Albany County (the “CVA Actions”) by individuals (the “CVA Claimants”) claiming damages as the result of child sexual abuse in which the Debtor is named as a defendant.  </w:t>
      </w:r>
      <w:proofErr w:type="gramStart"/>
      <w:r w:rsidRPr="00586325">
        <w:t>A number of</w:t>
      </w:r>
      <w:proofErr w:type="gramEnd"/>
      <w:r w:rsidRPr="00586325">
        <w:t xml:space="preserve"> Parishes and certain other Non-Debtor </w:t>
      </w:r>
      <w:proofErr w:type="gramStart"/>
      <w:r w:rsidRPr="00586325">
        <w:t xml:space="preserve">Entities </w:t>
      </w:r>
      <w:r w:rsidRPr="00586325">
        <w:rPr>
          <w:rFonts w:ascii="Calibri" w:eastAsia="Calibri" w:hAnsi="Calibri" w:cs="Calibri"/>
          <w:sz w:val="22"/>
        </w:rPr>
        <w:t xml:space="preserve"> </w:t>
      </w:r>
      <w:r w:rsidRPr="00586325">
        <w:t>are</w:t>
      </w:r>
      <w:proofErr w:type="gramEnd"/>
      <w:r w:rsidRPr="00586325">
        <w:t xml:space="preserve"> named as co-defendants with the Debtor in those actions asserting claims for damages arising from the Debtor’s and/or the Non-Debtor Entities’ negligence in connection with the alleged </w:t>
      </w:r>
      <w:r>
        <w:t>c</w:t>
      </w:r>
      <w:r w:rsidRPr="00586325">
        <w:t xml:space="preserve">laims of sexual abuse.   </w:t>
      </w:r>
      <w:r w:rsidRPr="00586325">
        <w:rPr>
          <w:rFonts w:ascii="Calibri" w:eastAsia="Calibri" w:hAnsi="Calibri" w:cs="Calibri"/>
          <w:sz w:val="22"/>
        </w:rPr>
        <w:t xml:space="preserve"> </w:t>
      </w:r>
    </w:p>
    <w:p w14:paraId="60535B8C" w14:textId="77777777" w:rsidR="00586325" w:rsidRPr="00586325" w:rsidRDefault="00586325" w:rsidP="00586325">
      <w:pPr>
        <w:numPr>
          <w:ilvl w:val="0"/>
          <w:numId w:val="13"/>
        </w:numPr>
        <w:spacing w:after="0" w:line="360" w:lineRule="auto"/>
        <w:ind w:right="12"/>
      </w:pPr>
      <w:r w:rsidRPr="00586325">
        <w:t xml:space="preserve">On November 28, 2023, the Bankruptcy Court entered an Interim Order Referring the Adversary Proceeding to Mandatory Global Mediation. The Interim Mediation Order directs the parties, including the Debtor, Tort Committee, Committee of General Unsecured Creditors, and the Parishes to participate in a global mediation with the aim of reaching a global settlement and a consensual Chapter 11 Plan. </w:t>
      </w:r>
      <w:r w:rsidRPr="00586325">
        <w:rPr>
          <w:rFonts w:ascii="Calibri" w:eastAsia="Calibri" w:hAnsi="Calibri" w:cs="Calibri"/>
          <w:sz w:val="22"/>
        </w:rPr>
        <w:t xml:space="preserve"> </w:t>
      </w:r>
    </w:p>
    <w:p w14:paraId="78EBF5FA" w14:textId="77777777" w:rsidR="00586325" w:rsidRPr="00586325" w:rsidRDefault="00586325" w:rsidP="00586325">
      <w:pPr>
        <w:numPr>
          <w:ilvl w:val="0"/>
          <w:numId w:val="13"/>
        </w:numPr>
        <w:spacing w:after="0" w:line="360" w:lineRule="auto"/>
        <w:ind w:right="12"/>
      </w:pPr>
      <w:r w:rsidRPr="00586325">
        <w:t xml:space="preserve">Since that time, the parties have been actively participating in mediation, including attending in-person and virtual mediation sessions as well as exchanging voluminous documents and records. </w:t>
      </w:r>
      <w:r w:rsidRPr="00586325">
        <w:rPr>
          <w:rFonts w:ascii="Calibri" w:eastAsia="Calibri" w:hAnsi="Calibri" w:cs="Calibri"/>
          <w:sz w:val="22"/>
        </w:rPr>
        <w:t xml:space="preserve"> </w:t>
      </w:r>
    </w:p>
    <w:p w14:paraId="0F487C26" w14:textId="77777777" w:rsidR="00586325" w:rsidRPr="00586325" w:rsidRDefault="00586325" w:rsidP="00586325">
      <w:pPr>
        <w:numPr>
          <w:ilvl w:val="0"/>
          <w:numId w:val="14"/>
        </w:numPr>
        <w:spacing w:after="0" w:line="360" w:lineRule="auto"/>
        <w:jc w:val="left"/>
        <w:rPr>
          <w:b/>
          <w:bCs/>
        </w:rPr>
      </w:pPr>
      <w:r w:rsidRPr="00586325">
        <w:rPr>
          <w:b/>
          <w:bCs/>
          <w:color w:val="0F4761"/>
          <w:u w:val="single" w:color="000000"/>
        </w:rPr>
        <w:t>The Prior Stay Stipulations</w:t>
      </w:r>
      <w:r w:rsidRPr="00586325">
        <w:rPr>
          <w:b/>
          <w:bCs/>
          <w:color w:val="0F4761"/>
        </w:rPr>
        <w:t xml:space="preserve"> </w:t>
      </w:r>
      <w:r w:rsidRPr="00586325">
        <w:rPr>
          <w:rFonts w:ascii="Calibri" w:eastAsia="Calibri" w:hAnsi="Calibri" w:cs="Calibri"/>
          <w:b/>
          <w:bCs/>
          <w:color w:val="0F4761"/>
        </w:rPr>
        <w:t xml:space="preserve"> </w:t>
      </w:r>
    </w:p>
    <w:p w14:paraId="6ACF68E3" w14:textId="77777777" w:rsidR="00586325" w:rsidRPr="00586325" w:rsidRDefault="00586325" w:rsidP="00586325">
      <w:pPr>
        <w:numPr>
          <w:ilvl w:val="1"/>
          <w:numId w:val="14"/>
        </w:numPr>
        <w:spacing w:after="0" w:line="360" w:lineRule="auto"/>
        <w:ind w:right="12"/>
      </w:pPr>
      <w:r w:rsidRPr="00586325">
        <w:t xml:space="preserve">In furtherance of the global mediation, the Court approved a series of stipulations staying the continued prosecution of certain state court CVA actions that were brought against certain Parishes (collectively, the “Parish Stay Stipulation”).  (ECF Nos. 962, 1074, 1225, 1297, 1299).   </w:t>
      </w:r>
      <w:r w:rsidRPr="00586325">
        <w:rPr>
          <w:rFonts w:ascii="Calibri" w:eastAsia="Calibri" w:hAnsi="Calibri" w:cs="Calibri"/>
          <w:sz w:val="22"/>
        </w:rPr>
        <w:t xml:space="preserve"> </w:t>
      </w:r>
    </w:p>
    <w:p w14:paraId="31F7B750" w14:textId="77777777" w:rsidR="00586325" w:rsidRPr="00586325" w:rsidRDefault="00586325" w:rsidP="00586325">
      <w:pPr>
        <w:numPr>
          <w:ilvl w:val="1"/>
          <w:numId w:val="14"/>
        </w:numPr>
        <w:spacing w:after="0" w:line="360" w:lineRule="auto"/>
        <w:ind w:right="12"/>
      </w:pPr>
      <w:r w:rsidRPr="00586325">
        <w:t xml:space="preserve">The Parish Stay Stipulation expired by its terms on December 9, 2024.  Counsel for the Tort Committee declined to consent to a further extension of the stipulation. </w:t>
      </w:r>
      <w:r w:rsidRPr="00586325">
        <w:rPr>
          <w:rFonts w:ascii="Calibri" w:eastAsia="Calibri" w:hAnsi="Calibri" w:cs="Calibri"/>
          <w:sz w:val="22"/>
        </w:rPr>
        <w:t xml:space="preserve"> </w:t>
      </w:r>
    </w:p>
    <w:p w14:paraId="074052CE" w14:textId="77777777" w:rsidR="00586325" w:rsidRPr="00586325" w:rsidRDefault="00586325" w:rsidP="00586325">
      <w:pPr>
        <w:numPr>
          <w:ilvl w:val="0"/>
          <w:numId w:val="14"/>
        </w:numPr>
        <w:spacing w:after="0" w:line="360" w:lineRule="auto"/>
        <w:jc w:val="left"/>
        <w:rPr>
          <w:b/>
          <w:bCs/>
        </w:rPr>
      </w:pPr>
      <w:r w:rsidRPr="00586325">
        <w:rPr>
          <w:b/>
          <w:bCs/>
          <w:color w:val="0F4761"/>
          <w:u w:val="single" w:color="000000"/>
        </w:rPr>
        <w:t>The Movants’ Stay Relief Motions</w:t>
      </w:r>
      <w:r w:rsidRPr="00586325">
        <w:rPr>
          <w:b/>
          <w:bCs/>
          <w:color w:val="0F4761"/>
        </w:rPr>
        <w:t xml:space="preserve"> </w:t>
      </w:r>
      <w:r w:rsidRPr="00586325">
        <w:rPr>
          <w:rFonts w:ascii="Calibri" w:eastAsia="Calibri" w:hAnsi="Calibri" w:cs="Calibri"/>
          <w:b/>
          <w:bCs/>
          <w:color w:val="0F4761"/>
        </w:rPr>
        <w:t xml:space="preserve"> </w:t>
      </w:r>
    </w:p>
    <w:p w14:paraId="49B55B0A" w14:textId="77777777" w:rsidR="00586325" w:rsidRPr="00586325" w:rsidRDefault="00586325" w:rsidP="00586325">
      <w:pPr>
        <w:numPr>
          <w:ilvl w:val="1"/>
          <w:numId w:val="14"/>
        </w:numPr>
        <w:spacing w:after="0" w:line="360" w:lineRule="auto"/>
        <w:ind w:right="12"/>
      </w:pPr>
      <w:r w:rsidRPr="00586325">
        <w:t xml:space="preserve">On January 13, 2025, the Stay Relief Motions were filed by certain CVA Claimants (the “Movants”) and the Committee Memorandum in support of the Stay Relief Motions was filed by the Tort Committee.   </w:t>
      </w:r>
      <w:r w:rsidRPr="00586325">
        <w:rPr>
          <w:rFonts w:ascii="Calibri" w:eastAsia="Calibri" w:hAnsi="Calibri" w:cs="Calibri"/>
          <w:sz w:val="22"/>
        </w:rPr>
        <w:t xml:space="preserve"> </w:t>
      </w:r>
    </w:p>
    <w:p w14:paraId="4D725CEF" w14:textId="77777777" w:rsidR="00586325" w:rsidRPr="00586325" w:rsidRDefault="00586325" w:rsidP="00586325">
      <w:pPr>
        <w:numPr>
          <w:ilvl w:val="1"/>
          <w:numId w:val="14"/>
        </w:numPr>
        <w:spacing w:after="0" w:line="360" w:lineRule="auto"/>
        <w:ind w:right="12"/>
      </w:pPr>
      <w:proofErr w:type="gramStart"/>
      <w:r w:rsidRPr="00586325">
        <w:t>All of</w:t>
      </w:r>
      <w:proofErr w:type="gramEnd"/>
      <w:r w:rsidRPr="00586325">
        <w:t xml:space="preserve"> the Stay Relief Motions argue that relief from the automatic stay is warranted </w:t>
      </w:r>
      <w:r w:rsidRPr="00586325">
        <w:rPr>
          <w:rFonts w:ascii="Calibri" w:eastAsia="Calibri" w:hAnsi="Calibri" w:cs="Calibri"/>
          <w:sz w:val="22"/>
        </w:rPr>
        <w:t xml:space="preserve"> </w:t>
      </w:r>
    </w:p>
    <w:p w14:paraId="14B535B8" w14:textId="77777777" w:rsidR="00586325" w:rsidRPr="00586325" w:rsidRDefault="00586325" w:rsidP="00586325">
      <w:pPr>
        <w:spacing w:after="0" w:line="360" w:lineRule="auto"/>
        <w:ind w:left="21" w:right="12"/>
      </w:pPr>
      <w:r w:rsidRPr="00586325">
        <w:t xml:space="preserve">under for cause under 11 U.S.C. Section 362(d)(1).  The Movants all seek relief from the automatic stay for the purpose of continuing their respective CVA actions against the Debtor up to and including entry of a judgment.  However, the Stay Relief Motions also make clear that in the event </w:t>
      </w:r>
      <w:r w:rsidRPr="00586325">
        <w:lastRenderedPageBreak/>
        <w:t xml:space="preserve">judgments are entered against the Debtor, the Movants will not enforce their respective Judgments without further order of the Court. </w:t>
      </w:r>
      <w:r w:rsidRPr="00586325">
        <w:rPr>
          <w:rFonts w:ascii="Calibri" w:eastAsia="Calibri" w:hAnsi="Calibri" w:cs="Calibri"/>
          <w:sz w:val="22"/>
        </w:rPr>
        <w:t xml:space="preserve"> </w:t>
      </w:r>
    </w:p>
    <w:p w14:paraId="06DA8EBE" w14:textId="77777777" w:rsidR="00586325" w:rsidRPr="00586325" w:rsidRDefault="00586325" w:rsidP="00586325">
      <w:pPr>
        <w:spacing w:after="0" w:line="360" w:lineRule="auto"/>
        <w:ind w:left="13"/>
        <w:jc w:val="center"/>
      </w:pPr>
      <w:r w:rsidRPr="00586325">
        <w:rPr>
          <w:b/>
          <w:u w:val="single" w:color="000000"/>
        </w:rPr>
        <w:t>OBJECTION</w:t>
      </w:r>
      <w:r w:rsidRPr="00586325">
        <w:rPr>
          <w:b/>
        </w:rPr>
        <w:t xml:space="preserve"> </w:t>
      </w:r>
      <w:r w:rsidRPr="00586325">
        <w:rPr>
          <w:rFonts w:ascii="Calibri" w:eastAsia="Calibri" w:hAnsi="Calibri" w:cs="Calibri"/>
        </w:rPr>
        <w:t xml:space="preserve"> </w:t>
      </w:r>
    </w:p>
    <w:p w14:paraId="09A2B9A9" w14:textId="77777777" w:rsidR="00586325" w:rsidRPr="00586325" w:rsidRDefault="00586325" w:rsidP="00586325">
      <w:pPr>
        <w:keepNext/>
        <w:keepLines/>
        <w:tabs>
          <w:tab w:val="center" w:pos="811"/>
          <w:tab w:val="right" w:pos="9385"/>
        </w:tabs>
        <w:spacing w:after="0" w:line="360" w:lineRule="auto"/>
        <w:ind w:left="-1" w:firstLine="0"/>
        <w:jc w:val="left"/>
        <w:outlineLvl w:val="1"/>
        <w:rPr>
          <w:rFonts w:ascii="Calibri" w:eastAsia="Calibri" w:hAnsi="Calibri" w:cs="Calibri"/>
          <w:color w:val="0F4761"/>
        </w:rPr>
      </w:pPr>
      <w:r w:rsidRPr="00586325">
        <w:rPr>
          <w:rFonts w:ascii="Calibri" w:eastAsia="Calibri" w:hAnsi="Calibri" w:cs="Calibri"/>
        </w:rPr>
        <w:t xml:space="preserve"> </w:t>
      </w:r>
      <w:r w:rsidRPr="00586325">
        <w:rPr>
          <w:rFonts w:ascii="Calibri" w:eastAsia="Calibri" w:hAnsi="Calibri" w:cs="Calibri"/>
        </w:rPr>
        <w:tab/>
      </w:r>
      <w:r w:rsidRPr="00586325">
        <w:rPr>
          <w:b/>
        </w:rPr>
        <w:t>I</w:t>
      </w:r>
      <w:proofErr w:type="gramStart"/>
      <w:r w:rsidRPr="00586325">
        <w:rPr>
          <w:b/>
        </w:rPr>
        <w:t>.</w:t>
      </w:r>
      <w:r w:rsidRPr="00586325">
        <w:rPr>
          <w:rFonts w:ascii="Arial" w:eastAsia="Arial" w:hAnsi="Arial" w:cs="Arial"/>
          <w:b/>
        </w:rPr>
        <w:t xml:space="preserve">  </w:t>
      </w:r>
      <w:r w:rsidRPr="00586325">
        <w:rPr>
          <w:rFonts w:ascii="Arial" w:eastAsia="Arial" w:hAnsi="Arial" w:cs="Arial"/>
          <w:b/>
        </w:rPr>
        <w:tab/>
      </w:r>
      <w:proofErr w:type="gramEnd"/>
      <w:r w:rsidRPr="00586325">
        <w:rPr>
          <w:b/>
          <w:u w:val="single" w:color="000000"/>
        </w:rPr>
        <w:t>STAY RELIEF TO ALLOW CERTAIN CVA ACTIONS TO PROCEED IS,</w:t>
      </w:r>
      <w:r w:rsidRPr="00586325">
        <w:rPr>
          <w:b/>
        </w:rPr>
        <w:t xml:space="preserve"> </w:t>
      </w:r>
      <w:r w:rsidRPr="00586325">
        <w:rPr>
          <w:rFonts w:ascii="Calibri" w:eastAsia="Calibri" w:hAnsi="Calibri" w:cs="Calibri"/>
        </w:rPr>
        <w:t xml:space="preserve"> </w:t>
      </w:r>
    </w:p>
    <w:p w14:paraId="42B9496F" w14:textId="77777777" w:rsidR="00586325" w:rsidRPr="00586325" w:rsidRDefault="00586325" w:rsidP="00586325">
      <w:pPr>
        <w:spacing w:after="0" w:line="360" w:lineRule="auto"/>
        <w:ind w:left="10" w:right="-10"/>
        <w:jc w:val="right"/>
      </w:pPr>
      <w:r w:rsidRPr="00586325">
        <w:rPr>
          <w:b/>
          <w:u w:val="single" w:color="000000"/>
        </w:rPr>
        <w:t>AT BEST, UNNECESSARY BASED ON THE DEBTOR’S AND THE</w:t>
      </w:r>
      <w:r w:rsidRPr="00586325">
        <w:rPr>
          <w:b/>
        </w:rPr>
        <w:t xml:space="preserve"> </w:t>
      </w:r>
      <w:r w:rsidRPr="00586325">
        <w:rPr>
          <w:rFonts w:ascii="Calibri" w:eastAsia="Calibri" w:hAnsi="Calibri" w:cs="Calibri"/>
        </w:rPr>
        <w:t xml:space="preserve"> </w:t>
      </w:r>
    </w:p>
    <w:p w14:paraId="5942F446" w14:textId="77777777" w:rsidR="00586325" w:rsidRPr="00586325" w:rsidRDefault="00586325" w:rsidP="00586325">
      <w:pPr>
        <w:spacing w:after="0" w:line="360" w:lineRule="auto"/>
        <w:ind w:left="46" w:firstLine="0"/>
        <w:jc w:val="center"/>
      </w:pPr>
      <w:r w:rsidRPr="00586325">
        <w:rPr>
          <w:b/>
          <w:u w:val="single" w:color="000000"/>
        </w:rPr>
        <w:t>INSURERS’ HISTORY OF RESOLUTION OF CVA ACTIONS</w:t>
      </w:r>
      <w:r w:rsidRPr="00586325">
        <w:rPr>
          <w:b/>
        </w:rPr>
        <w:t xml:space="preserve"> </w:t>
      </w:r>
    </w:p>
    <w:p w14:paraId="78A2102C" w14:textId="77777777" w:rsidR="00586325" w:rsidRPr="00586325" w:rsidRDefault="00586325" w:rsidP="00586325">
      <w:pPr>
        <w:spacing w:after="0" w:line="360" w:lineRule="auto"/>
        <w:ind w:left="1474"/>
        <w:jc w:val="left"/>
      </w:pPr>
      <w:r w:rsidRPr="00586325">
        <w:rPr>
          <w:b/>
          <w:u w:val="single" w:color="000000"/>
        </w:rPr>
        <w:t>PREPETITION AND, AT WORST, COUNTERPRODUCTIVE TO THE</w:t>
      </w:r>
      <w:r w:rsidRPr="00586325">
        <w:rPr>
          <w:b/>
        </w:rPr>
        <w:t xml:space="preserve"> </w:t>
      </w:r>
      <w:r w:rsidRPr="00586325">
        <w:rPr>
          <w:b/>
          <w:u w:val="single" w:color="000000"/>
        </w:rPr>
        <w:t>MEDIATION</w:t>
      </w:r>
      <w:r w:rsidRPr="00586325">
        <w:rPr>
          <w:b/>
        </w:rPr>
        <w:t xml:space="preserve"> </w:t>
      </w:r>
      <w:r w:rsidRPr="00586325">
        <w:rPr>
          <w:rFonts w:ascii="Calibri" w:eastAsia="Calibri" w:hAnsi="Calibri" w:cs="Calibri"/>
        </w:rPr>
        <w:t xml:space="preserve"> </w:t>
      </w:r>
    </w:p>
    <w:p w14:paraId="7C5353A7" w14:textId="77777777" w:rsidR="00586325" w:rsidRPr="00586325" w:rsidRDefault="00586325" w:rsidP="00586325">
      <w:pPr>
        <w:spacing w:after="0" w:line="360" w:lineRule="auto"/>
        <w:ind w:left="1454" w:firstLine="0"/>
        <w:jc w:val="left"/>
      </w:pPr>
      <w:r w:rsidRPr="00586325">
        <w:rPr>
          <w:b/>
        </w:rPr>
        <w:t xml:space="preserve"> </w:t>
      </w:r>
      <w:r w:rsidRPr="00586325">
        <w:rPr>
          <w:rFonts w:ascii="Calibri" w:eastAsia="Calibri" w:hAnsi="Calibri" w:cs="Calibri"/>
          <w:sz w:val="22"/>
        </w:rPr>
        <w:t xml:space="preserve"> </w:t>
      </w:r>
    </w:p>
    <w:p w14:paraId="23BD2E9F" w14:textId="77777777" w:rsidR="00586325" w:rsidRPr="00586325" w:rsidRDefault="00586325" w:rsidP="00586325">
      <w:pPr>
        <w:keepNext/>
        <w:keepLines/>
        <w:spacing w:after="0" w:line="360" w:lineRule="auto"/>
        <w:ind w:left="9"/>
        <w:jc w:val="left"/>
        <w:outlineLvl w:val="0"/>
        <w:rPr>
          <w:rFonts w:eastAsia="Calibri"/>
          <w:b/>
          <w:bCs/>
          <w:color w:val="0F4761"/>
        </w:rPr>
      </w:pPr>
      <w:r w:rsidRPr="00586325">
        <w:rPr>
          <w:rFonts w:ascii="Calibri" w:eastAsia="Calibri" w:hAnsi="Calibri" w:cs="Calibri"/>
          <w:color w:val="0F4761"/>
          <w:sz w:val="22"/>
        </w:rPr>
        <w:t xml:space="preserve"> </w:t>
      </w:r>
      <w:r w:rsidRPr="00586325">
        <w:rPr>
          <w:rFonts w:ascii="Calibri" w:eastAsia="Calibri" w:hAnsi="Calibri" w:cs="Calibri"/>
          <w:color w:val="0F4761"/>
          <w:sz w:val="22"/>
        </w:rPr>
        <w:tab/>
      </w:r>
      <w:r w:rsidRPr="00586325">
        <w:rPr>
          <w:rFonts w:eastAsia="Calibri"/>
          <w:b/>
          <w:bCs/>
          <w:color w:val="0F4761"/>
        </w:rPr>
        <w:t>A.</w:t>
      </w:r>
      <w:r w:rsidRPr="00586325">
        <w:rPr>
          <w:rFonts w:eastAsia="Arial"/>
          <w:b/>
          <w:bCs/>
          <w:color w:val="0F4761"/>
        </w:rPr>
        <w:t xml:space="preserve">  </w:t>
      </w:r>
      <w:r w:rsidRPr="00586325">
        <w:rPr>
          <w:rFonts w:eastAsia="Calibri"/>
          <w:b/>
          <w:bCs/>
          <w:color w:val="0F4761"/>
        </w:rPr>
        <w:t xml:space="preserve">The Automatic Stay Protects the Debtor’s Estate and All of its Creditors  </w:t>
      </w:r>
    </w:p>
    <w:p w14:paraId="26C3E4E0" w14:textId="31C18920" w:rsidR="00586325" w:rsidRPr="00586325" w:rsidRDefault="00586325" w:rsidP="00586325">
      <w:pPr>
        <w:spacing w:after="0" w:line="360" w:lineRule="auto"/>
        <w:ind w:left="11" w:right="12" w:firstLine="720"/>
      </w:pPr>
      <w:r w:rsidRPr="00586325">
        <w:t>10.</w:t>
      </w:r>
      <w:r w:rsidRPr="00586325">
        <w:rPr>
          <w:rFonts w:ascii="Arial" w:eastAsia="Arial" w:hAnsi="Arial" w:cs="Arial"/>
        </w:rPr>
        <w:t xml:space="preserve"> </w:t>
      </w:r>
      <w:r w:rsidRPr="00586325">
        <w:t xml:space="preserve">At the outset, it is important to emphasize that the automatic stay provided for in Section 362(a) of the Bankruptcy Code is not just for the benefit of the Debtor, but also for the estate and its creditors.  </w:t>
      </w:r>
      <w:r w:rsidRPr="00586325">
        <w:rPr>
          <w:i/>
        </w:rPr>
        <w:t xml:space="preserve">See U.S. Bank Trust </w:t>
      </w:r>
      <w:proofErr w:type="spellStart"/>
      <w:r w:rsidRPr="00586325">
        <w:rPr>
          <w:i/>
        </w:rPr>
        <w:t>Nat'l</w:t>
      </w:r>
      <w:proofErr w:type="spellEnd"/>
      <w:r w:rsidRPr="00586325">
        <w:rPr>
          <w:i/>
        </w:rPr>
        <w:t xml:space="preserve"> </w:t>
      </w:r>
      <w:proofErr w:type="spellStart"/>
      <w:r w:rsidRPr="00586325">
        <w:rPr>
          <w:i/>
        </w:rPr>
        <w:t>Ass'n</w:t>
      </w:r>
      <w:proofErr w:type="spellEnd"/>
      <w:r w:rsidRPr="00586325">
        <w:rPr>
          <w:i/>
        </w:rPr>
        <w:t xml:space="preserve"> v. AMR Corp. (In re AMR Corp.)</w:t>
      </w:r>
      <w:r w:rsidRPr="00586325">
        <w:t>, 730 F.3d 88, 112 (2d Cir. 2013) (“One of the principal purposes of the automatic stay is to preserve the property of the debtor’s estate for the benefit of all the creditors.”).  Courts have recognized that “[t</w:t>
      </w:r>
      <w:r w:rsidRPr="006D3EC5">
        <w:rPr>
          <w:highlight w:val="yellow"/>
        </w:rPr>
        <w:t>]</w:t>
      </w:r>
      <w:proofErr w:type="gramStart"/>
      <w:r w:rsidRPr="006D3EC5">
        <w:rPr>
          <w:highlight w:val="yellow"/>
        </w:rPr>
        <w:t>he</w:t>
      </w:r>
      <w:proofErr w:type="gramEnd"/>
      <w:r w:rsidRPr="006D3EC5">
        <w:rPr>
          <w:highlight w:val="yellow"/>
        </w:rPr>
        <w:t xml:space="preserve"> purpose of the automatic stay is to preserve the assets of the debtor for the benefit of all creditors and </w:t>
      </w:r>
      <w:r w:rsidRPr="006D3EC5">
        <w:rPr>
          <w:i/>
          <w:highlight w:val="yellow"/>
        </w:rPr>
        <w:t>protect the creditors from each other</w:t>
      </w:r>
      <w:r w:rsidRPr="006D3EC5">
        <w:rPr>
          <w:highlight w:val="yellow"/>
        </w:rPr>
        <w:t xml:space="preserve"> by stopping the race to seize the debtor’s assets.”</w:t>
      </w:r>
      <w:r w:rsidRPr="00586325">
        <w:t xml:space="preserve">  </w:t>
      </w:r>
      <w:r w:rsidRPr="00586325">
        <w:rPr>
          <w:i/>
        </w:rPr>
        <w:t>In re Blissful Dairy, LLC</w:t>
      </w:r>
      <w:r w:rsidRPr="00586325">
        <w:t xml:space="preserve">, 2024 </w:t>
      </w:r>
      <w:proofErr w:type="spellStart"/>
      <w:r w:rsidRPr="00586325">
        <w:t>Bankr</w:t>
      </w:r>
      <w:proofErr w:type="spellEnd"/>
      <w:r w:rsidRPr="00586325">
        <w:t xml:space="preserve">. LEXIS 84, *19 (D. Vt. Jan. 14, 2024) (emphasis supplied); </w:t>
      </w:r>
      <w:r w:rsidRPr="00586325">
        <w:rPr>
          <w:i/>
        </w:rPr>
        <w:t xml:space="preserve">see also </w:t>
      </w:r>
      <w:proofErr w:type="gramStart"/>
      <w:r w:rsidRPr="00586325">
        <w:rPr>
          <w:i/>
        </w:rPr>
        <w:t>In</w:t>
      </w:r>
      <w:proofErr w:type="gramEnd"/>
      <w:r w:rsidRPr="00586325">
        <w:rPr>
          <w:i/>
        </w:rPr>
        <w:t xml:space="preserve"> re Deak &amp; Co.</w:t>
      </w:r>
      <w:r w:rsidRPr="00586325">
        <w:t>, 63 B.R. 422, 432 (</w:t>
      </w:r>
      <w:proofErr w:type="spellStart"/>
      <w:r w:rsidRPr="00586325">
        <w:t>Bankr</w:t>
      </w:r>
      <w:proofErr w:type="spellEnd"/>
      <w:r w:rsidRPr="00586325">
        <w:t xml:space="preserve">. S.D.N.Y. 1986) (“The stay is designed to protect the debtor's estate from the ‘chaos and the wasteful depletion resulting from multifold, uncoordinated and possibly conflicting litigation.’”) (quoting </w:t>
      </w:r>
      <w:proofErr w:type="gramStart"/>
      <w:r w:rsidRPr="00586325">
        <w:rPr>
          <w:i/>
        </w:rPr>
        <w:t>In</w:t>
      </w:r>
      <w:proofErr w:type="gramEnd"/>
      <w:r w:rsidRPr="00586325">
        <w:rPr>
          <w:i/>
        </w:rPr>
        <w:t xml:space="preserve"> re </w:t>
      </w:r>
      <w:proofErr w:type="spellStart"/>
      <w:r w:rsidRPr="00586325">
        <w:rPr>
          <w:i/>
        </w:rPr>
        <w:t>Frigitemp</w:t>
      </w:r>
      <w:proofErr w:type="spellEnd"/>
      <w:r w:rsidRPr="00586325">
        <w:rPr>
          <w:i/>
        </w:rPr>
        <w:t xml:space="preserve"> Corp.</w:t>
      </w:r>
      <w:r w:rsidRPr="00586325">
        <w:t xml:space="preserve">, 8 B.R. 284, 289 (S.D.N.Y. 1981)).  In this case in particular, the stay also serves the purpose of allowing the parties to focus on mediation so that they can negotiate a plan to </w:t>
      </w:r>
      <w:proofErr w:type="gramStart"/>
      <w:r w:rsidRPr="00586325">
        <w:t xml:space="preserve">compensate </w:t>
      </w:r>
      <w:r w:rsidRPr="00586325">
        <w:rPr>
          <w:rFonts w:ascii="Calibri" w:eastAsia="Calibri" w:hAnsi="Calibri" w:cs="Calibri"/>
          <w:sz w:val="22"/>
        </w:rPr>
        <w:t xml:space="preserve"> </w:t>
      </w:r>
      <w:r w:rsidRPr="00586325">
        <w:t>survivors</w:t>
      </w:r>
      <w:proofErr w:type="gramEnd"/>
      <w:r w:rsidRPr="00586325">
        <w:t xml:space="preserve">.  As demonstrated herein, the Movants and the Tort Committee do not show that stay relief outweighs the </w:t>
      </w:r>
      <w:proofErr w:type="gramStart"/>
      <w:r w:rsidRPr="00586325">
        <w:t>protections</w:t>
      </w:r>
      <w:proofErr w:type="gramEnd"/>
      <w:r w:rsidRPr="00586325">
        <w:t xml:space="preserve"> the stay affords to all parties or the potential disruption of the mediation process. </w:t>
      </w:r>
      <w:r w:rsidRPr="00586325">
        <w:rPr>
          <w:rFonts w:ascii="Calibri" w:eastAsia="Calibri" w:hAnsi="Calibri" w:cs="Calibri"/>
          <w:sz w:val="22"/>
        </w:rPr>
        <w:t xml:space="preserve"> </w:t>
      </w:r>
    </w:p>
    <w:p w14:paraId="443034B9" w14:textId="77777777" w:rsidR="00586325" w:rsidRPr="00586325" w:rsidRDefault="00586325" w:rsidP="00586325">
      <w:pPr>
        <w:keepNext/>
        <w:keepLines/>
        <w:spacing w:after="0" w:line="360" w:lineRule="auto"/>
        <w:ind w:left="1454" w:hanging="720"/>
        <w:jc w:val="left"/>
        <w:outlineLvl w:val="0"/>
        <w:rPr>
          <w:rFonts w:eastAsia="Calibri"/>
          <w:b/>
          <w:bCs/>
          <w:color w:val="0F4761"/>
        </w:rPr>
      </w:pPr>
      <w:r w:rsidRPr="00586325">
        <w:rPr>
          <w:rFonts w:eastAsia="Calibri"/>
          <w:b/>
          <w:bCs/>
          <w:color w:val="0F4761"/>
        </w:rPr>
        <w:t>B.</w:t>
      </w:r>
      <w:r w:rsidRPr="00586325">
        <w:rPr>
          <w:rFonts w:eastAsia="Arial"/>
          <w:b/>
          <w:bCs/>
          <w:color w:val="0F4761"/>
        </w:rPr>
        <w:t xml:space="preserve"> </w:t>
      </w:r>
      <w:r w:rsidRPr="00586325">
        <w:rPr>
          <w:rFonts w:eastAsia="Calibri"/>
          <w:b/>
          <w:bCs/>
          <w:color w:val="0F4761"/>
        </w:rPr>
        <w:t xml:space="preserve">The Debtor’s Pre-Petition History with Resolving CVA Claims Provides the Necessary Bellwether Information Movants Seek with Test Cases  </w:t>
      </w:r>
    </w:p>
    <w:p w14:paraId="086384C3" w14:textId="77777777" w:rsidR="00586325" w:rsidRPr="00586325" w:rsidRDefault="00586325" w:rsidP="00586325">
      <w:pPr>
        <w:spacing w:after="0" w:line="360" w:lineRule="auto"/>
        <w:ind w:left="14" w:firstLine="0"/>
        <w:jc w:val="left"/>
      </w:pPr>
      <w:r w:rsidRPr="00586325">
        <w:t xml:space="preserve"> </w:t>
      </w:r>
      <w:r w:rsidRPr="00586325">
        <w:rPr>
          <w:rFonts w:ascii="Calibri" w:eastAsia="Calibri" w:hAnsi="Calibri" w:cs="Calibri"/>
          <w:sz w:val="22"/>
        </w:rPr>
        <w:t xml:space="preserve"> </w:t>
      </w:r>
    </w:p>
    <w:p w14:paraId="6CE8E15D" w14:textId="77777777" w:rsidR="00586325" w:rsidRPr="00586325" w:rsidRDefault="00586325" w:rsidP="00586325">
      <w:pPr>
        <w:numPr>
          <w:ilvl w:val="0"/>
          <w:numId w:val="15"/>
        </w:numPr>
        <w:spacing w:after="0" w:line="360" w:lineRule="auto"/>
        <w:ind w:right="12"/>
      </w:pPr>
      <w:proofErr w:type="gramStart"/>
      <w:r w:rsidRPr="00586325">
        <w:t>Subsequent to</w:t>
      </w:r>
      <w:proofErr w:type="gramEnd"/>
      <w:r w:rsidRPr="00586325">
        <w:t xml:space="preserve"> the enactment of the Child Victims’ Act and prior to the Filing Date, approximately 440 CVA Actions were commenced against the Debtor.  Of those actions, </w:t>
      </w:r>
      <w:r w:rsidRPr="006D3EC5">
        <w:rPr>
          <w:highlight w:val="yellow"/>
        </w:rPr>
        <w:lastRenderedPageBreak/>
        <w:t>approximately fifty cases were resolved by dispositive motion or negotiated settlement with direct participation of the Insurers in the mediation overseen by the presiding State Court justice</w:t>
      </w:r>
      <w:r w:rsidRPr="00586325">
        <w:t xml:space="preserve">.  As a result of that process, there is already a range of potential outcomes from dismissal to settlement from a true sample of CVA Actions.  </w:t>
      </w:r>
      <w:r w:rsidRPr="00586325">
        <w:rPr>
          <w:b/>
        </w:rPr>
        <w:t xml:space="preserve"> </w:t>
      </w:r>
      <w:r w:rsidRPr="00586325">
        <w:rPr>
          <w:rFonts w:ascii="Calibri" w:eastAsia="Calibri" w:hAnsi="Calibri" w:cs="Calibri"/>
          <w:sz w:val="22"/>
        </w:rPr>
        <w:t xml:space="preserve"> </w:t>
      </w:r>
    </w:p>
    <w:p w14:paraId="3D1A934A" w14:textId="77777777" w:rsidR="00586325" w:rsidRPr="00586325" w:rsidRDefault="00586325" w:rsidP="00586325">
      <w:pPr>
        <w:numPr>
          <w:ilvl w:val="0"/>
          <w:numId w:val="15"/>
        </w:numPr>
        <w:spacing w:after="0" w:line="360" w:lineRule="auto"/>
        <w:ind w:right="12"/>
      </w:pPr>
      <w:r w:rsidRPr="00586325">
        <w:t xml:space="preserve">Information regarding the disposition of the resolved actions, including settlement amount to the extent a settlement was paid was provided to the Committees and Insurers as part of the discovery and mediation process.  As a result, all parties to the mediation are well-aware of the disposition of those cases.  </w:t>
      </w:r>
      <w:r w:rsidRPr="00586325">
        <w:rPr>
          <w:b/>
        </w:rPr>
        <w:t xml:space="preserve"> </w:t>
      </w:r>
      <w:r w:rsidRPr="00586325">
        <w:rPr>
          <w:rFonts w:ascii="Calibri" w:eastAsia="Calibri" w:hAnsi="Calibri" w:cs="Calibri"/>
          <w:sz w:val="22"/>
        </w:rPr>
        <w:t xml:space="preserve"> </w:t>
      </w:r>
    </w:p>
    <w:p w14:paraId="3F9143F1" w14:textId="77777777" w:rsidR="00586325" w:rsidRPr="00586325" w:rsidRDefault="00586325" w:rsidP="00586325">
      <w:pPr>
        <w:numPr>
          <w:ilvl w:val="0"/>
          <w:numId w:val="15"/>
        </w:numPr>
        <w:spacing w:after="0" w:line="360" w:lineRule="auto"/>
        <w:ind w:right="12"/>
      </w:pPr>
      <w:r w:rsidRPr="00586325">
        <w:t>Contrary to the Movants’ and Tort Committee’s assertion that the Insurers have been uncooperative in the mediation process and have used the automatic stay as a shield from fulfilling their obligations under the applicable policies, the pre-petition history of the Insurers’ active participation in the settlement of a number of those CVA Actions belies the claim that the Insurers have not been active participants in resolving CVA Claims.</w:t>
      </w:r>
      <w:r w:rsidRPr="00586325">
        <w:rPr>
          <w:b/>
        </w:rPr>
        <w:t xml:space="preserve"> </w:t>
      </w:r>
      <w:r w:rsidRPr="00586325">
        <w:rPr>
          <w:rFonts w:ascii="Calibri" w:eastAsia="Calibri" w:hAnsi="Calibri" w:cs="Calibri"/>
          <w:sz w:val="22"/>
        </w:rPr>
        <w:t xml:space="preserve"> </w:t>
      </w:r>
    </w:p>
    <w:p w14:paraId="42E84805" w14:textId="77777777" w:rsidR="00586325" w:rsidRPr="00586325" w:rsidRDefault="00586325" w:rsidP="00586325">
      <w:pPr>
        <w:numPr>
          <w:ilvl w:val="0"/>
          <w:numId w:val="15"/>
        </w:numPr>
        <w:spacing w:after="0" w:line="360" w:lineRule="auto"/>
        <w:ind w:right="12"/>
      </w:pPr>
      <w:r w:rsidRPr="00586325">
        <w:t xml:space="preserve">The disposition of CVA Actions pre-petition developed a representative sample of potential outcomes.  The Insurers’ participation in that process demonstrates their willingness to meaningfully engage in the resolution of CVA Actions through mediation.  Thus, there is no justification for </w:t>
      </w:r>
      <w:proofErr w:type="gramStart"/>
      <w:r w:rsidRPr="00586325">
        <w:t>stay</w:t>
      </w:r>
      <w:proofErr w:type="gramEnd"/>
      <w:r w:rsidRPr="00586325">
        <w:t xml:space="preserve"> relief under the unique circumstances of this case.</w:t>
      </w:r>
      <w:r w:rsidRPr="00586325">
        <w:rPr>
          <w:b/>
        </w:rPr>
        <w:t xml:space="preserve"> </w:t>
      </w:r>
      <w:r w:rsidRPr="00586325">
        <w:rPr>
          <w:rFonts w:ascii="Calibri" w:eastAsia="Calibri" w:hAnsi="Calibri" w:cs="Calibri"/>
          <w:sz w:val="22"/>
        </w:rPr>
        <w:t xml:space="preserve"> </w:t>
      </w:r>
    </w:p>
    <w:p w14:paraId="3354C4AF" w14:textId="3BF2DFEB" w:rsidR="00586325" w:rsidRPr="00586325" w:rsidRDefault="00586325" w:rsidP="00586325">
      <w:pPr>
        <w:spacing w:after="0" w:line="360" w:lineRule="auto"/>
        <w:ind w:left="76" w:firstLine="0"/>
        <w:jc w:val="center"/>
        <w:rPr>
          <w:b/>
          <w:bCs/>
        </w:rPr>
      </w:pPr>
      <w:r w:rsidRPr="00586325">
        <w:rPr>
          <w:b/>
          <w:bCs/>
          <w:color w:val="0F4761"/>
        </w:rPr>
        <w:t>II</w:t>
      </w:r>
      <w:proofErr w:type="gramStart"/>
      <w:r w:rsidRPr="00586325">
        <w:rPr>
          <w:b/>
          <w:bCs/>
          <w:color w:val="0F4761"/>
        </w:rPr>
        <w:t>.</w:t>
      </w:r>
      <w:r w:rsidRPr="00586325">
        <w:rPr>
          <w:rFonts w:eastAsia="Arial"/>
          <w:b/>
          <w:bCs/>
          <w:color w:val="0F4761"/>
        </w:rPr>
        <w:t xml:space="preserve">  </w:t>
      </w:r>
      <w:r w:rsidRPr="00586325">
        <w:rPr>
          <w:b/>
          <w:bCs/>
          <w:color w:val="0F4761"/>
          <w:u w:val="single" w:color="000000"/>
        </w:rPr>
        <w:t>MOVANTS</w:t>
      </w:r>
      <w:proofErr w:type="gramEnd"/>
      <w:r w:rsidRPr="00586325">
        <w:rPr>
          <w:b/>
          <w:bCs/>
          <w:color w:val="0F4761"/>
          <w:u w:val="single" w:color="000000"/>
        </w:rPr>
        <w:t xml:space="preserve"> HAVE FAILED TO MEET THEIR HEAVY</w:t>
      </w:r>
    </w:p>
    <w:p w14:paraId="560A4251" w14:textId="6F8511BC" w:rsidR="00586325" w:rsidRPr="00586325" w:rsidRDefault="00586325" w:rsidP="00586325">
      <w:pPr>
        <w:spacing w:after="0" w:line="360" w:lineRule="auto"/>
        <w:ind w:left="1464"/>
        <w:jc w:val="center"/>
        <w:rPr>
          <w:b/>
          <w:bCs/>
        </w:rPr>
      </w:pPr>
      <w:r w:rsidRPr="00586325">
        <w:rPr>
          <w:b/>
          <w:bCs/>
          <w:color w:val="0F4761"/>
          <w:u w:val="single" w:color="000000"/>
        </w:rPr>
        <w:t>BURDEN OF</w:t>
      </w:r>
      <w:r w:rsidRPr="00586325">
        <w:rPr>
          <w:b/>
          <w:bCs/>
          <w:color w:val="0F4761"/>
        </w:rPr>
        <w:t xml:space="preserve"> </w:t>
      </w:r>
      <w:r w:rsidRPr="00586325">
        <w:rPr>
          <w:b/>
          <w:bCs/>
          <w:color w:val="0F4761"/>
          <w:u w:val="single" w:color="000000"/>
        </w:rPr>
        <w:t xml:space="preserve">ESTABLISHING THAT THE </w:t>
      </w:r>
      <w:r w:rsidRPr="00586325">
        <w:rPr>
          <w:rFonts w:eastAsia="Calibri"/>
          <w:b/>
          <w:bCs/>
          <w:color w:val="0F4761"/>
          <w:u w:val="single" w:color="000000"/>
        </w:rPr>
        <w:t>SONNAX</w:t>
      </w:r>
    </w:p>
    <w:p w14:paraId="629F07F9" w14:textId="5F06518E" w:rsidR="00586325" w:rsidRPr="00586325" w:rsidRDefault="00586325" w:rsidP="00586325">
      <w:pPr>
        <w:spacing w:after="0" w:line="360" w:lineRule="auto"/>
        <w:ind w:left="1464"/>
        <w:jc w:val="center"/>
        <w:rPr>
          <w:b/>
          <w:bCs/>
        </w:rPr>
      </w:pPr>
      <w:r w:rsidRPr="00586325">
        <w:rPr>
          <w:b/>
          <w:bCs/>
          <w:color w:val="0F4761"/>
          <w:u w:val="single" w:color="000000"/>
        </w:rPr>
        <w:t>FACTORS SUPPORT STAY</w:t>
      </w:r>
      <w:r w:rsidRPr="00586325">
        <w:rPr>
          <w:b/>
          <w:bCs/>
          <w:color w:val="0F4761"/>
        </w:rPr>
        <w:t xml:space="preserve"> </w:t>
      </w:r>
      <w:r w:rsidRPr="00586325">
        <w:rPr>
          <w:b/>
          <w:bCs/>
          <w:color w:val="0F4761"/>
          <w:u w:val="single" w:color="000000"/>
        </w:rPr>
        <w:t>RELIEF</w:t>
      </w:r>
    </w:p>
    <w:p w14:paraId="0A01C08A" w14:textId="77777777" w:rsidR="00586325" w:rsidRPr="00586325" w:rsidRDefault="00586325" w:rsidP="00586325">
      <w:pPr>
        <w:spacing w:after="0" w:line="360" w:lineRule="auto"/>
        <w:ind w:left="374" w:firstLine="0"/>
        <w:jc w:val="left"/>
      </w:pPr>
      <w:r w:rsidRPr="00586325">
        <w:t xml:space="preserve"> </w:t>
      </w:r>
      <w:r w:rsidRPr="00586325">
        <w:rPr>
          <w:rFonts w:ascii="Calibri" w:eastAsia="Calibri" w:hAnsi="Calibri" w:cs="Calibri"/>
          <w:sz w:val="22"/>
        </w:rPr>
        <w:t xml:space="preserve"> </w:t>
      </w:r>
    </w:p>
    <w:p w14:paraId="004422E3" w14:textId="77777777" w:rsidR="00586325" w:rsidRPr="00586325" w:rsidRDefault="00586325" w:rsidP="00586325">
      <w:pPr>
        <w:numPr>
          <w:ilvl w:val="0"/>
          <w:numId w:val="16"/>
        </w:numPr>
        <w:spacing w:after="0" w:line="360" w:lineRule="auto"/>
        <w:ind w:right="12"/>
      </w:pPr>
      <w:r w:rsidRPr="006D3EC5">
        <w:rPr>
          <w:highlight w:val="yellow"/>
        </w:rPr>
        <w:t xml:space="preserve">Pursuant to Section 362(d)(1), the Movants have the burden of establishing “cause” for relief from the automatic </w:t>
      </w:r>
      <w:proofErr w:type="gramStart"/>
      <w:r w:rsidRPr="006D3EC5">
        <w:rPr>
          <w:highlight w:val="yellow"/>
        </w:rPr>
        <w:t>stay</w:t>
      </w:r>
      <w:proofErr w:type="gramEnd"/>
      <w:r w:rsidRPr="006D3EC5">
        <w:rPr>
          <w:highlight w:val="yellow"/>
        </w:rPr>
        <w:t xml:space="preserve"> and this burden is “especially heavy” here because the Movants are seeking “to prosecute unsecured claim[s]”.</w:t>
      </w:r>
      <w:r w:rsidRPr="00586325">
        <w:t xml:space="preserve">  </w:t>
      </w:r>
      <w:r w:rsidRPr="00586325">
        <w:rPr>
          <w:i/>
        </w:rPr>
        <w:t>In re Uchitel</w:t>
      </w:r>
      <w:r w:rsidRPr="00586325">
        <w:t xml:space="preserve">, 2022 </w:t>
      </w:r>
      <w:proofErr w:type="spellStart"/>
      <w:r w:rsidRPr="00586325">
        <w:t>Bankr</w:t>
      </w:r>
      <w:proofErr w:type="spellEnd"/>
      <w:r w:rsidRPr="00586325">
        <w:t>. LEXIS 2167, at *</w:t>
      </w:r>
      <w:proofErr w:type="gramStart"/>
      <w:r w:rsidRPr="00586325">
        <w:t xml:space="preserve">54 </w:t>
      </w:r>
      <w:r w:rsidRPr="00586325">
        <w:rPr>
          <w:rFonts w:ascii="Calibri" w:eastAsia="Calibri" w:hAnsi="Calibri" w:cs="Calibri"/>
          <w:sz w:val="22"/>
        </w:rPr>
        <w:t xml:space="preserve"> </w:t>
      </w:r>
      <w:r w:rsidRPr="00586325">
        <w:t>(</w:t>
      </w:r>
      <w:proofErr w:type="spellStart"/>
      <w:proofErr w:type="gramEnd"/>
      <w:r w:rsidRPr="00586325">
        <w:t>Bankr</w:t>
      </w:r>
      <w:proofErr w:type="spellEnd"/>
      <w:r w:rsidRPr="00586325">
        <w:t xml:space="preserve">. S.D.N.Y. 2022).  “‘The general rule is that claims that are not viewed as secured in the context of § 362(d)(1) </w:t>
      </w:r>
      <w:r w:rsidRPr="006D3EC5">
        <w:rPr>
          <w:highlight w:val="yellow"/>
        </w:rPr>
        <w:t>should not be granted relief from the stay unless extraordinary circumstances are established to justify such relief,’ . . . lest the unsecured creditor receive a distributive advantage contrary to the principle of equality of distribution</w:t>
      </w:r>
      <w:r w:rsidRPr="00586325">
        <w:t xml:space="preserve">.” </w:t>
      </w:r>
      <w:r w:rsidRPr="00586325">
        <w:rPr>
          <w:i/>
        </w:rPr>
        <w:t xml:space="preserve">In re Mildred Deli </w:t>
      </w:r>
    </w:p>
    <w:p w14:paraId="50FB0D25" w14:textId="77777777" w:rsidR="00586325" w:rsidRPr="00586325" w:rsidRDefault="00586325" w:rsidP="00586325">
      <w:pPr>
        <w:spacing w:after="0" w:line="360" w:lineRule="auto"/>
        <w:ind w:left="21" w:right="12"/>
      </w:pPr>
      <w:r w:rsidRPr="00586325">
        <w:rPr>
          <w:i/>
        </w:rPr>
        <w:t>Grocery, Inc.</w:t>
      </w:r>
      <w:r w:rsidRPr="00586325">
        <w:t xml:space="preserve">, 2018 </w:t>
      </w:r>
      <w:proofErr w:type="spellStart"/>
      <w:r w:rsidRPr="00586325">
        <w:t>Bankr</w:t>
      </w:r>
      <w:proofErr w:type="spellEnd"/>
      <w:r w:rsidRPr="00586325">
        <w:t>. LEXIS 546 at *8-9 (</w:t>
      </w:r>
      <w:proofErr w:type="spellStart"/>
      <w:r w:rsidRPr="00586325">
        <w:t>Bankr</w:t>
      </w:r>
      <w:proofErr w:type="spellEnd"/>
      <w:r w:rsidRPr="00586325">
        <w:t xml:space="preserve">. S.D.N.Y. Feb. 28, 2018) (quoting </w:t>
      </w:r>
      <w:proofErr w:type="gramStart"/>
      <w:r w:rsidRPr="00586325">
        <w:rPr>
          <w:i/>
        </w:rPr>
        <w:t>In</w:t>
      </w:r>
      <w:proofErr w:type="gramEnd"/>
      <w:r w:rsidRPr="00586325">
        <w:rPr>
          <w:i/>
        </w:rPr>
        <w:t xml:space="preserve"> re Leibowitz</w:t>
      </w:r>
      <w:r w:rsidRPr="00586325">
        <w:t>, 147 B.R. 341, 345 (</w:t>
      </w:r>
      <w:proofErr w:type="spellStart"/>
      <w:r w:rsidRPr="00586325">
        <w:t>Bankr</w:t>
      </w:r>
      <w:proofErr w:type="spellEnd"/>
      <w:r w:rsidRPr="00586325">
        <w:t xml:space="preserve">. S.D.N.Y. 1992)).  Moreover, the Second Circuit has made it clear that if a party moving to lift the automatic stay “fails to make an initial showing of cause . . </w:t>
      </w:r>
      <w:r w:rsidRPr="00586325">
        <w:lastRenderedPageBreak/>
        <w:t xml:space="preserve">. the court should deny relief without requiring any showing from the debtor that it is entitled to continued protection.”  </w:t>
      </w:r>
      <w:r w:rsidRPr="00586325">
        <w:rPr>
          <w:i/>
        </w:rPr>
        <w:t xml:space="preserve">In re </w:t>
      </w:r>
      <w:proofErr w:type="spellStart"/>
      <w:r w:rsidRPr="00586325">
        <w:rPr>
          <w:i/>
        </w:rPr>
        <w:t>Sonnax</w:t>
      </w:r>
      <w:proofErr w:type="spellEnd"/>
      <w:r w:rsidRPr="00586325">
        <w:rPr>
          <w:i/>
        </w:rPr>
        <w:t xml:space="preserve"> Industries, Inc.</w:t>
      </w:r>
      <w:r w:rsidRPr="00586325">
        <w:t xml:space="preserve">, 907 F.2d 1280, 1285 (2d Cir. 1990). </w:t>
      </w:r>
      <w:r w:rsidRPr="00586325">
        <w:rPr>
          <w:rFonts w:ascii="Calibri" w:eastAsia="Calibri" w:hAnsi="Calibri" w:cs="Calibri"/>
          <w:sz w:val="22"/>
        </w:rPr>
        <w:t xml:space="preserve"> </w:t>
      </w:r>
    </w:p>
    <w:p w14:paraId="4A342480" w14:textId="77777777" w:rsidR="00586325" w:rsidRPr="00586325" w:rsidRDefault="00586325" w:rsidP="00586325">
      <w:pPr>
        <w:numPr>
          <w:ilvl w:val="0"/>
          <w:numId w:val="16"/>
        </w:numPr>
        <w:spacing w:after="0" w:line="360" w:lineRule="auto"/>
        <w:ind w:right="12"/>
      </w:pPr>
      <w:r w:rsidRPr="00586325">
        <w:t xml:space="preserve">In </w:t>
      </w:r>
      <w:r w:rsidRPr="00586325">
        <w:rPr>
          <w:i/>
        </w:rPr>
        <w:t xml:space="preserve">In re </w:t>
      </w:r>
      <w:proofErr w:type="spellStart"/>
      <w:r w:rsidRPr="00586325">
        <w:rPr>
          <w:i/>
        </w:rPr>
        <w:t>Sonnax</w:t>
      </w:r>
      <w:proofErr w:type="spellEnd"/>
      <w:r w:rsidRPr="00586325">
        <w:rPr>
          <w:i/>
        </w:rPr>
        <w:t xml:space="preserve"> Industries, Inc.</w:t>
      </w:r>
      <w:r w:rsidRPr="00586325">
        <w:t xml:space="preserve">, 907 F.2d 1280, 1285 (2d Cir. 1990), the Second Circuit identified twelve factors for bankruptcy courts to consider in determining whether to modify the automatic stay. The </w:t>
      </w:r>
      <w:proofErr w:type="spellStart"/>
      <w:r w:rsidRPr="00586325">
        <w:rPr>
          <w:i/>
        </w:rPr>
        <w:t>Sonnax</w:t>
      </w:r>
      <w:proofErr w:type="spellEnd"/>
      <w:r w:rsidRPr="00586325">
        <w:rPr>
          <w:i/>
        </w:rPr>
        <w:t xml:space="preserve"> </w:t>
      </w:r>
      <w:r w:rsidRPr="00586325">
        <w:t xml:space="preserve">factors are: </w:t>
      </w:r>
      <w:r w:rsidRPr="00586325">
        <w:rPr>
          <w:rFonts w:ascii="Calibri" w:eastAsia="Calibri" w:hAnsi="Calibri" w:cs="Calibri"/>
          <w:sz w:val="22"/>
        </w:rPr>
        <w:t xml:space="preserve"> </w:t>
      </w:r>
    </w:p>
    <w:p w14:paraId="4D69257B" w14:textId="77777777" w:rsidR="00586325" w:rsidRPr="00586325" w:rsidRDefault="00586325" w:rsidP="00C95DC4">
      <w:pPr>
        <w:numPr>
          <w:ilvl w:val="1"/>
          <w:numId w:val="16"/>
        </w:numPr>
        <w:spacing w:after="0" w:line="360" w:lineRule="auto"/>
        <w:ind w:left="734" w:right="12" w:hanging="14"/>
      </w:pPr>
      <w:r w:rsidRPr="00586325">
        <w:t xml:space="preserve">whether relief would result in a partial or complete resolution of the </w:t>
      </w:r>
      <w:proofErr w:type="gramStart"/>
      <w:r w:rsidRPr="00586325">
        <w:t>issues;</w:t>
      </w:r>
      <w:proofErr w:type="gramEnd"/>
      <w:r w:rsidRPr="00586325">
        <w:t xml:space="preserve"> </w:t>
      </w:r>
      <w:r w:rsidRPr="00586325">
        <w:rPr>
          <w:rFonts w:ascii="Calibri" w:eastAsia="Calibri" w:hAnsi="Calibri" w:cs="Calibri"/>
          <w:sz w:val="22"/>
        </w:rPr>
        <w:t xml:space="preserve"> </w:t>
      </w:r>
    </w:p>
    <w:p w14:paraId="55CFB780" w14:textId="77777777" w:rsidR="00586325" w:rsidRPr="00586325" w:rsidRDefault="00586325" w:rsidP="00C95DC4">
      <w:pPr>
        <w:numPr>
          <w:ilvl w:val="1"/>
          <w:numId w:val="16"/>
        </w:numPr>
        <w:spacing w:after="0" w:line="360" w:lineRule="auto"/>
        <w:ind w:left="734" w:right="12" w:hanging="14"/>
      </w:pPr>
      <w:r w:rsidRPr="00586325">
        <w:t xml:space="preserve">lack of any connection with or interference with the bankruptcy </w:t>
      </w:r>
      <w:proofErr w:type="gramStart"/>
      <w:r w:rsidRPr="00586325">
        <w:t>case;</w:t>
      </w:r>
      <w:proofErr w:type="gramEnd"/>
      <w:r w:rsidRPr="00586325">
        <w:t xml:space="preserve"> </w:t>
      </w:r>
      <w:r w:rsidRPr="00586325">
        <w:rPr>
          <w:rFonts w:ascii="Calibri" w:eastAsia="Calibri" w:hAnsi="Calibri" w:cs="Calibri"/>
          <w:sz w:val="22"/>
        </w:rPr>
        <w:t xml:space="preserve"> </w:t>
      </w:r>
    </w:p>
    <w:p w14:paraId="1CBF7ED9" w14:textId="77777777" w:rsidR="00586325" w:rsidRPr="00586325" w:rsidRDefault="00586325" w:rsidP="00C95DC4">
      <w:pPr>
        <w:numPr>
          <w:ilvl w:val="1"/>
          <w:numId w:val="16"/>
        </w:numPr>
        <w:spacing w:after="0" w:line="360" w:lineRule="auto"/>
        <w:ind w:left="734" w:right="12" w:hanging="14"/>
      </w:pPr>
      <w:r w:rsidRPr="00586325">
        <w:t xml:space="preserve">whether the other proceeding involves the debtor as a </w:t>
      </w:r>
      <w:proofErr w:type="gramStart"/>
      <w:r w:rsidRPr="00586325">
        <w:t>fiduciary;</w:t>
      </w:r>
      <w:proofErr w:type="gramEnd"/>
      <w:r w:rsidRPr="00586325">
        <w:t xml:space="preserve"> </w:t>
      </w:r>
      <w:r w:rsidRPr="00586325">
        <w:rPr>
          <w:rFonts w:ascii="Calibri" w:eastAsia="Calibri" w:hAnsi="Calibri" w:cs="Calibri"/>
          <w:sz w:val="22"/>
        </w:rPr>
        <w:t xml:space="preserve"> </w:t>
      </w:r>
    </w:p>
    <w:p w14:paraId="7971FA09" w14:textId="77777777" w:rsidR="00586325" w:rsidRPr="00586325" w:rsidRDefault="00586325" w:rsidP="00C95DC4">
      <w:pPr>
        <w:numPr>
          <w:ilvl w:val="1"/>
          <w:numId w:val="16"/>
        </w:numPr>
        <w:spacing w:after="0" w:line="360" w:lineRule="auto"/>
        <w:ind w:left="734" w:right="12" w:hanging="14"/>
      </w:pPr>
      <w:r w:rsidRPr="00586325">
        <w:t xml:space="preserve">whether a specialized tribunal with the necessary expertise has been </w:t>
      </w:r>
    </w:p>
    <w:p w14:paraId="249215BF" w14:textId="77777777" w:rsidR="00586325" w:rsidRPr="00586325" w:rsidRDefault="00586325" w:rsidP="00C95DC4">
      <w:pPr>
        <w:spacing w:after="0" w:line="360" w:lineRule="auto"/>
        <w:ind w:left="734" w:right="12" w:hanging="14"/>
      </w:pPr>
      <w:r w:rsidRPr="00586325">
        <w:t xml:space="preserve">established to hear the cause of </w:t>
      </w:r>
      <w:proofErr w:type="gramStart"/>
      <w:r w:rsidRPr="00586325">
        <w:t>action;</w:t>
      </w:r>
      <w:proofErr w:type="gramEnd"/>
      <w:r w:rsidRPr="00586325">
        <w:t xml:space="preserve"> </w:t>
      </w:r>
      <w:r w:rsidRPr="00586325">
        <w:rPr>
          <w:rFonts w:ascii="Calibri" w:eastAsia="Calibri" w:hAnsi="Calibri" w:cs="Calibri"/>
          <w:sz w:val="22"/>
        </w:rPr>
        <w:t xml:space="preserve"> </w:t>
      </w:r>
    </w:p>
    <w:p w14:paraId="1358F836" w14:textId="77777777" w:rsidR="00586325" w:rsidRPr="00586325" w:rsidRDefault="00586325" w:rsidP="00C95DC4">
      <w:pPr>
        <w:numPr>
          <w:ilvl w:val="1"/>
          <w:numId w:val="16"/>
        </w:numPr>
        <w:spacing w:after="0" w:line="360" w:lineRule="auto"/>
        <w:ind w:left="734" w:right="12" w:hanging="14"/>
      </w:pPr>
      <w:r w:rsidRPr="00586325">
        <w:t xml:space="preserve">whether the debtor’s insurer has assumed full responsibility for defending </w:t>
      </w:r>
      <w:r w:rsidRPr="00586325">
        <w:rPr>
          <w:rFonts w:ascii="Calibri" w:eastAsia="Calibri" w:hAnsi="Calibri" w:cs="Calibri"/>
          <w:sz w:val="22"/>
        </w:rPr>
        <w:t xml:space="preserve"> </w:t>
      </w:r>
    </w:p>
    <w:p w14:paraId="5736EF74" w14:textId="77777777" w:rsidR="00586325" w:rsidRPr="00586325" w:rsidRDefault="00586325" w:rsidP="00C95DC4">
      <w:pPr>
        <w:spacing w:after="0" w:line="360" w:lineRule="auto"/>
        <w:ind w:left="734" w:right="12" w:hanging="14"/>
      </w:pPr>
      <w:proofErr w:type="gramStart"/>
      <w:r w:rsidRPr="00586325">
        <w:t>it;</w:t>
      </w:r>
      <w:proofErr w:type="gramEnd"/>
      <w:r w:rsidRPr="00586325">
        <w:t xml:space="preserve"> </w:t>
      </w:r>
      <w:r w:rsidRPr="00586325">
        <w:rPr>
          <w:rFonts w:ascii="Calibri" w:eastAsia="Calibri" w:hAnsi="Calibri" w:cs="Calibri"/>
          <w:sz w:val="22"/>
        </w:rPr>
        <w:t xml:space="preserve"> </w:t>
      </w:r>
    </w:p>
    <w:p w14:paraId="718D2C0D" w14:textId="77777777" w:rsidR="00586325" w:rsidRPr="00586325" w:rsidRDefault="00586325" w:rsidP="00C95DC4">
      <w:pPr>
        <w:numPr>
          <w:ilvl w:val="1"/>
          <w:numId w:val="16"/>
        </w:numPr>
        <w:spacing w:after="0" w:line="360" w:lineRule="auto"/>
        <w:ind w:left="734" w:right="12" w:hanging="14"/>
      </w:pPr>
      <w:r w:rsidRPr="00586325">
        <w:t xml:space="preserve">whether the action primarily involves third </w:t>
      </w:r>
      <w:proofErr w:type="gramStart"/>
      <w:r w:rsidRPr="00586325">
        <w:t>parties;</w:t>
      </w:r>
      <w:proofErr w:type="gramEnd"/>
      <w:r w:rsidRPr="00586325">
        <w:t xml:space="preserve"> </w:t>
      </w:r>
      <w:r w:rsidRPr="00586325">
        <w:rPr>
          <w:rFonts w:ascii="Calibri" w:eastAsia="Calibri" w:hAnsi="Calibri" w:cs="Calibri"/>
          <w:sz w:val="22"/>
        </w:rPr>
        <w:t xml:space="preserve"> </w:t>
      </w:r>
    </w:p>
    <w:p w14:paraId="4FDFD2AD" w14:textId="77777777" w:rsidR="00586325" w:rsidRPr="00586325" w:rsidRDefault="00586325" w:rsidP="00C95DC4">
      <w:pPr>
        <w:numPr>
          <w:ilvl w:val="1"/>
          <w:numId w:val="16"/>
        </w:numPr>
        <w:spacing w:after="0" w:line="360" w:lineRule="auto"/>
        <w:ind w:left="734" w:right="12" w:hanging="14"/>
      </w:pPr>
      <w:r w:rsidRPr="00586325">
        <w:t xml:space="preserve">whether the litigation in another forum would prejudice the interests of other </w:t>
      </w:r>
      <w:proofErr w:type="gramStart"/>
      <w:r w:rsidRPr="00586325">
        <w:t>creditors;</w:t>
      </w:r>
      <w:proofErr w:type="gramEnd"/>
      <w:r w:rsidRPr="00586325">
        <w:t xml:space="preserve"> </w:t>
      </w:r>
      <w:r w:rsidRPr="00586325">
        <w:rPr>
          <w:rFonts w:ascii="Calibri" w:eastAsia="Calibri" w:hAnsi="Calibri" w:cs="Calibri"/>
          <w:sz w:val="22"/>
        </w:rPr>
        <w:t xml:space="preserve"> </w:t>
      </w:r>
    </w:p>
    <w:p w14:paraId="5E32ECEA" w14:textId="505DB37B" w:rsidR="00586325" w:rsidRPr="00586325" w:rsidRDefault="00586325" w:rsidP="00C95DC4">
      <w:pPr>
        <w:numPr>
          <w:ilvl w:val="1"/>
          <w:numId w:val="16"/>
        </w:numPr>
        <w:spacing w:after="0" w:line="360" w:lineRule="auto"/>
        <w:ind w:left="734" w:right="12" w:hanging="14"/>
      </w:pPr>
      <w:r w:rsidRPr="00586325">
        <w:t xml:space="preserve">whether the judgment claims arising from the other action is subject to equitable </w:t>
      </w:r>
      <w:proofErr w:type="gramStart"/>
      <w:r w:rsidRPr="00586325">
        <w:t>subordination;</w:t>
      </w:r>
      <w:proofErr w:type="gramEnd"/>
      <w:r w:rsidRPr="00586325">
        <w:t xml:space="preserve"> </w:t>
      </w:r>
      <w:r w:rsidRPr="00586325">
        <w:rPr>
          <w:rFonts w:ascii="Calibri" w:eastAsia="Calibri" w:hAnsi="Calibri" w:cs="Calibri"/>
          <w:sz w:val="22"/>
        </w:rPr>
        <w:t xml:space="preserve"> </w:t>
      </w:r>
    </w:p>
    <w:p w14:paraId="62B7C591" w14:textId="77777777" w:rsidR="00586325" w:rsidRPr="00586325" w:rsidRDefault="00586325" w:rsidP="00C95DC4">
      <w:pPr>
        <w:numPr>
          <w:ilvl w:val="1"/>
          <w:numId w:val="16"/>
        </w:numPr>
        <w:spacing w:after="0" w:line="360" w:lineRule="auto"/>
        <w:ind w:left="734" w:right="12" w:hanging="14"/>
      </w:pPr>
      <w:r w:rsidRPr="00586325">
        <w:t xml:space="preserve">whether movant’s success in the other proceeding would result in a judicial </w:t>
      </w:r>
      <w:proofErr w:type="gramStart"/>
      <w:r w:rsidRPr="00586325">
        <w:t>lien</w:t>
      </w:r>
      <w:proofErr w:type="gramEnd"/>
      <w:r w:rsidRPr="00586325">
        <w:t xml:space="preserve"> avoidable by the </w:t>
      </w:r>
      <w:proofErr w:type="gramStart"/>
      <w:r w:rsidRPr="00586325">
        <w:t>debtor;</w:t>
      </w:r>
      <w:proofErr w:type="gramEnd"/>
      <w:r w:rsidRPr="00586325">
        <w:t xml:space="preserve"> </w:t>
      </w:r>
      <w:r w:rsidRPr="00586325">
        <w:rPr>
          <w:rFonts w:ascii="Calibri" w:eastAsia="Calibri" w:hAnsi="Calibri" w:cs="Calibri"/>
          <w:sz w:val="22"/>
        </w:rPr>
        <w:t xml:space="preserve"> </w:t>
      </w:r>
    </w:p>
    <w:p w14:paraId="3F232F7B" w14:textId="77777777" w:rsidR="00586325" w:rsidRPr="00586325" w:rsidRDefault="00586325" w:rsidP="00C95DC4">
      <w:pPr>
        <w:numPr>
          <w:ilvl w:val="1"/>
          <w:numId w:val="16"/>
        </w:numPr>
        <w:spacing w:after="0" w:line="360" w:lineRule="auto"/>
        <w:ind w:left="734" w:right="12" w:hanging="14"/>
      </w:pPr>
      <w:r w:rsidRPr="00586325">
        <w:t xml:space="preserve">the interests of judicial economy and the expeditious and economical resolution of </w:t>
      </w:r>
      <w:proofErr w:type="gramStart"/>
      <w:r w:rsidRPr="00586325">
        <w:t>litigation;</w:t>
      </w:r>
      <w:proofErr w:type="gramEnd"/>
      <w:r w:rsidRPr="00586325">
        <w:t xml:space="preserve"> </w:t>
      </w:r>
      <w:r w:rsidRPr="00586325">
        <w:rPr>
          <w:rFonts w:ascii="Calibri" w:eastAsia="Calibri" w:hAnsi="Calibri" w:cs="Calibri"/>
          <w:sz w:val="22"/>
        </w:rPr>
        <w:t xml:space="preserve"> </w:t>
      </w:r>
    </w:p>
    <w:p w14:paraId="43E1596D" w14:textId="77777777" w:rsidR="00586325" w:rsidRPr="00586325" w:rsidRDefault="00586325" w:rsidP="00C95DC4">
      <w:pPr>
        <w:numPr>
          <w:ilvl w:val="1"/>
          <w:numId w:val="16"/>
        </w:numPr>
        <w:spacing w:after="0" w:line="360" w:lineRule="auto"/>
        <w:ind w:left="734" w:right="12" w:hanging="14"/>
      </w:pPr>
      <w:r w:rsidRPr="00586325">
        <w:t xml:space="preserve">whether the parties are ready for trial in the other proceeding; and </w:t>
      </w:r>
      <w:r w:rsidRPr="00586325">
        <w:rPr>
          <w:rFonts w:ascii="Calibri" w:eastAsia="Calibri" w:hAnsi="Calibri" w:cs="Calibri"/>
          <w:sz w:val="22"/>
        </w:rPr>
        <w:t xml:space="preserve"> </w:t>
      </w:r>
    </w:p>
    <w:p w14:paraId="373078F9" w14:textId="77777777" w:rsidR="00586325" w:rsidRPr="00586325" w:rsidRDefault="00586325" w:rsidP="00C95DC4">
      <w:pPr>
        <w:numPr>
          <w:ilvl w:val="1"/>
          <w:numId w:val="16"/>
        </w:numPr>
        <w:spacing w:after="0" w:line="360" w:lineRule="auto"/>
        <w:ind w:left="734" w:right="12" w:hanging="14"/>
      </w:pPr>
      <w:r w:rsidRPr="00586325">
        <w:t xml:space="preserve">impact of the stay on the parties and the balance of </w:t>
      </w:r>
      <w:proofErr w:type="gramStart"/>
      <w:r w:rsidRPr="00586325">
        <w:t>harms</w:t>
      </w:r>
      <w:proofErr w:type="gramEnd"/>
      <w:r w:rsidRPr="00586325">
        <w:t xml:space="preserve">. </w:t>
      </w:r>
      <w:r w:rsidRPr="00586325">
        <w:rPr>
          <w:rFonts w:ascii="Calibri" w:eastAsia="Calibri" w:hAnsi="Calibri" w:cs="Calibri"/>
          <w:sz w:val="22"/>
        </w:rPr>
        <w:t xml:space="preserve"> </w:t>
      </w:r>
    </w:p>
    <w:p w14:paraId="599DC225" w14:textId="77777777" w:rsidR="00586325" w:rsidRPr="00586325" w:rsidRDefault="00586325" w:rsidP="00586325">
      <w:pPr>
        <w:spacing w:after="0" w:line="360" w:lineRule="auto"/>
        <w:ind w:left="14" w:firstLine="0"/>
        <w:jc w:val="left"/>
      </w:pPr>
      <w:r w:rsidRPr="00586325">
        <w:rPr>
          <w:i/>
          <w:sz w:val="22"/>
        </w:rPr>
        <w:t xml:space="preserve">Id. </w:t>
      </w:r>
      <w:r w:rsidRPr="00586325">
        <w:rPr>
          <w:sz w:val="22"/>
        </w:rPr>
        <w:t xml:space="preserve">at 1286. </w:t>
      </w:r>
      <w:r w:rsidRPr="00586325">
        <w:rPr>
          <w:rFonts w:ascii="Calibri" w:eastAsia="Calibri" w:hAnsi="Calibri" w:cs="Calibri"/>
          <w:sz w:val="22"/>
        </w:rPr>
        <w:t xml:space="preserve"> </w:t>
      </w:r>
    </w:p>
    <w:p w14:paraId="142DEF8B" w14:textId="77777777" w:rsidR="00586325" w:rsidRPr="00586325" w:rsidRDefault="00586325" w:rsidP="00586325">
      <w:pPr>
        <w:numPr>
          <w:ilvl w:val="0"/>
          <w:numId w:val="16"/>
        </w:numPr>
        <w:spacing w:after="0" w:line="360" w:lineRule="auto"/>
        <w:ind w:right="12"/>
      </w:pPr>
      <w:r w:rsidRPr="00586325">
        <w:t>“Courts in the Second Circuit have held that ‘[o]</w:t>
      </w:r>
      <w:proofErr w:type="spellStart"/>
      <w:r w:rsidRPr="00586325">
        <w:t>nly</w:t>
      </w:r>
      <w:proofErr w:type="spellEnd"/>
      <w:r w:rsidRPr="00586325">
        <w:t xml:space="preserve"> those factors relevant to a particular case need be considered, and the Court need not assign them equal weight.’”  </w:t>
      </w:r>
      <w:r w:rsidRPr="00586325">
        <w:rPr>
          <w:i/>
        </w:rPr>
        <w:t xml:space="preserve">In re </w:t>
      </w:r>
    </w:p>
    <w:p w14:paraId="414B62C4" w14:textId="77777777" w:rsidR="00586325" w:rsidRPr="00586325" w:rsidRDefault="00586325" w:rsidP="00586325">
      <w:pPr>
        <w:spacing w:after="0" w:line="360" w:lineRule="auto"/>
        <w:ind w:left="21" w:right="12"/>
      </w:pPr>
      <w:r w:rsidRPr="00586325">
        <w:rPr>
          <w:i/>
        </w:rPr>
        <w:t>Residential World Dev.</w:t>
      </w:r>
      <w:r w:rsidRPr="00586325">
        <w:t xml:space="preserve">, 2024 </w:t>
      </w:r>
      <w:proofErr w:type="spellStart"/>
      <w:r w:rsidRPr="00586325">
        <w:t>Bankr</w:t>
      </w:r>
      <w:proofErr w:type="spellEnd"/>
      <w:r w:rsidRPr="00586325">
        <w:t>. LEXIS 2839, at *4 (</w:t>
      </w:r>
      <w:proofErr w:type="spellStart"/>
      <w:r w:rsidRPr="00586325">
        <w:t>Bankr</w:t>
      </w:r>
      <w:proofErr w:type="spellEnd"/>
      <w:r w:rsidRPr="00586325">
        <w:t>. W.D.N.Y. Nov. 21, 2024</w:t>
      </w:r>
      <w:proofErr w:type="gramStart"/>
      <w:r w:rsidRPr="00586325">
        <w:t xml:space="preserve">) </w:t>
      </w:r>
      <w:r w:rsidRPr="00586325">
        <w:rPr>
          <w:rFonts w:ascii="Calibri" w:eastAsia="Calibri" w:hAnsi="Calibri" w:cs="Calibri"/>
          <w:sz w:val="22"/>
        </w:rPr>
        <w:t xml:space="preserve"> </w:t>
      </w:r>
      <w:r w:rsidRPr="00586325">
        <w:t>(</w:t>
      </w:r>
      <w:proofErr w:type="gramEnd"/>
      <w:r w:rsidRPr="00586325">
        <w:t xml:space="preserve">quoting </w:t>
      </w:r>
      <w:proofErr w:type="gramStart"/>
      <w:r w:rsidRPr="00586325">
        <w:rPr>
          <w:i/>
        </w:rPr>
        <w:t>In</w:t>
      </w:r>
      <w:proofErr w:type="gramEnd"/>
      <w:r w:rsidRPr="00586325">
        <w:rPr>
          <w:i/>
        </w:rPr>
        <w:t xml:space="preserve"> re </w:t>
      </w:r>
      <w:proofErr w:type="spellStart"/>
      <w:r w:rsidRPr="00586325">
        <w:rPr>
          <w:i/>
        </w:rPr>
        <w:t>Touloumis</w:t>
      </w:r>
      <w:proofErr w:type="spellEnd"/>
      <w:r w:rsidRPr="00586325">
        <w:t>, 170 B.R. 825, 828 (</w:t>
      </w:r>
      <w:proofErr w:type="spellStart"/>
      <w:r w:rsidRPr="00586325">
        <w:t>Bankr</w:t>
      </w:r>
      <w:proofErr w:type="spellEnd"/>
      <w:r w:rsidRPr="00586325">
        <w:t xml:space="preserve">. S.D.N.Y. </w:t>
      </w:r>
      <w:proofErr w:type="gramStart"/>
      <w:r w:rsidRPr="00586325">
        <w:t>1994))</w:t>
      </w:r>
      <w:proofErr w:type="gramEnd"/>
      <w:r w:rsidRPr="00586325">
        <w:t xml:space="preserve">; </w:t>
      </w:r>
      <w:r w:rsidRPr="00586325">
        <w:rPr>
          <w:i/>
        </w:rPr>
        <w:t>see also</w:t>
      </w:r>
      <w:r w:rsidRPr="00586325">
        <w:t xml:space="preserve"> </w:t>
      </w:r>
      <w:r w:rsidRPr="00586325">
        <w:rPr>
          <w:i/>
        </w:rPr>
        <w:t>Spencer v. Bogdanovich (In re Bogdanovich)</w:t>
      </w:r>
      <w:r w:rsidRPr="00586325">
        <w:t xml:space="preserve">, 292 F.3d 104, 110 (2d Cir. 2002). </w:t>
      </w:r>
      <w:r w:rsidRPr="00586325">
        <w:rPr>
          <w:rFonts w:ascii="Calibri" w:eastAsia="Calibri" w:hAnsi="Calibri" w:cs="Calibri"/>
          <w:sz w:val="22"/>
        </w:rPr>
        <w:t xml:space="preserve"> </w:t>
      </w:r>
    </w:p>
    <w:p w14:paraId="0418C6AF" w14:textId="77777777" w:rsidR="00586325" w:rsidRPr="00586325" w:rsidRDefault="00586325" w:rsidP="00586325">
      <w:pPr>
        <w:numPr>
          <w:ilvl w:val="0"/>
          <w:numId w:val="16"/>
        </w:numPr>
        <w:spacing w:after="0" w:line="360" w:lineRule="auto"/>
        <w:ind w:right="12"/>
      </w:pPr>
      <w:r w:rsidRPr="006D3EC5">
        <w:rPr>
          <w:highlight w:val="yellow"/>
        </w:rPr>
        <w:t xml:space="preserve">Ultimately, the decision as to </w:t>
      </w:r>
      <w:proofErr w:type="gramStart"/>
      <w:r w:rsidRPr="006D3EC5">
        <w:rPr>
          <w:highlight w:val="yellow"/>
        </w:rPr>
        <w:t>whether or not</w:t>
      </w:r>
      <w:proofErr w:type="gramEnd"/>
      <w:r w:rsidRPr="006D3EC5">
        <w:rPr>
          <w:highlight w:val="yellow"/>
        </w:rPr>
        <w:t xml:space="preserve"> to grant relief from the automatic stay is discretionary.</w:t>
      </w:r>
      <w:r w:rsidRPr="00586325">
        <w:t xml:space="preserve">  </w:t>
      </w:r>
      <w:r w:rsidRPr="00586325">
        <w:rPr>
          <w:i/>
        </w:rPr>
        <w:t>In re Bennett Funding Group</w:t>
      </w:r>
      <w:r w:rsidRPr="00586325">
        <w:t xml:space="preserve">, 255 B.R. 616, 638 (N.D.N.Y. 2000) (“As the decision </w:t>
      </w:r>
      <w:r w:rsidRPr="00586325">
        <w:lastRenderedPageBreak/>
        <w:t xml:space="preserve">to lift the automatic stay is vested within the ‘sound discretion’ of the Bankruptcy Court, this Court will review the </w:t>
      </w:r>
      <w:r w:rsidRPr="006D3EC5">
        <w:rPr>
          <w:highlight w:val="yellow"/>
        </w:rPr>
        <w:t>lower court’s rulings for any abuse of this discretion</w:t>
      </w:r>
      <w:r w:rsidRPr="00586325">
        <w:t xml:space="preserve">.”) (citing </w:t>
      </w:r>
      <w:proofErr w:type="spellStart"/>
      <w:r w:rsidRPr="00586325">
        <w:rPr>
          <w:i/>
        </w:rPr>
        <w:t>Sonnax</w:t>
      </w:r>
      <w:proofErr w:type="spellEnd"/>
      <w:r w:rsidRPr="00586325">
        <w:t xml:space="preserve">, 907 F.2d at 1286).   </w:t>
      </w:r>
      <w:r w:rsidRPr="00586325">
        <w:rPr>
          <w:rFonts w:ascii="Calibri" w:eastAsia="Calibri" w:hAnsi="Calibri" w:cs="Calibri"/>
          <w:sz w:val="22"/>
        </w:rPr>
        <w:t xml:space="preserve"> </w:t>
      </w:r>
    </w:p>
    <w:p w14:paraId="458AD402" w14:textId="77777777" w:rsidR="00586325" w:rsidRPr="00586325" w:rsidRDefault="00586325" w:rsidP="00586325">
      <w:pPr>
        <w:numPr>
          <w:ilvl w:val="0"/>
          <w:numId w:val="16"/>
        </w:numPr>
        <w:spacing w:after="0" w:line="360" w:lineRule="auto"/>
        <w:ind w:right="12"/>
      </w:pPr>
      <w:r w:rsidRPr="00586325">
        <w:t xml:space="preserve">Notably, </w:t>
      </w:r>
      <w:r w:rsidRPr="006D3EC5">
        <w:rPr>
          <w:highlight w:val="yellow"/>
        </w:rPr>
        <w:t>bankruptcy courts in other diocesan bankruptcy cases have denied similar motions for relief from the automatic stay filed by abuse claimants</w:t>
      </w:r>
      <w:r w:rsidRPr="00586325">
        <w:t>.</w:t>
      </w:r>
      <w:r w:rsidRPr="00586325">
        <w:rPr>
          <w:i/>
        </w:rPr>
        <w:t xml:space="preserve">  See, e.g., In re The Roman </w:t>
      </w:r>
      <w:r w:rsidRPr="00586325">
        <w:rPr>
          <w:rFonts w:ascii="Calibri" w:eastAsia="Calibri" w:hAnsi="Calibri" w:cs="Calibri"/>
          <w:sz w:val="22"/>
        </w:rPr>
        <w:t xml:space="preserve"> </w:t>
      </w:r>
    </w:p>
    <w:p w14:paraId="79F41F8C" w14:textId="77777777" w:rsidR="00586325" w:rsidRPr="00586325" w:rsidRDefault="00586325" w:rsidP="00586325">
      <w:pPr>
        <w:spacing w:after="0" w:line="360" w:lineRule="auto"/>
        <w:ind w:left="9"/>
        <w:jc w:val="left"/>
      </w:pPr>
      <w:r w:rsidRPr="00586325">
        <w:rPr>
          <w:i/>
        </w:rPr>
        <w:t>Catholic Church of the Archdiocese of New Orleans</w:t>
      </w:r>
      <w:r w:rsidRPr="00586325">
        <w:t>, Case No. 20-10846 (MSG) (</w:t>
      </w:r>
      <w:proofErr w:type="spellStart"/>
      <w:r w:rsidRPr="00586325">
        <w:t>Bankr</w:t>
      </w:r>
      <w:proofErr w:type="spellEnd"/>
      <w:r w:rsidRPr="00586325">
        <w:t xml:space="preserve">. E.D. La. </w:t>
      </w:r>
      <w:r w:rsidRPr="00586325">
        <w:rPr>
          <w:rFonts w:ascii="Calibri" w:eastAsia="Calibri" w:hAnsi="Calibri" w:cs="Calibri"/>
          <w:sz w:val="22"/>
        </w:rPr>
        <w:t xml:space="preserve"> </w:t>
      </w:r>
    </w:p>
    <w:p w14:paraId="256B415C" w14:textId="77777777" w:rsidR="00586325" w:rsidRPr="00586325" w:rsidRDefault="00586325" w:rsidP="00586325">
      <w:pPr>
        <w:spacing w:after="0" w:line="360" w:lineRule="auto"/>
        <w:ind w:left="21" w:right="12"/>
      </w:pPr>
      <w:r w:rsidRPr="00586325">
        <w:t xml:space="preserve">Sept. 30, 2020) [ECF No. 460] [Attached as Exhibit A, the “New Orleans Transcript”]; </w:t>
      </w:r>
      <w:r w:rsidRPr="00586325">
        <w:rPr>
          <w:i/>
        </w:rPr>
        <w:t xml:space="preserve">In re Archbishop of </w:t>
      </w:r>
      <w:proofErr w:type="spellStart"/>
      <w:r w:rsidRPr="00586325">
        <w:rPr>
          <w:i/>
        </w:rPr>
        <w:t>Agaña</w:t>
      </w:r>
      <w:proofErr w:type="spellEnd"/>
      <w:r w:rsidRPr="00586325">
        <w:t>, Case No. 19-00010 (MTG) (</w:t>
      </w:r>
      <w:proofErr w:type="spellStart"/>
      <w:r w:rsidRPr="00586325">
        <w:t>Bankr</w:t>
      </w:r>
      <w:proofErr w:type="spellEnd"/>
      <w:r w:rsidRPr="00586325">
        <w:t xml:space="preserve">. D. Guam Mar. 31, 2020) [ECF No. 378] [Attached as Exhibit B]; </w:t>
      </w:r>
      <w:r w:rsidRPr="00586325">
        <w:rPr>
          <w:i/>
        </w:rPr>
        <w:t>In re The Diocese of Rochester</w:t>
      </w:r>
      <w:r w:rsidRPr="00586325">
        <w:t>, Case No. 19-20905 (PRW) (</w:t>
      </w:r>
      <w:proofErr w:type="spellStart"/>
      <w:r w:rsidRPr="00586325">
        <w:t>Bankr</w:t>
      </w:r>
      <w:proofErr w:type="spellEnd"/>
      <w:r w:rsidRPr="00586325">
        <w:t xml:space="preserve">. </w:t>
      </w:r>
      <w:r w:rsidRPr="00586325">
        <w:rPr>
          <w:rFonts w:ascii="Calibri" w:eastAsia="Calibri" w:hAnsi="Calibri" w:cs="Calibri"/>
          <w:sz w:val="22"/>
        </w:rPr>
        <w:t xml:space="preserve"> </w:t>
      </w:r>
    </w:p>
    <w:p w14:paraId="1EB737DF" w14:textId="77777777" w:rsidR="00586325" w:rsidRPr="00586325" w:rsidRDefault="00586325" w:rsidP="00586325">
      <w:pPr>
        <w:spacing w:after="0" w:line="360" w:lineRule="auto"/>
        <w:ind w:left="21" w:right="12"/>
      </w:pPr>
      <w:r w:rsidRPr="00586325">
        <w:t xml:space="preserve">W.D.N.Y. July 12, 2021) [ECF No. 1212] [Attached as Exhibit C]; </w:t>
      </w:r>
      <w:r w:rsidRPr="00586325">
        <w:rPr>
          <w:i/>
        </w:rPr>
        <w:t>In re The Roman Catholic Diocese of Rockville Centre, New York,</w:t>
      </w:r>
      <w:r w:rsidRPr="00586325">
        <w:t xml:space="preserve"> Case No. 20-12345 (MG) (</w:t>
      </w:r>
      <w:proofErr w:type="spellStart"/>
      <w:r w:rsidRPr="00586325">
        <w:t>Bankr</w:t>
      </w:r>
      <w:proofErr w:type="spellEnd"/>
      <w:r w:rsidRPr="00586325">
        <w:t xml:space="preserve">. S.D.N.Y. December 19, 2023) [ECF Nos. 2744; 2753] [Rockville Centre Transcript attached as Exhibit D].  </w:t>
      </w:r>
      <w:r w:rsidRPr="00586325">
        <w:rPr>
          <w:rFonts w:ascii="Calibri" w:eastAsia="Calibri" w:hAnsi="Calibri" w:cs="Calibri"/>
          <w:sz w:val="22"/>
        </w:rPr>
        <w:t xml:space="preserve"> </w:t>
      </w:r>
    </w:p>
    <w:p w14:paraId="7A4F60F0" w14:textId="1E105532" w:rsidR="00586325" w:rsidRPr="00586325" w:rsidRDefault="00586325" w:rsidP="00586325">
      <w:pPr>
        <w:numPr>
          <w:ilvl w:val="0"/>
          <w:numId w:val="16"/>
        </w:numPr>
        <w:spacing w:after="0" w:line="360" w:lineRule="auto"/>
        <w:ind w:left="21" w:right="12"/>
      </w:pPr>
      <w:r w:rsidRPr="00586325">
        <w:t xml:space="preserve">In this case, the Committee and Movants claim that only factors 1, 2, 4, 5, 7, 10, </w:t>
      </w:r>
      <w:proofErr w:type="gramStart"/>
      <w:r w:rsidRPr="00586325">
        <w:t xml:space="preserve">11, </w:t>
      </w:r>
      <w:r w:rsidRPr="00586325">
        <w:rPr>
          <w:rFonts w:ascii="Calibri" w:eastAsia="Calibri" w:hAnsi="Calibri" w:cs="Calibri"/>
          <w:sz w:val="22"/>
        </w:rPr>
        <w:t xml:space="preserve"> </w:t>
      </w:r>
      <w:r w:rsidRPr="00586325">
        <w:t>12</w:t>
      </w:r>
      <w:proofErr w:type="gramEnd"/>
      <w:r w:rsidRPr="00586325">
        <w:t xml:space="preserve"> are relevant to the Court’s analysis – the Debtor agrees.  However, the Debtor disagrees with the </w:t>
      </w:r>
      <w:r w:rsidRPr="00586325">
        <w:rPr>
          <w:rFonts w:ascii="Calibri" w:eastAsia="Calibri" w:hAnsi="Calibri" w:cs="Calibri"/>
          <w:sz w:val="22"/>
        </w:rPr>
        <w:t xml:space="preserve"> </w:t>
      </w:r>
    </w:p>
    <w:p w14:paraId="5246CB67" w14:textId="77777777" w:rsidR="00586325" w:rsidRPr="00586325" w:rsidRDefault="00586325" w:rsidP="00586325">
      <w:pPr>
        <w:spacing w:after="0" w:line="360" w:lineRule="auto"/>
        <w:ind w:left="21" w:right="12"/>
      </w:pPr>
      <w:r w:rsidRPr="00586325">
        <w:t xml:space="preserve">Committee’s and Movants’ analysis of these factors.   </w:t>
      </w:r>
      <w:r w:rsidRPr="00586325">
        <w:rPr>
          <w:rFonts w:ascii="Calibri" w:eastAsia="Calibri" w:hAnsi="Calibri" w:cs="Calibri"/>
          <w:sz w:val="22"/>
        </w:rPr>
        <w:t xml:space="preserve"> </w:t>
      </w:r>
    </w:p>
    <w:p w14:paraId="78152FC0" w14:textId="7FCDA602" w:rsidR="00586325" w:rsidRPr="00586325" w:rsidRDefault="00586325" w:rsidP="00586325">
      <w:pPr>
        <w:numPr>
          <w:ilvl w:val="0"/>
          <w:numId w:val="17"/>
        </w:numPr>
        <w:spacing w:after="0" w:line="360" w:lineRule="auto"/>
        <w:ind w:left="21" w:right="12"/>
      </w:pPr>
      <w:r w:rsidRPr="00586325">
        <w:t>The issue is whether stay relief to allow seven bellwether cases to proceed to trial will ultimately move the mediation process forward to achieve a confirmable reorganization plan that fairly compensates the Survivors and equitably distributes the Debtor’s available assets to pay its other classes of creditors.  Based on the pre-petition history of the Debtor’s resolution of CVA Actions with the involvement of the Insurers (</w:t>
      </w:r>
      <w:r w:rsidRPr="00586325">
        <w:rPr>
          <w:i/>
        </w:rPr>
        <w:t xml:space="preserve">See, </w:t>
      </w:r>
      <w:r w:rsidRPr="00586325">
        <w:t xml:space="preserve">Point I.B. supra.) the assertion that stay relief will balance scale and compel the Insurers to abide the terms of the applicable policies is belied by the </w:t>
      </w:r>
      <w:r w:rsidRPr="00586325">
        <w:rPr>
          <w:rFonts w:ascii="Calibri" w:eastAsia="Calibri" w:hAnsi="Calibri" w:cs="Calibri"/>
          <w:sz w:val="22"/>
        </w:rPr>
        <w:t xml:space="preserve"> </w:t>
      </w:r>
      <w:r w:rsidRPr="00586325">
        <w:t xml:space="preserve">Insurers’ active participation in the resolution of dozens of CVA Actions pre-petition.   </w:t>
      </w:r>
      <w:r w:rsidRPr="00586325">
        <w:rPr>
          <w:rFonts w:ascii="Calibri" w:eastAsia="Calibri" w:hAnsi="Calibri" w:cs="Calibri"/>
          <w:sz w:val="22"/>
        </w:rPr>
        <w:t xml:space="preserve"> </w:t>
      </w:r>
    </w:p>
    <w:p w14:paraId="5FD5DA00" w14:textId="77777777" w:rsidR="00586325" w:rsidRPr="00586325" w:rsidRDefault="00586325" w:rsidP="00586325">
      <w:pPr>
        <w:numPr>
          <w:ilvl w:val="0"/>
          <w:numId w:val="17"/>
        </w:numPr>
        <w:spacing w:after="0" w:line="360" w:lineRule="auto"/>
        <w:ind w:right="12"/>
      </w:pPr>
      <w:r w:rsidRPr="00586325">
        <w:t xml:space="preserve">Denial of the Motions is warranted because the Movants and the Tort Committee have failed to demonstrate that the applicable </w:t>
      </w:r>
      <w:proofErr w:type="spellStart"/>
      <w:r w:rsidRPr="00586325">
        <w:rPr>
          <w:i/>
        </w:rPr>
        <w:t>Sonnax</w:t>
      </w:r>
      <w:proofErr w:type="spellEnd"/>
      <w:r w:rsidRPr="00586325">
        <w:t xml:space="preserve"> factors have been satisfied.   </w:t>
      </w:r>
      <w:r w:rsidRPr="00586325">
        <w:rPr>
          <w:rFonts w:ascii="Calibri" w:eastAsia="Calibri" w:hAnsi="Calibri" w:cs="Calibri"/>
          <w:sz w:val="22"/>
        </w:rPr>
        <w:t xml:space="preserve"> </w:t>
      </w:r>
    </w:p>
    <w:p w14:paraId="2A19241E" w14:textId="77777777" w:rsidR="00586325" w:rsidRPr="00586325" w:rsidRDefault="00586325" w:rsidP="00586325">
      <w:pPr>
        <w:keepNext/>
        <w:keepLines/>
        <w:spacing w:after="0" w:line="360" w:lineRule="auto"/>
        <w:ind w:left="365"/>
        <w:jc w:val="left"/>
        <w:outlineLvl w:val="1"/>
        <w:rPr>
          <w:rFonts w:eastAsia="Calibri"/>
          <w:b/>
          <w:bCs/>
          <w:color w:val="0F4761"/>
        </w:rPr>
      </w:pPr>
      <w:proofErr w:type="spellStart"/>
      <w:r w:rsidRPr="00586325">
        <w:rPr>
          <w:rFonts w:eastAsia="Calibri"/>
          <w:b/>
          <w:bCs/>
          <w:color w:val="0F4761"/>
        </w:rPr>
        <w:t>Sonnax</w:t>
      </w:r>
      <w:proofErr w:type="spellEnd"/>
      <w:r w:rsidRPr="00586325">
        <w:rPr>
          <w:rFonts w:eastAsia="Calibri"/>
          <w:b/>
          <w:bCs/>
          <w:color w:val="0F4761"/>
        </w:rPr>
        <w:t xml:space="preserve"> Factor 1 – Movants’ Requested Relief Would Not Result in a Partial or Complete Resolution of the Issues  </w:t>
      </w:r>
    </w:p>
    <w:p w14:paraId="218B5EE1" w14:textId="77777777" w:rsidR="00586325" w:rsidRPr="00586325" w:rsidRDefault="00586325" w:rsidP="00586325">
      <w:pPr>
        <w:spacing w:after="0" w:line="360" w:lineRule="auto"/>
        <w:ind w:left="734" w:firstLine="0"/>
        <w:jc w:val="left"/>
      </w:pPr>
      <w:r w:rsidRPr="00586325">
        <w:t xml:space="preserve"> </w:t>
      </w:r>
      <w:r w:rsidRPr="00586325">
        <w:rPr>
          <w:rFonts w:ascii="Calibri" w:eastAsia="Calibri" w:hAnsi="Calibri" w:cs="Calibri"/>
          <w:sz w:val="22"/>
        </w:rPr>
        <w:t xml:space="preserve"> </w:t>
      </w:r>
    </w:p>
    <w:p w14:paraId="047B0DC9" w14:textId="6F63E4A7" w:rsidR="00586325" w:rsidRPr="00586325" w:rsidRDefault="00586325" w:rsidP="00586325">
      <w:pPr>
        <w:numPr>
          <w:ilvl w:val="0"/>
          <w:numId w:val="18"/>
        </w:numPr>
        <w:spacing w:after="0" w:line="360" w:lineRule="auto"/>
        <w:ind w:left="21" w:right="12"/>
      </w:pPr>
      <w:r w:rsidRPr="00586325">
        <w:t xml:space="preserve">Consistent with this Court’s Interim Mediation Order, the parties should remain focused on the purpose of the mediation – a negotiated settlement of CVA Claims with payments to survivors funded by the Debtor, Parishes and Insurers and the equitable distribution of the Debtor’s assets to provide payment to its other classes of creditors.  While litigating seven cases may resolve </w:t>
      </w:r>
      <w:r w:rsidRPr="00586325">
        <w:lastRenderedPageBreak/>
        <w:t xml:space="preserve">the claims in those specific cases, it will not aid the parties in arriving at a global resolution of funding for allowed CVA Claims and distributions to other creditors.  In fact, </w:t>
      </w:r>
      <w:r w:rsidRPr="006D3EC5">
        <w:rPr>
          <w:highlight w:val="yellow"/>
        </w:rPr>
        <w:t>to the extent that the Movants’ cases are not representative of the full panoply of outcomes in the CVA Actions, stay relief serves no purpose in educating all parties of their potential risks as well as rewards with proceeding with litigation.</w:t>
      </w:r>
      <w:r w:rsidRPr="00586325">
        <w:t xml:space="preserve">  If stay relief in these seven cases does not bring about the intended results, </w:t>
      </w:r>
      <w:proofErr w:type="gramStart"/>
      <w:r w:rsidRPr="00586325">
        <w:t>more and more</w:t>
      </w:r>
      <w:proofErr w:type="gramEnd"/>
      <w:r w:rsidRPr="00586325">
        <w:t xml:space="preserve"> CVA Claimants will undoubtedly seek stay relief, giving </w:t>
      </w:r>
      <w:proofErr w:type="gramStart"/>
      <w:r w:rsidRPr="00586325">
        <w:t xml:space="preserve">rise </w:t>
      </w:r>
      <w:r w:rsidRPr="00586325">
        <w:rPr>
          <w:rFonts w:ascii="Calibri" w:eastAsia="Calibri" w:hAnsi="Calibri" w:cs="Calibri"/>
          <w:sz w:val="22"/>
        </w:rPr>
        <w:t xml:space="preserve"> </w:t>
      </w:r>
      <w:r w:rsidRPr="00586325">
        <w:t>to</w:t>
      </w:r>
      <w:proofErr w:type="gramEnd"/>
      <w:r w:rsidRPr="00586325">
        <w:t xml:space="preserve"> a never-ending cycle of litigation.  Indeed, the Movants make no promises that they will not seek stay relief for additional claims in the future. </w:t>
      </w:r>
      <w:r w:rsidRPr="00586325">
        <w:rPr>
          <w:rFonts w:ascii="Calibri" w:eastAsia="Calibri" w:hAnsi="Calibri" w:cs="Calibri"/>
          <w:sz w:val="22"/>
        </w:rPr>
        <w:t xml:space="preserve"> </w:t>
      </w:r>
    </w:p>
    <w:p w14:paraId="7FCC7CBB" w14:textId="77777777" w:rsidR="00586325" w:rsidRPr="00586325" w:rsidRDefault="00586325" w:rsidP="00586325">
      <w:pPr>
        <w:numPr>
          <w:ilvl w:val="0"/>
          <w:numId w:val="18"/>
        </w:numPr>
        <w:spacing w:after="0" w:line="360" w:lineRule="auto"/>
        <w:ind w:right="12"/>
      </w:pPr>
      <w:r w:rsidRPr="006D3EC5">
        <w:rPr>
          <w:highlight w:val="yellow"/>
        </w:rPr>
        <w:t xml:space="preserve">Moreover, the Movants and Tort Committee fail to address the practical realities associated with prosecuting these seven cases.  </w:t>
      </w:r>
      <w:proofErr w:type="gramStart"/>
      <w:r w:rsidRPr="006D3EC5">
        <w:rPr>
          <w:highlight w:val="yellow"/>
        </w:rPr>
        <w:t>In particular, there</w:t>
      </w:r>
      <w:proofErr w:type="gramEnd"/>
      <w:r w:rsidRPr="006D3EC5">
        <w:rPr>
          <w:highlight w:val="yellow"/>
        </w:rPr>
        <w:t xml:space="preserve"> is no acknowledgment of the fact that these matters may be subject to appeals and take years to obtain the kind of final judgment that would further the alleged purpose of the Stay Relief Motions.</w:t>
      </w:r>
      <w:r w:rsidRPr="00586325">
        <w:t xml:space="preserve">  The parties also do not account for the possibility that some or </w:t>
      </w:r>
      <w:proofErr w:type="gramStart"/>
      <w:r w:rsidRPr="00586325">
        <w:t>all of</w:t>
      </w:r>
      <w:proofErr w:type="gramEnd"/>
      <w:r w:rsidRPr="00586325">
        <w:t xml:space="preserve"> the </w:t>
      </w:r>
      <w:r w:rsidRPr="006D3EC5">
        <w:rPr>
          <w:highlight w:val="yellow"/>
        </w:rPr>
        <w:t xml:space="preserve">Movants will opt to settle prior to trial, which would undermine the </w:t>
      </w:r>
      <w:proofErr w:type="gramStart"/>
      <w:r w:rsidRPr="006D3EC5">
        <w:rPr>
          <w:highlight w:val="yellow"/>
        </w:rPr>
        <w:t>Movants’</w:t>
      </w:r>
      <w:proofErr w:type="gramEnd"/>
      <w:r w:rsidRPr="006D3EC5">
        <w:rPr>
          <w:highlight w:val="yellow"/>
        </w:rPr>
        <w:t xml:space="preserve"> stated purpose of obtaining jury verdicts to serve as valuation benchmarks</w:t>
      </w:r>
      <w:r w:rsidRPr="00586325">
        <w:t xml:space="preserve">.    </w:t>
      </w:r>
      <w:r w:rsidRPr="00586325">
        <w:rPr>
          <w:rFonts w:ascii="Calibri" w:eastAsia="Calibri" w:hAnsi="Calibri" w:cs="Calibri"/>
          <w:sz w:val="22"/>
        </w:rPr>
        <w:t xml:space="preserve"> </w:t>
      </w:r>
    </w:p>
    <w:p w14:paraId="62DA1249" w14:textId="77777777" w:rsidR="00586325" w:rsidRPr="00586325" w:rsidRDefault="00586325" w:rsidP="00586325">
      <w:pPr>
        <w:numPr>
          <w:ilvl w:val="0"/>
          <w:numId w:val="18"/>
        </w:numPr>
        <w:spacing w:after="0" w:line="360" w:lineRule="auto"/>
        <w:ind w:right="12"/>
      </w:pPr>
      <w:r w:rsidRPr="00586325">
        <w:t xml:space="preserve">Additionally, the parties do not account for the risks associated with pursuing litigation of these underlying actions. More specifically, continuing litigation in state court could jeopardize the Debtor’s and the Parishes’ insurance coverage.  </w:t>
      </w:r>
      <w:proofErr w:type="gramStart"/>
      <w:r w:rsidRPr="00586325">
        <w:t>In the course of</w:t>
      </w:r>
      <w:proofErr w:type="gramEnd"/>
      <w:r w:rsidRPr="00586325">
        <w:t xml:space="preserve"> litigation, it is possible that evidence may be developed that the Insurers can use to substantiate their coverage defenses.  These defenses could provide the insurers with a strong basis for denying coverage for those claims.  As a result, lifting the stay could severely prejudice the ability of the Debtor and the Parishes to recover insurance and undermine their ability to negotiate with the insurers in the mediation. </w:t>
      </w:r>
      <w:r w:rsidRPr="00586325">
        <w:rPr>
          <w:rFonts w:ascii="Calibri" w:eastAsia="Calibri" w:hAnsi="Calibri" w:cs="Calibri"/>
          <w:sz w:val="22"/>
        </w:rPr>
        <w:t xml:space="preserve"> </w:t>
      </w:r>
    </w:p>
    <w:p w14:paraId="2E52F895" w14:textId="7429A45C" w:rsidR="00586325" w:rsidRPr="00586325" w:rsidRDefault="00586325" w:rsidP="00586325">
      <w:pPr>
        <w:numPr>
          <w:ilvl w:val="0"/>
          <w:numId w:val="18"/>
        </w:numPr>
        <w:spacing w:after="0" w:line="360" w:lineRule="auto"/>
        <w:ind w:left="21" w:right="12"/>
      </w:pPr>
      <w:r w:rsidRPr="00586325">
        <w:t xml:space="preserve">While bellwether or test cases might serve legitimate purposes under certain circumstances, the proposed test cases against the </w:t>
      </w:r>
      <w:r w:rsidRPr="006D3EC5">
        <w:rPr>
          <w:highlight w:val="yellow"/>
        </w:rPr>
        <w:t>Debtor would serve no purpose because the Movants have failed to allege or show that their cases are representative of the full panoply of outcomes ranging from dismissal to substantial verdict with degrees of liability and damages</w:t>
      </w:r>
      <w:r w:rsidRPr="00586325">
        <w:t xml:space="preserve"> among that continuum.  The Movants speculate that stay relief will prompt greater involvement by the Insurers in the mediation yet they acknowledge that, while the cases may result in verdicts and judgments, </w:t>
      </w:r>
      <w:r w:rsidRPr="006D3EC5">
        <w:rPr>
          <w:highlight w:val="yellow"/>
        </w:rPr>
        <w:t>Movants will not seek enforcement of any judgments absent further order of this Court.</w:t>
      </w:r>
      <w:r w:rsidRPr="006D3EC5">
        <w:rPr>
          <w:highlight w:val="yellow"/>
          <w:vertAlign w:val="superscript"/>
        </w:rPr>
        <w:t>9</w:t>
      </w:r>
      <w:r w:rsidRPr="006D3EC5">
        <w:rPr>
          <w:highlight w:val="yellow"/>
        </w:rPr>
        <w:t xml:space="preserve">  New York State Supreme Court is, therefore, being tasked with conducting trials that will result in advisory opinions, rather than resolving the matters to conclusion, with the result at trial to be used as leverage in the Chapter 11 Case.  That hardly seems like an economical use of judicial resources</w:t>
      </w:r>
      <w:r w:rsidRPr="00586325">
        <w:t xml:space="preserve">. </w:t>
      </w:r>
      <w:r w:rsidRPr="00586325">
        <w:rPr>
          <w:rFonts w:ascii="Calibri" w:eastAsia="Calibri" w:hAnsi="Calibri" w:cs="Calibri"/>
          <w:sz w:val="22"/>
        </w:rPr>
        <w:t xml:space="preserve"> </w:t>
      </w:r>
    </w:p>
    <w:p w14:paraId="40173137" w14:textId="77777777" w:rsidR="00586325" w:rsidRPr="00586325" w:rsidRDefault="00586325" w:rsidP="00586325">
      <w:pPr>
        <w:numPr>
          <w:ilvl w:val="0"/>
          <w:numId w:val="18"/>
        </w:numPr>
        <w:spacing w:after="0" w:line="360" w:lineRule="auto"/>
        <w:ind w:right="12"/>
      </w:pPr>
      <w:r w:rsidRPr="00586325">
        <w:lastRenderedPageBreak/>
        <w:t xml:space="preserve">The Motions also seem to presume that the Movants’ CVA Actions will, in fact, go to trial and not be settled prior to the trial date.  Based on experience, most litigation matters do not, in fact, go to trial but instead are decided on dispositive motions or with a settlement.  Since approximately fifty CVA Actions against the Debtor were resolved pre-petition, it is likely that some or </w:t>
      </w:r>
      <w:proofErr w:type="gramStart"/>
      <w:r w:rsidRPr="00586325">
        <w:t>all of</w:t>
      </w:r>
      <w:proofErr w:type="gramEnd"/>
      <w:r w:rsidRPr="00586325">
        <w:t xml:space="preserve"> the Movants’ CVA Actions could result in settlement.   </w:t>
      </w:r>
      <w:r w:rsidRPr="00586325">
        <w:rPr>
          <w:rFonts w:ascii="Calibri" w:eastAsia="Calibri" w:hAnsi="Calibri" w:cs="Calibri"/>
          <w:sz w:val="22"/>
        </w:rPr>
        <w:t xml:space="preserve"> </w:t>
      </w:r>
    </w:p>
    <w:p w14:paraId="54C7D097" w14:textId="77777777" w:rsidR="00586325" w:rsidRPr="00586325" w:rsidRDefault="00586325" w:rsidP="00586325">
      <w:pPr>
        <w:numPr>
          <w:ilvl w:val="0"/>
          <w:numId w:val="18"/>
        </w:numPr>
        <w:spacing w:after="0" w:line="360" w:lineRule="auto"/>
        <w:ind w:right="12"/>
      </w:pPr>
      <w:r w:rsidRPr="00586325">
        <w:t xml:space="preserve">If settlement is contemplated as a potential outcome, stay relief is not necessary since the Debtor, Insurers and </w:t>
      </w:r>
      <w:r w:rsidRPr="006D3EC5">
        <w:rPr>
          <w:highlight w:val="yellow"/>
        </w:rPr>
        <w:t xml:space="preserve">Plaintiffs’ counsel have the benefit of the disposition </w:t>
      </w:r>
      <w:proofErr w:type="gramStart"/>
      <w:r w:rsidRPr="006D3EC5">
        <w:rPr>
          <w:highlight w:val="yellow"/>
        </w:rPr>
        <w:t xml:space="preserve">of </w:t>
      </w:r>
      <w:r w:rsidRPr="006D3EC5">
        <w:rPr>
          <w:rFonts w:ascii="Calibri" w:eastAsia="Calibri" w:hAnsi="Calibri" w:cs="Calibri"/>
          <w:sz w:val="22"/>
          <w:highlight w:val="yellow"/>
        </w:rPr>
        <w:t xml:space="preserve"> </w:t>
      </w:r>
      <w:r w:rsidRPr="006D3EC5">
        <w:rPr>
          <w:highlight w:val="yellow"/>
        </w:rPr>
        <w:t>approximately</w:t>
      </w:r>
      <w:proofErr w:type="gramEnd"/>
      <w:r w:rsidRPr="006D3EC5">
        <w:rPr>
          <w:highlight w:val="yellow"/>
        </w:rPr>
        <w:t xml:space="preserve"> fifty CVA Actions pre-petition that already serve the purpose of bellwether</w:t>
      </w:r>
      <w:r w:rsidRPr="00586325">
        <w:t xml:space="preserve"> cases. </w:t>
      </w:r>
      <w:r w:rsidRPr="00586325">
        <w:rPr>
          <w:rFonts w:ascii="Calibri" w:eastAsia="Calibri" w:hAnsi="Calibri" w:cs="Calibri"/>
          <w:sz w:val="22"/>
        </w:rPr>
        <w:t xml:space="preserve"> </w:t>
      </w:r>
    </w:p>
    <w:p w14:paraId="109A00E2" w14:textId="77777777" w:rsidR="00586325" w:rsidRPr="00586325" w:rsidRDefault="00586325" w:rsidP="00586325">
      <w:pPr>
        <w:numPr>
          <w:ilvl w:val="0"/>
          <w:numId w:val="18"/>
        </w:numPr>
        <w:spacing w:after="0" w:line="360" w:lineRule="auto"/>
        <w:ind w:right="12"/>
      </w:pPr>
      <w:r w:rsidRPr="00586325">
        <w:t xml:space="preserve">Any settlement would be subject to this </w:t>
      </w:r>
      <w:r w:rsidRPr="006D3EC5">
        <w:rPr>
          <w:highlight w:val="yellow"/>
        </w:rPr>
        <w:t>Court’s review and approval pursuant to Federal Rule of Bankruptcy Procedure 9019</w:t>
      </w:r>
      <w:r w:rsidRPr="00586325">
        <w:t xml:space="preserve">.  As a result, this Court would inevitably have to reengage in the cases to consider the terms of any proposed settlement.  Given that the Survivors whose CVA Actions remain stayed are similarly situated with the Movants, there is a significant question whether settlement of individual cases is appropriate as the similarly situated Survivors may receive disparate treatment under a Plan.  The same concern exists </w:t>
      </w:r>
      <w:proofErr w:type="gramStart"/>
      <w:r w:rsidRPr="00586325">
        <w:t>in the event that</w:t>
      </w:r>
      <w:proofErr w:type="gramEnd"/>
      <w:r w:rsidRPr="00586325">
        <w:t xml:space="preserve"> one or more of the Movants’ cases </w:t>
      </w:r>
      <w:proofErr w:type="gramStart"/>
      <w:r w:rsidRPr="00586325">
        <w:t>results</w:t>
      </w:r>
      <w:proofErr w:type="gramEnd"/>
      <w:r w:rsidRPr="00586325">
        <w:t xml:space="preserve"> in a judgment.   </w:t>
      </w:r>
      <w:r w:rsidRPr="00586325">
        <w:rPr>
          <w:rFonts w:ascii="Calibri" w:eastAsia="Calibri" w:hAnsi="Calibri" w:cs="Calibri"/>
          <w:sz w:val="22"/>
        </w:rPr>
        <w:t xml:space="preserve"> </w:t>
      </w:r>
    </w:p>
    <w:p w14:paraId="7F209146" w14:textId="77777777" w:rsidR="00586325" w:rsidRPr="00586325" w:rsidRDefault="00586325" w:rsidP="00586325">
      <w:pPr>
        <w:numPr>
          <w:ilvl w:val="0"/>
          <w:numId w:val="18"/>
        </w:numPr>
        <w:spacing w:after="0" w:line="360" w:lineRule="auto"/>
        <w:ind w:right="12"/>
      </w:pPr>
      <w:r w:rsidRPr="00586325">
        <w:t xml:space="preserve">Lastly, granting stay relief would not resolve insurance coverage issues because the </w:t>
      </w:r>
    </w:p>
    <w:p w14:paraId="1F722CF5" w14:textId="77777777" w:rsidR="00586325" w:rsidRPr="00586325" w:rsidRDefault="00586325" w:rsidP="00586325">
      <w:pPr>
        <w:spacing w:after="0" w:line="360" w:lineRule="auto"/>
        <w:ind w:left="21" w:right="12"/>
      </w:pPr>
      <w:r w:rsidRPr="00586325">
        <w:t xml:space="preserve">Insurers are not parties to any of those cases and the insurance contracts are not at issue in any of </w:t>
      </w:r>
      <w:r w:rsidRPr="00586325">
        <w:rPr>
          <w:rFonts w:ascii="Calibri" w:eastAsia="Calibri" w:hAnsi="Calibri" w:cs="Calibri"/>
          <w:sz w:val="22"/>
        </w:rPr>
        <w:t xml:space="preserve"> </w:t>
      </w:r>
    </w:p>
    <w:p w14:paraId="7A3376A9" w14:textId="77777777" w:rsidR="00586325" w:rsidRPr="00586325" w:rsidRDefault="00586325" w:rsidP="00586325">
      <w:pPr>
        <w:spacing w:after="0" w:line="360" w:lineRule="auto"/>
        <w:ind w:left="14" w:firstLine="0"/>
        <w:jc w:val="left"/>
      </w:pPr>
      <w:r w:rsidRPr="00586325">
        <w:rPr>
          <w:rFonts w:ascii="Calibri" w:eastAsia="Calibri" w:hAnsi="Calibri" w:cs="Calibri"/>
          <w:noProof/>
          <w:sz w:val="22"/>
        </w:rPr>
        <mc:AlternateContent>
          <mc:Choice Requires="wpg">
            <w:drawing>
              <wp:inline distT="0" distB="0" distL="0" distR="0" wp14:anchorId="256F522D" wp14:editId="3AB05BBE">
                <wp:extent cx="1828800" cy="8890"/>
                <wp:effectExtent l="0" t="0" r="0" b="0"/>
                <wp:docPr id="20938" name="Group 20938"/>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22569" name="Shape 2256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F968238" id="Group 20938" o:spid="_x0000_s1026" style="width:2in;height:.7pt;mso-position-horizontal-relative:char;mso-position-vertical-relative:line" coordsize="182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">
                <v:shape id="Shape 22569"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sidRPr="00586325">
        <w:rPr>
          <w:rFonts w:ascii="Calibri" w:eastAsia="Calibri" w:hAnsi="Calibri" w:cs="Calibri"/>
          <w:sz w:val="22"/>
        </w:rPr>
        <w:t xml:space="preserve">  </w:t>
      </w:r>
    </w:p>
    <w:p w14:paraId="235C326C" w14:textId="77777777" w:rsidR="00586325" w:rsidRPr="00586325" w:rsidRDefault="00586325" w:rsidP="00586325">
      <w:pPr>
        <w:spacing w:after="0" w:line="360" w:lineRule="auto"/>
        <w:ind w:left="9"/>
      </w:pPr>
      <w:r w:rsidRPr="00586325">
        <w:rPr>
          <w:rFonts w:ascii="Courier New" w:eastAsia="Courier New" w:hAnsi="Courier New" w:cs="Courier New"/>
          <w:sz w:val="13"/>
        </w:rPr>
        <w:t>9</w:t>
      </w:r>
      <w:r w:rsidRPr="00586325">
        <w:rPr>
          <w:rFonts w:ascii="Courier New" w:eastAsia="Courier New" w:hAnsi="Courier New" w:cs="Courier New"/>
          <w:sz w:val="20"/>
        </w:rPr>
        <w:t xml:space="preserve"> </w:t>
      </w:r>
      <w:r w:rsidRPr="00586325">
        <w:rPr>
          <w:sz w:val="20"/>
        </w:rPr>
        <w:t xml:space="preserve">The Debtor reserves its right to respond to any further motions for stay relief seeking enforcement of any judgments that might be obtained in the Movants’ CVA Actions. </w:t>
      </w:r>
      <w:r w:rsidRPr="00586325">
        <w:rPr>
          <w:rFonts w:ascii="Calibri" w:eastAsia="Calibri" w:hAnsi="Calibri" w:cs="Calibri"/>
          <w:sz w:val="22"/>
        </w:rPr>
        <w:t xml:space="preserve"> </w:t>
      </w:r>
    </w:p>
    <w:p w14:paraId="6508BF8A" w14:textId="77777777" w:rsidR="00586325" w:rsidRPr="00586325" w:rsidRDefault="00586325" w:rsidP="00586325">
      <w:pPr>
        <w:spacing w:after="0" w:line="360" w:lineRule="auto"/>
        <w:ind w:left="21" w:right="12"/>
      </w:pPr>
      <w:r w:rsidRPr="00586325">
        <w:t xml:space="preserve">them.  Thus, the cases will not decide any insurance coverage issues. </w:t>
      </w:r>
      <w:r w:rsidRPr="00586325">
        <w:rPr>
          <w:rFonts w:ascii="Calibri" w:eastAsia="Calibri" w:hAnsi="Calibri" w:cs="Calibri"/>
          <w:sz w:val="22"/>
        </w:rPr>
        <w:t xml:space="preserve"> </w:t>
      </w:r>
    </w:p>
    <w:p w14:paraId="6FCF435D" w14:textId="7D583C7E" w:rsidR="00C95DC4" w:rsidRDefault="00586325" w:rsidP="00C95DC4">
      <w:pPr>
        <w:pStyle w:val="ListParagraph"/>
        <w:numPr>
          <w:ilvl w:val="0"/>
          <w:numId w:val="18"/>
        </w:numPr>
        <w:tabs>
          <w:tab w:val="center" w:pos="887"/>
          <w:tab w:val="center" w:pos="4326"/>
        </w:tabs>
        <w:spacing w:after="0" w:line="360" w:lineRule="auto"/>
        <w:jc w:val="left"/>
      </w:pPr>
      <w:r w:rsidRPr="00586325">
        <w:t xml:space="preserve">Rather than resolving the issues, stay relief multiplies them.   </w:t>
      </w:r>
    </w:p>
    <w:p w14:paraId="1BA9019A" w14:textId="35BB5C43" w:rsidR="00586325" w:rsidRPr="00586325" w:rsidRDefault="00586325" w:rsidP="00C95DC4">
      <w:pPr>
        <w:pStyle w:val="ListParagraph"/>
        <w:tabs>
          <w:tab w:val="center" w:pos="887"/>
          <w:tab w:val="center" w:pos="4326"/>
        </w:tabs>
        <w:spacing w:after="0" w:line="360" w:lineRule="auto"/>
        <w:ind w:left="11" w:firstLine="0"/>
        <w:jc w:val="left"/>
      </w:pPr>
      <w:r w:rsidRPr="00C95DC4">
        <w:rPr>
          <w:rFonts w:ascii="Calibri" w:eastAsia="Calibri" w:hAnsi="Calibri" w:cs="Calibri"/>
          <w:sz w:val="22"/>
        </w:rPr>
        <w:t xml:space="preserve"> </w:t>
      </w:r>
    </w:p>
    <w:p w14:paraId="06C6CA5D" w14:textId="49C867D5" w:rsidR="00586325" w:rsidRPr="00586325" w:rsidRDefault="00586325" w:rsidP="00C95DC4">
      <w:pPr>
        <w:keepNext/>
        <w:keepLines/>
        <w:spacing w:after="0" w:line="360" w:lineRule="auto"/>
        <w:ind w:left="365"/>
        <w:jc w:val="left"/>
        <w:outlineLvl w:val="1"/>
      </w:pPr>
      <w:proofErr w:type="spellStart"/>
      <w:r w:rsidRPr="00586325">
        <w:rPr>
          <w:rFonts w:eastAsia="Calibri"/>
          <w:b/>
          <w:bCs/>
          <w:color w:val="0F4761"/>
        </w:rPr>
        <w:t>Sonnax</w:t>
      </w:r>
      <w:proofErr w:type="spellEnd"/>
      <w:r w:rsidRPr="00586325">
        <w:rPr>
          <w:rFonts w:eastAsia="Calibri"/>
          <w:b/>
          <w:bCs/>
          <w:color w:val="0F4761"/>
        </w:rPr>
        <w:t xml:space="preserve"> Factor 2 – Lifting the Stay Will Interfere with the Bankruptcy Case  </w:t>
      </w:r>
      <w:r w:rsidRPr="00586325">
        <w:t xml:space="preserve"> </w:t>
      </w:r>
      <w:r w:rsidRPr="00586325">
        <w:rPr>
          <w:rFonts w:ascii="Calibri" w:eastAsia="Calibri" w:hAnsi="Calibri" w:cs="Calibri"/>
          <w:sz w:val="22"/>
        </w:rPr>
        <w:t xml:space="preserve"> </w:t>
      </w:r>
    </w:p>
    <w:p w14:paraId="134DF7B4" w14:textId="77777777" w:rsidR="00586325" w:rsidRPr="00586325" w:rsidRDefault="00586325" w:rsidP="00586325">
      <w:pPr>
        <w:numPr>
          <w:ilvl w:val="0"/>
          <w:numId w:val="19"/>
        </w:numPr>
        <w:spacing w:after="0" w:line="360" w:lineRule="auto"/>
        <w:ind w:right="12"/>
      </w:pPr>
      <w:r w:rsidRPr="00586325">
        <w:t xml:space="preserve">This Court directed the parties to engage in mediation with the aim of negotiating a comprehensive plan of reorganization, as was done in the Archdiocese of Santa Fe bankruptcy and numerous other similar bankruptcies.  Stay relief, however, will unleash litigation that will interfere with mediation and introduce complications that may make the case more difficult to </w:t>
      </w:r>
    </w:p>
    <w:p w14:paraId="3124646C" w14:textId="77777777" w:rsidR="00586325" w:rsidRPr="00586325" w:rsidRDefault="00586325" w:rsidP="00586325">
      <w:pPr>
        <w:spacing w:after="0" w:line="360" w:lineRule="auto"/>
        <w:ind w:left="21" w:right="12"/>
      </w:pPr>
      <w:r w:rsidRPr="00586325">
        <w:t xml:space="preserve">resolve.   </w:t>
      </w:r>
      <w:r w:rsidRPr="00586325">
        <w:rPr>
          <w:rFonts w:ascii="Calibri" w:eastAsia="Calibri" w:hAnsi="Calibri" w:cs="Calibri"/>
          <w:sz w:val="22"/>
        </w:rPr>
        <w:t xml:space="preserve"> </w:t>
      </w:r>
    </w:p>
    <w:p w14:paraId="5C2D4745" w14:textId="77777777" w:rsidR="00586325" w:rsidRPr="00586325" w:rsidRDefault="00586325" w:rsidP="00586325">
      <w:pPr>
        <w:numPr>
          <w:ilvl w:val="0"/>
          <w:numId w:val="19"/>
        </w:numPr>
        <w:spacing w:after="0" w:line="360" w:lineRule="auto"/>
        <w:ind w:right="12"/>
      </w:pPr>
      <w:r w:rsidRPr="00586325">
        <w:t xml:space="preserve">Stay relief will serve as a major distraction from the mediation for both the Tort Committee and the Insurers.  The Tort Committee assures the parties that it will continue to participate in the </w:t>
      </w:r>
      <w:r w:rsidRPr="00586325">
        <w:lastRenderedPageBreak/>
        <w:t xml:space="preserve">mediation while Movants’ CVA Actions proceed in State Court.  But it stands to reason that the Tort Committee, as a proponent of stay relief, will wait to see if the litigation of the seven cases has the desired effect on the Insurers before it seriously considers reaching a resolution.  And if the seven cases do not achieve the desired effect, the Tort Committee may continue to avoid reaching a resolution by seeking relief for yet another wave of CVA claims.  Indeed, the Motions leave open the door for future requests for stay relief.  As long the Tort Committee has the option to litigate CVA Actions, it will have little incentive to engage in global mediation efforts. </w:t>
      </w:r>
      <w:r w:rsidRPr="00586325">
        <w:rPr>
          <w:rFonts w:ascii="Calibri" w:eastAsia="Calibri" w:hAnsi="Calibri" w:cs="Calibri"/>
          <w:sz w:val="22"/>
        </w:rPr>
        <w:t xml:space="preserve"> </w:t>
      </w:r>
    </w:p>
    <w:p w14:paraId="5013F935" w14:textId="77777777" w:rsidR="00586325" w:rsidRPr="00586325" w:rsidRDefault="00586325" w:rsidP="00586325">
      <w:pPr>
        <w:numPr>
          <w:ilvl w:val="0"/>
          <w:numId w:val="19"/>
        </w:numPr>
        <w:spacing w:after="0" w:line="360" w:lineRule="auto"/>
        <w:ind w:right="12"/>
      </w:pPr>
      <w:r w:rsidRPr="00586325">
        <w:t xml:space="preserve">Instead of pressuring the Insurers to engage in mediation, as the Movants assert, stay relief may have the opposite effect.  As the cases proceed through discovery, additional evidence will inevitably be developed that bears on the Insurers’ coverage defenses.  The Insurers may very well want </w:t>
      </w:r>
      <w:proofErr w:type="gramStart"/>
      <w:r w:rsidRPr="00586325">
        <w:t>see</w:t>
      </w:r>
      <w:proofErr w:type="gramEnd"/>
      <w:r w:rsidRPr="00586325">
        <w:t xml:space="preserve"> how the cases unfold in hopes that discovery will furnish evidence that supports their coverage defenses.  Meanwhile, as the litigation takes center stage, the mediation directed by the Court will languish.   </w:t>
      </w:r>
      <w:r w:rsidRPr="00586325">
        <w:rPr>
          <w:rFonts w:ascii="Calibri" w:eastAsia="Calibri" w:hAnsi="Calibri" w:cs="Calibri"/>
          <w:sz w:val="22"/>
        </w:rPr>
        <w:t xml:space="preserve"> </w:t>
      </w:r>
    </w:p>
    <w:p w14:paraId="6EB0B9F7" w14:textId="77777777" w:rsidR="00586325" w:rsidRPr="00586325" w:rsidRDefault="00586325" w:rsidP="00586325">
      <w:pPr>
        <w:numPr>
          <w:ilvl w:val="0"/>
          <w:numId w:val="19"/>
        </w:numPr>
        <w:spacing w:after="0" w:line="360" w:lineRule="auto"/>
        <w:ind w:right="12"/>
      </w:pPr>
      <w:r w:rsidRPr="00586325">
        <w:t xml:space="preserve">In addition to distracting the parties from the mediation process, lifting the stay on CVA Actions could have additional disruptive consequences. Stay relief could open the door to additional litigation.  For example, the Insurers may decide that it is in their best interests to assert and aggressively litigate their coverage defenses.  As a result, the Movants’ and Tort Committees’ expectation that stay relief will motivate the Insurers to more fulsomely (in the Tort Committee’s view) participate in the mediation may instead cause the Insurers to limit their participation in mediation while coverage issues are decided.   </w:t>
      </w:r>
      <w:r w:rsidRPr="00586325">
        <w:rPr>
          <w:rFonts w:ascii="Calibri" w:eastAsia="Calibri" w:hAnsi="Calibri" w:cs="Calibri"/>
          <w:sz w:val="22"/>
        </w:rPr>
        <w:t xml:space="preserve"> </w:t>
      </w:r>
    </w:p>
    <w:p w14:paraId="0CDB1FD6" w14:textId="77777777" w:rsidR="00586325" w:rsidRPr="00586325" w:rsidRDefault="00586325" w:rsidP="00586325">
      <w:pPr>
        <w:numPr>
          <w:ilvl w:val="0"/>
          <w:numId w:val="19"/>
        </w:numPr>
        <w:spacing w:after="0" w:line="360" w:lineRule="auto"/>
        <w:ind w:right="12"/>
      </w:pPr>
      <w:r w:rsidRPr="00586325">
        <w:t xml:space="preserve">In that scenario, stay relief will absolutely interfere with the progress of the bankruptcy case as it will stymie the mediation process; a process that is intended to benefit all parties rather than a small number of survivors.  As a result, this factor weighs heavily in favor of denying </w:t>
      </w:r>
      <w:proofErr w:type="gramStart"/>
      <w:r w:rsidRPr="00586325">
        <w:t>the Stay</w:t>
      </w:r>
      <w:proofErr w:type="gramEnd"/>
      <w:r w:rsidRPr="00586325">
        <w:t xml:space="preserve"> Relief Motions.  </w:t>
      </w:r>
      <w:r w:rsidRPr="00586325">
        <w:rPr>
          <w:i/>
        </w:rPr>
        <w:t>See, e.g., In re Rochester Drug Coop., Inc.</w:t>
      </w:r>
      <w:r w:rsidRPr="00586325">
        <w:t xml:space="preserve">, 2020 </w:t>
      </w:r>
      <w:proofErr w:type="spellStart"/>
      <w:r w:rsidRPr="00586325">
        <w:t>Bankr</w:t>
      </w:r>
      <w:proofErr w:type="spellEnd"/>
      <w:r w:rsidRPr="00586325">
        <w:t>. LEXIS 1960, at *13-14 (</w:t>
      </w:r>
      <w:proofErr w:type="spellStart"/>
      <w:r w:rsidRPr="00586325">
        <w:t>Bankr</w:t>
      </w:r>
      <w:proofErr w:type="spellEnd"/>
      <w:r w:rsidRPr="00586325">
        <w:t xml:space="preserve">. W.D.N.Y. 2020) (concluding that this factor weighs heavily in favor of denying stay relief where the litigation would “directly interfere with the bankruptcy case and with the claims review process established by the Code”); </w:t>
      </w:r>
      <w:r w:rsidRPr="00586325">
        <w:rPr>
          <w:i/>
        </w:rPr>
        <w:t>see also New Orleans Transcript</w:t>
      </w:r>
      <w:r w:rsidRPr="00586325">
        <w:t xml:space="preserve"> at 60:5-</w:t>
      </w:r>
      <w:r w:rsidRPr="00586325">
        <w:rPr>
          <w:rFonts w:ascii="Calibri" w:eastAsia="Calibri" w:hAnsi="Calibri" w:cs="Calibri"/>
          <w:sz w:val="22"/>
        </w:rPr>
        <w:t xml:space="preserve"> </w:t>
      </w:r>
      <w:r w:rsidRPr="00586325">
        <w:t xml:space="preserve">61:7 (acknowledging the potential for interference with the Debtor’s bankruptcy case by stating that “it’s anything that’s going to distract the debtor from the reorganization process. It’s . . .  not just the attorneys . . . it’s anything that’s going to take, take the debtor’s attention away from this reorganization process”).   </w:t>
      </w:r>
      <w:r w:rsidRPr="00586325">
        <w:rPr>
          <w:rFonts w:ascii="Calibri" w:eastAsia="Calibri" w:hAnsi="Calibri" w:cs="Calibri"/>
          <w:sz w:val="22"/>
        </w:rPr>
        <w:t xml:space="preserve"> </w:t>
      </w:r>
    </w:p>
    <w:p w14:paraId="65BFA09B" w14:textId="5A42628D" w:rsidR="00586325" w:rsidRPr="00586325" w:rsidRDefault="00586325" w:rsidP="00586325">
      <w:pPr>
        <w:numPr>
          <w:ilvl w:val="0"/>
          <w:numId w:val="19"/>
        </w:numPr>
        <w:spacing w:after="0" w:line="360" w:lineRule="auto"/>
        <w:ind w:left="21" w:right="12"/>
      </w:pPr>
      <w:r w:rsidRPr="00586325">
        <w:lastRenderedPageBreak/>
        <w:t>The Movants argue that granting relief from the automatic stay will not interfere with the bankruptcy case because all of the Movants’ claims fall within the scope of Hartford’s insurance policies, which (</w:t>
      </w:r>
      <w:proofErr w:type="spellStart"/>
      <w:r w:rsidRPr="00586325">
        <w:t>i</w:t>
      </w:r>
      <w:proofErr w:type="spellEnd"/>
      <w:r w:rsidRPr="00586325">
        <w:t xml:space="preserve">) require Hartford to pay for the Debtor’s defense, and (ii) are nonwasting policies, i.e., amounts paid as part of the defense of an action do not decrease the coverage limits of the policies.  However, based on the review of the Movants’ cases by the </w:t>
      </w:r>
      <w:proofErr w:type="gramStart"/>
      <w:r w:rsidRPr="00586325">
        <w:t xml:space="preserve">Debtor’s </w:t>
      </w:r>
      <w:r w:rsidRPr="00586325">
        <w:rPr>
          <w:rFonts w:ascii="Calibri" w:eastAsia="Calibri" w:hAnsi="Calibri" w:cs="Calibri"/>
          <w:sz w:val="22"/>
        </w:rPr>
        <w:t xml:space="preserve"> </w:t>
      </w:r>
      <w:r w:rsidRPr="00586325">
        <w:t>insurance</w:t>
      </w:r>
      <w:proofErr w:type="gramEnd"/>
      <w:r w:rsidRPr="00586325">
        <w:t xml:space="preserve"> counsel, two of the Movants allege abuse that took place entirely during periods when the London Market Insurers (“LMI”) provided coverage.  In other cases, LMI has taken the position that its policies do not obligate LMI to pay defense costs until the underlying case is fully resolved and still only if the claim is covered.  </w:t>
      </w:r>
      <w:r w:rsidRPr="00586325">
        <w:rPr>
          <w:i/>
        </w:rPr>
        <w:t>See</w:t>
      </w:r>
      <w:r w:rsidRPr="00586325">
        <w:t xml:space="preserve"> London Market Insurers’ Opp. Diocese’s Motion Partial Summary Judgment [Doc. No. 159], at p. 15, </w:t>
      </w:r>
      <w:r w:rsidRPr="00586325">
        <w:rPr>
          <w:i/>
        </w:rPr>
        <w:t xml:space="preserve">The Roman Catholic Diocese </w:t>
      </w:r>
      <w:proofErr w:type="gramStart"/>
      <w:r w:rsidRPr="00586325">
        <w:rPr>
          <w:i/>
        </w:rPr>
        <w:t xml:space="preserve">of </w:t>
      </w:r>
      <w:r w:rsidRPr="00586325">
        <w:rPr>
          <w:rFonts w:ascii="Calibri" w:eastAsia="Calibri" w:hAnsi="Calibri" w:cs="Calibri"/>
          <w:sz w:val="22"/>
        </w:rPr>
        <w:t xml:space="preserve"> </w:t>
      </w:r>
      <w:r w:rsidRPr="00586325">
        <w:rPr>
          <w:i/>
        </w:rPr>
        <w:t>Rockville</w:t>
      </w:r>
      <w:proofErr w:type="gramEnd"/>
      <w:r w:rsidRPr="00586325">
        <w:rPr>
          <w:i/>
        </w:rPr>
        <w:t xml:space="preserve"> Centre v. Certain Underwriters at Lloyd’s et al., </w:t>
      </w:r>
      <w:r w:rsidRPr="00586325">
        <w:t xml:space="preserve">Case No.: 1:21-cv-00071 (S.D.N.Y.) </w:t>
      </w:r>
      <w:r w:rsidRPr="00586325">
        <w:rPr>
          <w:rFonts w:ascii="Calibri" w:eastAsia="Calibri" w:hAnsi="Calibri" w:cs="Calibri"/>
          <w:sz w:val="22"/>
        </w:rPr>
        <w:t xml:space="preserve"> </w:t>
      </w:r>
      <w:r w:rsidRPr="00586325">
        <w:t xml:space="preserve">(“LMI </w:t>
      </w:r>
      <w:proofErr w:type="gramStart"/>
      <w:r w:rsidRPr="00586325">
        <w:t>do</w:t>
      </w:r>
      <w:proofErr w:type="gramEnd"/>
      <w:r w:rsidRPr="00586325">
        <w:t xml:space="preserve"> </w:t>
      </w:r>
      <w:proofErr w:type="gramStart"/>
      <w:r w:rsidRPr="00586325">
        <w:t>not have</w:t>
      </w:r>
      <w:proofErr w:type="gramEnd"/>
      <w:r w:rsidRPr="00586325">
        <w:t xml:space="preserve"> a duty to defend or settle, only to indemnify covered [Ultimate Net Loss].  </w:t>
      </w:r>
    </w:p>
    <w:p w14:paraId="038153D9" w14:textId="77777777" w:rsidR="00586325" w:rsidRPr="00586325" w:rsidRDefault="00586325" w:rsidP="00586325">
      <w:pPr>
        <w:spacing w:after="0" w:line="360" w:lineRule="auto"/>
        <w:ind w:left="21" w:right="12"/>
      </w:pPr>
      <w:r w:rsidRPr="00586325">
        <w:t xml:space="preserve">There is no obligation to reimburse defense expenses or a loss payment under after the underlying claim is resolved and coverage for that claim has been determined”) [Attached as Exhibit E].   As a result, the Debtor may be forced to shoulder the burden of paying the costs associated with those two actions, without any assurance that these costs ultimately will be paid by LMI since LMI may seek to disclaim coverage after the Debtor pays the costs and seeks reimbursement.  Moreover, the Debtor will have to pay SIR amounts under the LMI policies. </w:t>
      </w:r>
      <w:r w:rsidRPr="00586325">
        <w:rPr>
          <w:rFonts w:ascii="Calibri" w:eastAsia="Calibri" w:hAnsi="Calibri" w:cs="Calibri"/>
          <w:sz w:val="22"/>
        </w:rPr>
        <w:t xml:space="preserve"> </w:t>
      </w:r>
    </w:p>
    <w:p w14:paraId="137A50C6" w14:textId="77777777" w:rsidR="00586325" w:rsidRPr="00586325" w:rsidRDefault="00586325" w:rsidP="00586325">
      <w:pPr>
        <w:spacing w:after="0" w:line="360" w:lineRule="auto"/>
        <w:ind w:left="11" w:right="12" w:firstLine="720"/>
      </w:pPr>
      <w:r w:rsidRPr="00586325">
        <w:t>38.</w:t>
      </w:r>
      <w:r w:rsidRPr="00586325">
        <w:rPr>
          <w:rFonts w:ascii="Arial" w:eastAsia="Arial" w:hAnsi="Arial" w:cs="Arial"/>
        </w:rPr>
        <w:t xml:space="preserve"> </w:t>
      </w:r>
      <w:r w:rsidRPr="00586325">
        <w:t xml:space="preserve">For </w:t>
      </w:r>
      <w:proofErr w:type="gramStart"/>
      <w:r w:rsidRPr="00586325">
        <w:t>all of</w:t>
      </w:r>
      <w:proofErr w:type="gramEnd"/>
      <w:r w:rsidRPr="00586325">
        <w:t xml:space="preserve"> these reasons, and contrary to the Movant’s and Committee’s arguments, granting stay relief would clearly interfere with the Debtor’s bankruptcy case, possibly diminish the value of the estate, and generally distract parties from the global mediation.  Thus, this factor weighs heavily in favor of denying </w:t>
      </w:r>
      <w:proofErr w:type="gramStart"/>
      <w:r w:rsidRPr="00586325">
        <w:t>the Stay</w:t>
      </w:r>
      <w:proofErr w:type="gramEnd"/>
      <w:r w:rsidRPr="00586325">
        <w:t xml:space="preserve"> Relief Motions. </w:t>
      </w:r>
      <w:r w:rsidRPr="00586325">
        <w:rPr>
          <w:rFonts w:ascii="Calibri" w:eastAsia="Calibri" w:hAnsi="Calibri" w:cs="Calibri"/>
          <w:sz w:val="22"/>
        </w:rPr>
        <w:t xml:space="preserve"> </w:t>
      </w:r>
    </w:p>
    <w:p w14:paraId="56798476" w14:textId="77777777" w:rsidR="00586325" w:rsidRPr="00586325" w:rsidRDefault="00586325" w:rsidP="00586325">
      <w:pPr>
        <w:keepNext/>
        <w:keepLines/>
        <w:spacing w:after="0" w:line="360" w:lineRule="auto"/>
        <w:ind w:left="365"/>
        <w:jc w:val="left"/>
        <w:outlineLvl w:val="1"/>
        <w:rPr>
          <w:rFonts w:eastAsia="Calibri"/>
          <w:b/>
          <w:bCs/>
          <w:color w:val="0F4761"/>
        </w:rPr>
      </w:pPr>
      <w:proofErr w:type="spellStart"/>
      <w:r w:rsidRPr="00586325">
        <w:rPr>
          <w:rFonts w:eastAsia="Calibri"/>
          <w:b/>
          <w:bCs/>
          <w:color w:val="0F4761"/>
        </w:rPr>
        <w:t>Sonnax</w:t>
      </w:r>
      <w:proofErr w:type="spellEnd"/>
      <w:r w:rsidRPr="00586325">
        <w:rPr>
          <w:rFonts w:eastAsia="Calibri"/>
          <w:b/>
          <w:bCs/>
          <w:color w:val="0F4761"/>
        </w:rPr>
        <w:t xml:space="preserve"> Factor 4 – A Specialized Tribunal with Necessary Expertise Has Not Been Established to Hear the Cause of Action  </w:t>
      </w:r>
    </w:p>
    <w:p w14:paraId="144F08CF" w14:textId="32EAEE82" w:rsidR="00586325" w:rsidRPr="00586325" w:rsidRDefault="00586325" w:rsidP="00586325">
      <w:pPr>
        <w:numPr>
          <w:ilvl w:val="0"/>
          <w:numId w:val="20"/>
        </w:numPr>
        <w:spacing w:after="0" w:line="360" w:lineRule="auto"/>
        <w:ind w:left="10" w:right="10"/>
        <w:jc w:val="right"/>
      </w:pPr>
      <w:r w:rsidRPr="00586325">
        <w:t xml:space="preserve">The New York State Supreme Court is a court of general jurisdiction.  Contrary to the Movant’s and Committee’s assertions, it is not a specialized court with particularized expertise.  </w:t>
      </w:r>
      <w:r w:rsidRPr="00586325">
        <w:rPr>
          <w:rFonts w:ascii="Calibri" w:eastAsia="Calibri" w:hAnsi="Calibri" w:cs="Calibri"/>
          <w:sz w:val="22"/>
        </w:rPr>
        <w:t xml:space="preserve"> </w:t>
      </w:r>
    </w:p>
    <w:p w14:paraId="3711B19C" w14:textId="77777777" w:rsidR="00586325" w:rsidRPr="00586325" w:rsidRDefault="00586325" w:rsidP="00586325">
      <w:pPr>
        <w:numPr>
          <w:ilvl w:val="0"/>
          <w:numId w:val="20"/>
        </w:numPr>
        <w:spacing w:after="0" w:line="360" w:lineRule="auto"/>
        <w:ind w:right="10"/>
        <w:jc w:val="right"/>
      </w:pPr>
      <w:r w:rsidRPr="00586325">
        <w:t xml:space="preserve">Courts in this Circuit have repeatedly held that state courts and United States </w:t>
      </w:r>
      <w:r w:rsidRPr="00586325">
        <w:rPr>
          <w:rFonts w:ascii="Calibri" w:eastAsia="Calibri" w:hAnsi="Calibri" w:cs="Calibri"/>
          <w:sz w:val="22"/>
        </w:rPr>
        <w:t xml:space="preserve"> </w:t>
      </w:r>
    </w:p>
    <w:p w14:paraId="3CD7814B" w14:textId="77777777" w:rsidR="00586325" w:rsidRPr="00586325" w:rsidRDefault="00586325" w:rsidP="00586325">
      <w:pPr>
        <w:spacing w:after="0" w:line="360" w:lineRule="auto"/>
        <w:ind w:left="21" w:right="12"/>
      </w:pPr>
      <w:r w:rsidRPr="00586325">
        <w:t xml:space="preserve">District Courts are not “specialized tribunals” for ordinary civil litigation.  </w:t>
      </w:r>
      <w:r w:rsidRPr="00586325">
        <w:rPr>
          <w:i/>
        </w:rPr>
        <w:t xml:space="preserve">Lawrence v. </w:t>
      </w:r>
      <w:proofErr w:type="gramStart"/>
      <w:r w:rsidRPr="00586325">
        <w:rPr>
          <w:i/>
        </w:rPr>
        <w:t xml:space="preserve">Motors </w:t>
      </w:r>
      <w:r w:rsidRPr="00586325">
        <w:rPr>
          <w:rFonts w:ascii="Calibri" w:eastAsia="Calibri" w:hAnsi="Calibri" w:cs="Calibri"/>
          <w:sz w:val="22"/>
        </w:rPr>
        <w:t xml:space="preserve"> </w:t>
      </w:r>
      <w:r w:rsidRPr="00586325">
        <w:rPr>
          <w:i/>
        </w:rPr>
        <w:t>Liquidation</w:t>
      </w:r>
      <w:proofErr w:type="gramEnd"/>
      <w:r w:rsidRPr="00586325">
        <w:rPr>
          <w:i/>
        </w:rPr>
        <w:t xml:space="preserve"> Co. (In re Motors Liquidation Co.)</w:t>
      </w:r>
      <w:r w:rsidRPr="00586325">
        <w:t xml:space="preserve">, 2010 U.S. Dist. LEXIS 125182, at *13-14 </w:t>
      </w:r>
      <w:r w:rsidRPr="00586325">
        <w:rPr>
          <w:rFonts w:ascii="Calibri" w:eastAsia="Calibri" w:hAnsi="Calibri" w:cs="Calibri"/>
          <w:sz w:val="22"/>
        </w:rPr>
        <w:t xml:space="preserve"> </w:t>
      </w:r>
    </w:p>
    <w:p w14:paraId="230254CE" w14:textId="77777777" w:rsidR="00586325" w:rsidRPr="00586325" w:rsidRDefault="00586325" w:rsidP="00586325">
      <w:pPr>
        <w:spacing w:after="0" w:line="360" w:lineRule="auto"/>
        <w:ind w:left="21" w:right="12"/>
      </w:pPr>
      <w:r w:rsidRPr="00586325">
        <w:t xml:space="preserve">(S.D.N.Y. 2010) (concluding that a bankruptcy court’s finding that a United States District Court </w:t>
      </w:r>
      <w:r w:rsidRPr="00586325">
        <w:rPr>
          <w:rFonts w:ascii="Calibri" w:eastAsia="Calibri" w:hAnsi="Calibri" w:cs="Calibri"/>
          <w:sz w:val="22"/>
        </w:rPr>
        <w:t xml:space="preserve"> </w:t>
      </w:r>
    </w:p>
    <w:p w14:paraId="2B7C3855" w14:textId="77777777" w:rsidR="00586325" w:rsidRPr="00586325" w:rsidRDefault="00586325" w:rsidP="00586325">
      <w:pPr>
        <w:spacing w:after="0" w:line="360" w:lineRule="auto"/>
        <w:ind w:left="21" w:right="12"/>
      </w:pPr>
      <w:r w:rsidRPr="00586325">
        <w:t>“</w:t>
      </w:r>
      <w:proofErr w:type="gramStart"/>
      <w:r w:rsidRPr="00586325">
        <w:t>was</w:t>
      </w:r>
      <w:proofErr w:type="gramEnd"/>
      <w:r w:rsidRPr="00586325">
        <w:t xml:space="preserve"> not a ‘specialized tribunal’ with any unique expertise in adjudicating ERISA actions” was </w:t>
      </w:r>
      <w:r w:rsidRPr="00586325">
        <w:rPr>
          <w:rFonts w:ascii="Calibri" w:eastAsia="Calibri" w:hAnsi="Calibri" w:cs="Calibri"/>
          <w:sz w:val="22"/>
        </w:rPr>
        <w:t xml:space="preserve"> </w:t>
      </w:r>
    </w:p>
    <w:p w14:paraId="5789D205" w14:textId="77777777" w:rsidR="00586325" w:rsidRPr="00586325" w:rsidRDefault="00586325" w:rsidP="00586325">
      <w:pPr>
        <w:spacing w:after="0" w:line="360" w:lineRule="auto"/>
        <w:ind w:left="21" w:right="12"/>
      </w:pPr>
      <w:r w:rsidRPr="00586325">
        <w:lastRenderedPageBreak/>
        <w:t>“</w:t>
      </w:r>
      <w:proofErr w:type="gramStart"/>
      <w:r w:rsidRPr="00586325">
        <w:t>more</w:t>
      </w:r>
      <w:proofErr w:type="gramEnd"/>
      <w:r w:rsidRPr="00586325">
        <w:t xml:space="preserve"> than reasonable”); </w:t>
      </w:r>
      <w:r w:rsidRPr="00586325">
        <w:rPr>
          <w:i/>
        </w:rPr>
        <w:t>In re Residential Capital, LLC</w:t>
      </w:r>
      <w:r w:rsidRPr="00586325">
        <w:t xml:space="preserve">, 2012 </w:t>
      </w:r>
      <w:proofErr w:type="spellStart"/>
      <w:r w:rsidRPr="00586325">
        <w:t>Bankr</w:t>
      </w:r>
      <w:proofErr w:type="spellEnd"/>
      <w:r w:rsidRPr="00586325">
        <w:t>. LEXIS 3641, at *19 (</w:t>
      </w:r>
      <w:proofErr w:type="spellStart"/>
      <w:r w:rsidRPr="00586325">
        <w:t>Bankr</w:t>
      </w:r>
      <w:proofErr w:type="spellEnd"/>
      <w:r w:rsidRPr="00586325">
        <w:t xml:space="preserve">. </w:t>
      </w:r>
    </w:p>
    <w:p w14:paraId="5D4AEC0C" w14:textId="77777777" w:rsidR="00586325" w:rsidRPr="00586325" w:rsidRDefault="00586325" w:rsidP="00586325">
      <w:pPr>
        <w:spacing w:after="0" w:line="360" w:lineRule="auto"/>
        <w:ind w:left="31" w:right="-4"/>
        <w:jc w:val="left"/>
      </w:pPr>
      <w:r w:rsidRPr="00586325">
        <w:t xml:space="preserve">S.D.N.Y. 2012) (concluding that there was no specialized tribunal for a TILA action that had been commenced in United States District Court); </w:t>
      </w:r>
      <w:r w:rsidRPr="00586325">
        <w:rPr>
          <w:i/>
        </w:rPr>
        <w:t>In re Bally Total Fitness of Greater New York, Inc.</w:t>
      </w:r>
      <w:r w:rsidRPr="00586325">
        <w:t xml:space="preserve">, 411 B.R. 142, 147-48 (S.D.N.Y. 2009) (holding that a California state court was not a “specialized tribunal” that had to decide a wage and hour class action). </w:t>
      </w:r>
      <w:r w:rsidRPr="00586325">
        <w:rPr>
          <w:rFonts w:ascii="Calibri" w:eastAsia="Calibri" w:hAnsi="Calibri" w:cs="Calibri"/>
          <w:sz w:val="22"/>
        </w:rPr>
        <w:t xml:space="preserve"> </w:t>
      </w:r>
    </w:p>
    <w:p w14:paraId="1E4E6739" w14:textId="77777777" w:rsidR="00586325" w:rsidRPr="00586325" w:rsidRDefault="00586325" w:rsidP="00586325">
      <w:pPr>
        <w:numPr>
          <w:ilvl w:val="0"/>
          <w:numId w:val="20"/>
        </w:numPr>
        <w:spacing w:after="0" w:line="360" w:lineRule="auto"/>
        <w:ind w:right="10"/>
        <w:jc w:val="right"/>
      </w:pPr>
      <w:r w:rsidRPr="00586325">
        <w:t xml:space="preserve">For the foregoing reasons, this factor weighs in favor of denying the Stay Relief </w:t>
      </w:r>
      <w:r w:rsidRPr="00586325">
        <w:rPr>
          <w:rFonts w:ascii="Calibri" w:eastAsia="Calibri" w:hAnsi="Calibri" w:cs="Calibri"/>
          <w:sz w:val="22"/>
        </w:rPr>
        <w:t xml:space="preserve"> </w:t>
      </w:r>
    </w:p>
    <w:p w14:paraId="40DAA789" w14:textId="77777777" w:rsidR="00586325" w:rsidRPr="00586325" w:rsidRDefault="00586325" w:rsidP="00586325">
      <w:pPr>
        <w:spacing w:after="0" w:line="360" w:lineRule="auto"/>
        <w:ind w:left="21" w:right="12"/>
      </w:pPr>
      <w:r w:rsidRPr="00586325">
        <w:t xml:space="preserve">Motions.  </w:t>
      </w:r>
      <w:r w:rsidRPr="00586325">
        <w:rPr>
          <w:rFonts w:ascii="Calibri" w:eastAsia="Calibri" w:hAnsi="Calibri" w:cs="Calibri"/>
          <w:sz w:val="22"/>
        </w:rPr>
        <w:t xml:space="preserve"> </w:t>
      </w:r>
    </w:p>
    <w:p w14:paraId="1F5A0498" w14:textId="77777777" w:rsidR="00586325" w:rsidRPr="00586325" w:rsidRDefault="00586325" w:rsidP="00586325">
      <w:pPr>
        <w:spacing w:after="0" w:line="360" w:lineRule="auto"/>
        <w:ind w:left="382" w:firstLine="0"/>
        <w:jc w:val="left"/>
      </w:pPr>
      <w:proofErr w:type="spellStart"/>
      <w:r w:rsidRPr="00586325">
        <w:rPr>
          <w:b/>
          <w:i/>
        </w:rPr>
        <w:t>Sonnax</w:t>
      </w:r>
      <w:proofErr w:type="spellEnd"/>
      <w:r w:rsidRPr="00586325">
        <w:rPr>
          <w:b/>
          <w:i/>
        </w:rPr>
        <w:t xml:space="preserve"> Factor 5 – Whether the Debtor’s Insurer Has Assumed Full Responsibility for </w:t>
      </w:r>
      <w:r w:rsidRPr="00586325">
        <w:rPr>
          <w:rFonts w:ascii="Calibri" w:eastAsia="Calibri" w:hAnsi="Calibri" w:cs="Calibri"/>
          <w:sz w:val="22"/>
        </w:rPr>
        <w:t xml:space="preserve"> </w:t>
      </w:r>
    </w:p>
    <w:p w14:paraId="5B6EFC2E" w14:textId="77777777" w:rsidR="00586325" w:rsidRPr="00586325" w:rsidRDefault="00586325" w:rsidP="00586325">
      <w:pPr>
        <w:keepNext/>
        <w:keepLines/>
        <w:spacing w:after="0" w:line="360" w:lineRule="auto"/>
        <w:ind w:left="365"/>
        <w:jc w:val="left"/>
        <w:outlineLvl w:val="1"/>
        <w:rPr>
          <w:rFonts w:eastAsia="Calibri"/>
          <w:b/>
          <w:bCs/>
          <w:color w:val="0F4761"/>
        </w:rPr>
      </w:pPr>
      <w:r w:rsidRPr="00586325">
        <w:rPr>
          <w:rFonts w:eastAsia="Calibri"/>
          <w:b/>
          <w:bCs/>
          <w:color w:val="0F4761"/>
        </w:rPr>
        <w:t xml:space="preserve">Defending It  </w:t>
      </w:r>
    </w:p>
    <w:p w14:paraId="4BCD5D0F" w14:textId="77777777" w:rsidR="00586325" w:rsidRPr="00586325" w:rsidRDefault="00586325" w:rsidP="00586325">
      <w:pPr>
        <w:numPr>
          <w:ilvl w:val="0"/>
          <w:numId w:val="21"/>
        </w:numPr>
        <w:spacing w:after="0" w:line="360" w:lineRule="auto"/>
        <w:ind w:right="12"/>
      </w:pPr>
      <w:r w:rsidRPr="00586325">
        <w:t xml:space="preserve">The Movants fail to demonstrate that the Insurers have assumed full responsibility for defending the claims.  As is explained above in the analysis of the second </w:t>
      </w:r>
      <w:proofErr w:type="spellStart"/>
      <w:r w:rsidRPr="00586325">
        <w:rPr>
          <w:i/>
        </w:rPr>
        <w:t>Sonnax</w:t>
      </w:r>
      <w:proofErr w:type="spellEnd"/>
      <w:r w:rsidRPr="00586325">
        <w:rPr>
          <w:i/>
        </w:rPr>
        <w:t xml:space="preserve"> </w:t>
      </w:r>
      <w:r w:rsidRPr="00586325">
        <w:t xml:space="preserve">factor, it is very possible, if not likely, that the Debtor will have to defend at least two of the Movant’s state court actions at its own cost.  This alone is sufficient to conclude that this </w:t>
      </w:r>
      <w:proofErr w:type="spellStart"/>
      <w:r w:rsidRPr="00586325">
        <w:rPr>
          <w:i/>
        </w:rPr>
        <w:t>Sonnax</w:t>
      </w:r>
      <w:proofErr w:type="spellEnd"/>
      <w:r w:rsidRPr="00586325">
        <w:t xml:space="preserve"> factor weighs in favor of denying </w:t>
      </w:r>
      <w:proofErr w:type="gramStart"/>
      <w:r w:rsidRPr="00586325">
        <w:t>the Stay</w:t>
      </w:r>
      <w:proofErr w:type="gramEnd"/>
      <w:r w:rsidRPr="00586325">
        <w:t xml:space="preserve"> Relief Motions, at least with respect to those cases which allege claims that arose during LMI’s coverage period(s).  </w:t>
      </w:r>
      <w:r w:rsidRPr="00586325">
        <w:rPr>
          <w:rFonts w:ascii="Calibri" w:eastAsia="Calibri" w:hAnsi="Calibri" w:cs="Calibri"/>
          <w:sz w:val="22"/>
        </w:rPr>
        <w:t xml:space="preserve"> </w:t>
      </w:r>
    </w:p>
    <w:p w14:paraId="2077D4F4" w14:textId="77777777" w:rsidR="00586325" w:rsidRPr="00586325" w:rsidRDefault="00586325" w:rsidP="00586325">
      <w:pPr>
        <w:numPr>
          <w:ilvl w:val="0"/>
          <w:numId w:val="21"/>
        </w:numPr>
        <w:spacing w:after="0" w:line="360" w:lineRule="auto"/>
        <w:ind w:right="12"/>
      </w:pPr>
      <w:r w:rsidRPr="00586325">
        <w:t xml:space="preserve">Moreover, although the Insurers had been defending the Debtor and Parishes under the Policies prior to </w:t>
      </w:r>
      <w:proofErr w:type="gramStart"/>
      <w:r w:rsidRPr="00586325">
        <w:t>the bankruptcy</w:t>
      </w:r>
      <w:proofErr w:type="gramEnd"/>
      <w:r w:rsidRPr="00586325">
        <w:t xml:space="preserve">, they did so subject to a reservation of rights with respect to coverage issues under the Policies.  In response to the Debtor’s claims, the Insurers asserted that the facts alleged support potential coverage exceptions under the Policies that would allow the Insurers to disclaim or limit coverage. Allowing litigation runs the risk that evidence developed through discovery could be used by the Insurers to substantiate their coverage defenses, thus unnecessarily putting the insurance assets in jeopardy. </w:t>
      </w:r>
      <w:r w:rsidRPr="00586325">
        <w:rPr>
          <w:rFonts w:ascii="Calibri" w:eastAsia="Calibri" w:hAnsi="Calibri" w:cs="Calibri"/>
          <w:sz w:val="22"/>
        </w:rPr>
        <w:t xml:space="preserve"> </w:t>
      </w:r>
    </w:p>
    <w:p w14:paraId="30315993" w14:textId="77777777" w:rsidR="00586325" w:rsidRPr="00586325" w:rsidRDefault="00586325" w:rsidP="00586325">
      <w:pPr>
        <w:spacing w:after="0" w:line="360" w:lineRule="auto"/>
        <w:ind w:left="10"/>
        <w:jc w:val="center"/>
      </w:pPr>
      <w:r w:rsidRPr="00586325">
        <w:rPr>
          <w:rFonts w:ascii="Courier New" w:eastAsia="Courier New" w:hAnsi="Courier New" w:cs="Courier New"/>
        </w:rPr>
        <w:t>18</w:t>
      </w:r>
      <w:r w:rsidRPr="00586325">
        <w:rPr>
          <w:rFonts w:ascii="Calibri" w:eastAsia="Calibri" w:hAnsi="Calibri" w:cs="Calibri"/>
          <w:sz w:val="22"/>
        </w:rPr>
        <w:t xml:space="preserve"> </w:t>
      </w:r>
    </w:p>
    <w:p w14:paraId="70463A6F" w14:textId="77777777" w:rsidR="00586325" w:rsidRPr="00586325" w:rsidRDefault="00586325" w:rsidP="00586325">
      <w:pPr>
        <w:numPr>
          <w:ilvl w:val="0"/>
          <w:numId w:val="21"/>
        </w:numPr>
        <w:spacing w:after="0" w:line="360" w:lineRule="auto"/>
        <w:ind w:right="12"/>
      </w:pPr>
      <w:r w:rsidRPr="00586325">
        <w:t xml:space="preserve">If they prevail </w:t>
      </w:r>
      <w:proofErr w:type="gramStart"/>
      <w:r w:rsidRPr="00586325">
        <w:t>on</w:t>
      </w:r>
      <w:proofErr w:type="gramEnd"/>
      <w:r w:rsidRPr="00586325">
        <w:t xml:space="preserve"> their coverage defenses, the Insurers may seek reimbursement of defense costs that they pay.  For example, one of Hartford’s letters states that “Should The Hartford assert and prevail on any of the reservations set forth herein, it does not waive its rights, if any, to seek and demand reimbursement for any defense costs, indemnity or other payments paid either to you or on your behalf in connection with the Lawsuits and/or Claims . . . .”  </w:t>
      </w:r>
      <w:r w:rsidRPr="00586325">
        <w:rPr>
          <w:i/>
        </w:rPr>
        <w:t>See</w:t>
      </w:r>
      <w:r w:rsidRPr="00586325">
        <w:t xml:space="preserve"> March 4, </w:t>
      </w:r>
      <w:proofErr w:type="gramStart"/>
      <w:r w:rsidRPr="00586325">
        <w:t>2020</w:t>
      </w:r>
      <w:proofErr w:type="gramEnd"/>
      <w:r w:rsidRPr="00586325">
        <w:t xml:space="preserve"> letter from Hartford to M. Costello.  Thus, the Insurers have not accepted full responsibility for defense costs.  A copy of the March 4, </w:t>
      </w:r>
      <w:proofErr w:type="gramStart"/>
      <w:r w:rsidRPr="00586325">
        <w:t>2020</w:t>
      </w:r>
      <w:proofErr w:type="gramEnd"/>
      <w:r w:rsidRPr="00586325">
        <w:t xml:space="preserve"> letter from Hartford to Mr. Costello is attached hereto and made a part hereof as Exhibit “F”.   </w:t>
      </w:r>
      <w:r w:rsidRPr="00586325">
        <w:rPr>
          <w:rFonts w:ascii="Calibri" w:eastAsia="Calibri" w:hAnsi="Calibri" w:cs="Calibri"/>
          <w:sz w:val="22"/>
        </w:rPr>
        <w:t xml:space="preserve"> </w:t>
      </w:r>
    </w:p>
    <w:p w14:paraId="513CB2F4" w14:textId="77777777" w:rsidR="00586325" w:rsidRPr="00586325" w:rsidRDefault="00586325" w:rsidP="00586325">
      <w:pPr>
        <w:numPr>
          <w:ilvl w:val="0"/>
          <w:numId w:val="21"/>
        </w:numPr>
        <w:spacing w:after="0" w:line="360" w:lineRule="auto"/>
        <w:ind w:right="12"/>
      </w:pPr>
      <w:r w:rsidRPr="00586325">
        <w:lastRenderedPageBreak/>
        <w:t xml:space="preserve">The Tort Committee’s assertion that the Policies afford coverage for costs and damages (if awarded) during the periods when Movants allege abuse took place ignores the very real possibility that the Insurers could prevail on their coverage defense claims and be found to have no liability to the Insureds or Survivors based on the allegations in the complaints and terms of the applicable policies. </w:t>
      </w:r>
      <w:r w:rsidRPr="00586325">
        <w:rPr>
          <w:rFonts w:ascii="Calibri" w:eastAsia="Calibri" w:hAnsi="Calibri" w:cs="Calibri"/>
          <w:sz w:val="22"/>
        </w:rPr>
        <w:t xml:space="preserve"> </w:t>
      </w:r>
    </w:p>
    <w:p w14:paraId="20AA1395" w14:textId="77777777" w:rsidR="00586325" w:rsidRPr="00586325" w:rsidRDefault="00586325" w:rsidP="00586325">
      <w:pPr>
        <w:numPr>
          <w:ilvl w:val="0"/>
          <w:numId w:val="21"/>
        </w:numPr>
        <w:spacing w:after="0" w:line="360" w:lineRule="auto"/>
        <w:ind w:right="12"/>
      </w:pPr>
      <w:r w:rsidRPr="00586325">
        <w:t xml:space="preserve">The effects of such a determination in favor of the Insurers would have disastrous effects on the Insureds and Survivors in attempting to reach a resolution on acceptable terms for funding payment of CVA Claims under a Plan.   </w:t>
      </w:r>
      <w:r w:rsidRPr="00586325">
        <w:rPr>
          <w:rFonts w:ascii="Calibri" w:eastAsia="Calibri" w:hAnsi="Calibri" w:cs="Calibri"/>
          <w:sz w:val="22"/>
        </w:rPr>
        <w:t xml:space="preserve"> </w:t>
      </w:r>
    </w:p>
    <w:p w14:paraId="0FF579C3" w14:textId="2958B5BB" w:rsidR="00586325" w:rsidRPr="00586325" w:rsidRDefault="00586325" w:rsidP="00586325">
      <w:pPr>
        <w:numPr>
          <w:ilvl w:val="0"/>
          <w:numId w:val="21"/>
        </w:numPr>
        <w:spacing w:after="0" w:line="360" w:lineRule="auto"/>
        <w:ind w:left="734" w:right="12" w:firstLine="0"/>
        <w:jc w:val="left"/>
      </w:pPr>
      <w:r w:rsidRPr="00586325">
        <w:t xml:space="preserve">A corollary to this concern is the potential for a substantial verdict against the Debtor, Parishes, related and unrelated third parties coupled with an adverse decision on the insurance coverage issue.  In that circumstance, the Movants’ and Tort Committee’s goal of motivating the Insurers to abide their obligations under the Policies would be vitiated as the Insurers would potentially not be liable for payment of such a judgment and responsibility would fall entirely on the Debtor and any Parish defendant.   </w:t>
      </w:r>
      <w:r w:rsidRPr="00586325">
        <w:rPr>
          <w:rFonts w:ascii="Calibri" w:eastAsia="Calibri" w:hAnsi="Calibri" w:cs="Calibri"/>
          <w:sz w:val="22"/>
        </w:rPr>
        <w:t xml:space="preserve"> </w:t>
      </w:r>
      <w:r w:rsidRPr="00586325">
        <w:t xml:space="preserve"> </w:t>
      </w:r>
      <w:r w:rsidRPr="00586325">
        <w:rPr>
          <w:rFonts w:ascii="Calibri" w:eastAsia="Calibri" w:hAnsi="Calibri" w:cs="Calibri"/>
          <w:sz w:val="22"/>
        </w:rPr>
        <w:t xml:space="preserve"> </w:t>
      </w:r>
    </w:p>
    <w:p w14:paraId="3EC26BB0" w14:textId="77777777" w:rsidR="00586325" w:rsidRPr="00586325" w:rsidRDefault="00586325" w:rsidP="00586325">
      <w:pPr>
        <w:keepNext/>
        <w:keepLines/>
        <w:spacing w:after="0" w:line="360" w:lineRule="auto"/>
        <w:ind w:left="365"/>
        <w:jc w:val="left"/>
        <w:outlineLvl w:val="1"/>
        <w:rPr>
          <w:rFonts w:eastAsia="Calibri"/>
          <w:b/>
          <w:bCs/>
          <w:color w:val="0F4761"/>
        </w:rPr>
      </w:pPr>
      <w:proofErr w:type="spellStart"/>
      <w:r w:rsidRPr="00586325">
        <w:rPr>
          <w:rFonts w:eastAsia="Calibri"/>
          <w:b/>
          <w:bCs/>
          <w:color w:val="0F4761"/>
        </w:rPr>
        <w:t>Sonnax</w:t>
      </w:r>
      <w:proofErr w:type="spellEnd"/>
      <w:r w:rsidRPr="00586325">
        <w:rPr>
          <w:rFonts w:eastAsia="Calibri"/>
          <w:b/>
          <w:bCs/>
          <w:color w:val="0F4761"/>
        </w:rPr>
        <w:t xml:space="preserve"> Factor 7 – Litigation in Another Forum Would Prejudice the Interests of Other Creditors  </w:t>
      </w:r>
    </w:p>
    <w:p w14:paraId="43AA1C00" w14:textId="77777777" w:rsidR="00586325" w:rsidRPr="00586325" w:rsidRDefault="00586325" w:rsidP="00586325">
      <w:pPr>
        <w:numPr>
          <w:ilvl w:val="0"/>
          <w:numId w:val="22"/>
        </w:numPr>
        <w:spacing w:after="0" w:line="360" w:lineRule="auto"/>
        <w:ind w:right="12"/>
      </w:pPr>
      <w:r w:rsidRPr="00586325">
        <w:t xml:space="preserve">Contrary to the Movants’ and the Tort Committee’s assertion that stay relief would benefit the mediation process, the interests of similarly situated CVA Claimants whose CVA Actions remain stayed will be prejudiced if stay relief is granted.  As noted, the Insurers have not accepted full responsibility for providing coverage to the Debtor and Parishes in the CVA Actions; rather, they have reserved their rights to assert that certain exclusions or other limitations under the Policies may apply to the facts alleged in certain of the complaints in the CVA Actions.   </w:t>
      </w:r>
      <w:r w:rsidRPr="00586325">
        <w:rPr>
          <w:rFonts w:ascii="Calibri" w:eastAsia="Calibri" w:hAnsi="Calibri" w:cs="Calibri"/>
          <w:sz w:val="22"/>
        </w:rPr>
        <w:t xml:space="preserve"> </w:t>
      </w:r>
    </w:p>
    <w:p w14:paraId="7000F667" w14:textId="77777777" w:rsidR="00586325" w:rsidRPr="00586325" w:rsidRDefault="00586325" w:rsidP="00586325">
      <w:pPr>
        <w:numPr>
          <w:ilvl w:val="0"/>
          <w:numId w:val="22"/>
        </w:numPr>
        <w:spacing w:after="0" w:line="360" w:lineRule="auto"/>
        <w:ind w:right="12"/>
      </w:pPr>
      <w:r w:rsidRPr="00586325">
        <w:t xml:space="preserve">Parties should assume that the Insurers will be motivated to litigate insurance coverage defenses relevant to the Movant’s claims if stay relief is granted and they proceed.  Decisions finding that Insurers have one or more defenses to coverage in Movants’ cases will inevitably raise the specter that those defenses may be applicable in the pending CVA Actions that remain stayed.  As a result, those claimants whose CVA Actions remain stayed may nevertheless find that their expectation that stay relief will ultimately benefit them may instead be burdened with a denial of coverage based on exclusions to coverage found in the Policies.   </w:t>
      </w:r>
      <w:r w:rsidRPr="00586325">
        <w:rPr>
          <w:rFonts w:ascii="Calibri" w:eastAsia="Calibri" w:hAnsi="Calibri" w:cs="Calibri"/>
          <w:sz w:val="22"/>
        </w:rPr>
        <w:t xml:space="preserve"> </w:t>
      </w:r>
    </w:p>
    <w:p w14:paraId="6FF9B56A" w14:textId="77777777" w:rsidR="00586325" w:rsidRPr="00586325" w:rsidRDefault="00586325" w:rsidP="00586325">
      <w:pPr>
        <w:numPr>
          <w:ilvl w:val="0"/>
          <w:numId w:val="22"/>
        </w:numPr>
        <w:spacing w:after="0" w:line="360" w:lineRule="auto"/>
        <w:ind w:right="12"/>
      </w:pPr>
      <w:r w:rsidRPr="00586325">
        <w:t xml:space="preserve">Stay relief for a limited number of CVA Actions may well result in disparate treatment for similarly situated claims.  If, as the Movants and Tort Committee argue, litigation of several CVA </w:t>
      </w:r>
      <w:r w:rsidRPr="00586325">
        <w:lastRenderedPageBreak/>
        <w:t xml:space="preserve">Actions are expected to result in substantial verdicts, will Movants accept treatment of their claims consonant with similarly situated </w:t>
      </w:r>
      <w:proofErr w:type="gramStart"/>
      <w:r w:rsidRPr="00586325">
        <w:t>Survivors</w:t>
      </w:r>
      <w:proofErr w:type="gramEnd"/>
      <w:r w:rsidRPr="00586325">
        <w:t xml:space="preserve"> or will they insist on greater treatment based on verdicts obtained in their cases?  If Movants accept similar treatment of their claims with comparable Survivor claims, the proposed test cases are truly advisory opinions.   </w:t>
      </w:r>
      <w:r w:rsidRPr="00586325">
        <w:rPr>
          <w:rFonts w:ascii="Calibri" w:eastAsia="Calibri" w:hAnsi="Calibri" w:cs="Calibri"/>
          <w:sz w:val="22"/>
        </w:rPr>
        <w:t xml:space="preserve"> </w:t>
      </w:r>
    </w:p>
    <w:p w14:paraId="59B1A834" w14:textId="77777777" w:rsidR="00586325" w:rsidRPr="00586325" w:rsidRDefault="00586325" w:rsidP="00586325">
      <w:pPr>
        <w:numPr>
          <w:ilvl w:val="0"/>
          <w:numId w:val="22"/>
        </w:numPr>
        <w:spacing w:after="0" w:line="360" w:lineRule="auto"/>
        <w:ind w:right="12"/>
      </w:pPr>
      <w:r w:rsidRPr="00586325">
        <w:t xml:space="preserve">The Debtor has consistently asserted that </w:t>
      </w:r>
      <w:proofErr w:type="gramStart"/>
      <w:r w:rsidRPr="00586325">
        <w:t>a meaningful</w:t>
      </w:r>
      <w:proofErr w:type="gramEnd"/>
      <w:r w:rsidRPr="00586325">
        <w:t xml:space="preserve"> distribution to CVA </w:t>
      </w:r>
      <w:r w:rsidRPr="00586325">
        <w:rPr>
          <w:rFonts w:ascii="Calibri" w:eastAsia="Calibri" w:hAnsi="Calibri" w:cs="Calibri"/>
          <w:sz w:val="22"/>
        </w:rPr>
        <w:t xml:space="preserve"> </w:t>
      </w:r>
    </w:p>
    <w:p w14:paraId="0F8EC71C" w14:textId="77777777" w:rsidR="00586325" w:rsidRPr="00586325" w:rsidRDefault="00586325" w:rsidP="00586325">
      <w:pPr>
        <w:spacing w:after="0" w:line="360" w:lineRule="auto"/>
        <w:ind w:left="21" w:right="12"/>
      </w:pPr>
      <w:r w:rsidRPr="00586325">
        <w:t xml:space="preserve">Claimants will include participation by, and contributions from, the Debtor, Parishes and Insurers.  The Debtor is concerned that granting stay relief to the Movants may well result in unintended </w:t>
      </w:r>
      <w:r w:rsidRPr="00586325">
        <w:rPr>
          <w:rFonts w:ascii="Calibri" w:eastAsia="Calibri" w:hAnsi="Calibri" w:cs="Calibri"/>
          <w:sz w:val="22"/>
        </w:rPr>
        <w:t xml:space="preserve"> </w:t>
      </w:r>
    </w:p>
    <w:p w14:paraId="09B6D437" w14:textId="77777777" w:rsidR="00586325" w:rsidRPr="00586325" w:rsidRDefault="00586325" w:rsidP="00586325">
      <w:pPr>
        <w:spacing w:after="0" w:line="360" w:lineRule="auto"/>
        <w:ind w:left="21" w:right="12"/>
      </w:pPr>
      <w:r w:rsidRPr="00586325">
        <w:t xml:space="preserve">consequences including potentially adverse decisions regarding insurance coverage issues that jeopardize the Insurers’ participation in Plan funding.  As noted above with respect to </w:t>
      </w:r>
      <w:proofErr w:type="spellStart"/>
      <w:r w:rsidRPr="00586325">
        <w:rPr>
          <w:i/>
        </w:rPr>
        <w:t>Sonnax</w:t>
      </w:r>
      <w:proofErr w:type="spellEnd"/>
      <w:r w:rsidRPr="00586325">
        <w:t xml:space="preserve"> </w:t>
      </w:r>
      <w:r w:rsidRPr="00586325">
        <w:rPr>
          <w:rFonts w:ascii="Calibri" w:eastAsia="Calibri" w:hAnsi="Calibri" w:cs="Calibri"/>
          <w:sz w:val="22"/>
        </w:rPr>
        <w:t xml:space="preserve"> </w:t>
      </w:r>
    </w:p>
    <w:p w14:paraId="45F7FAB3" w14:textId="77777777" w:rsidR="00586325" w:rsidRPr="00586325" w:rsidRDefault="00586325" w:rsidP="00586325">
      <w:pPr>
        <w:spacing w:after="0" w:line="360" w:lineRule="auto"/>
        <w:ind w:left="21" w:right="12"/>
      </w:pPr>
      <w:r w:rsidRPr="00586325">
        <w:t xml:space="preserve">Factor 1, the potential for disparate treatment of similarly situated CVA Claimants is very real.  </w:t>
      </w:r>
      <w:r w:rsidRPr="00586325">
        <w:rPr>
          <w:i/>
        </w:rPr>
        <w:t xml:space="preserve">See, </w:t>
      </w:r>
      <w:r w:rsidRPr="00586325">
        <w:t xml:space="preserve">¶¶26-30.  Clearly, the Claimants whose CVA Actions remain stayed will be prejudiced by any decision that abrogates insurance coverage in other pending CVA Actions. </w:t>
      </w:r>
      <w:r w:rsidRPr="00586325">
        <w:rPr>
          <w:rFonts w:ascii="Calibri" w:eastAsia="Calibri" w:hAnsi="Calibri" w:cs="Calibri"/>
          <w:sz w:val="22"/>
        </w:rPr>
        <w:t xml:space="preserve"> </w:t>
      </w:r>
    </w:p>
    <w:p w14:paraId="5559921F" w14:textId="77777777" w:rsidR="00586325" w:rsidRPr="00586325" w:rsidRDefault="00586325" w:rsidP="00586325">
      <w:pPr>
        <w:numPr>
          <w:ilvl w:val="0"/>
          <w:numId w:val="22"/>
        </w:numPr>
        <w:spacing w:after="0" w:line="360" w:lineRule="auto"/>
        <w:ind w:right="12"/>
      </w:pPr>
      <w:r w:rsidRPr="00586325">
        <w:t xml:space="preserve">For </w:t>
      </w:r>
      <w:proofErr w:type="gramStart"/>
      <w:r w:rsidRPr="00586325">
        <w:t>all of</w:t>
      </w:r>
      <w:proofErr w:type="gramEnd"/>
      <w:r w:rsidRPr="00586325">
        <w:t xml:space="preserve"> the foregoing reasons, this factor weighs against granting </w:t>
      </w:r>
      <w:proofErr w:type="gramStart"/>
      <w:r w:rsidRPr="00586325">
        <w:t>the Stay</w:t>
      </w:r>
      <w:proofErr w:type="gramEnd"/>
      <w:r w:rsidRPr="00586325">
        <w:t xml:space="preserve"> Relief </w:t>
      </w:r>
      <w:r w:rsidRPr="00586325">
        <w:rPr>
          <w:rFonts w:ascii="Calibri" w:eastAsia="Calibri" w:hAnsi="Calibri" w:cs="Calibri"/>
          <w:sz w:val="22"/>
        </w:rPr>
        <w:t xml:space="preserve"> </w:t>
      </w:r>
    </w:p>
    <w:p w14:paraId="68479B15" w14:textId="77777777" w:rsidR="00586325" w:rsidRPr="00586325" w:rsidRDefault="00586325" w:rsidP="00586325">
      <w:pPr>
        <w:spacing w:after="0" w:line="360" w:lineRule="auto"/>
        <w:ind w:left="21" w:right="12"/>
      </w:pPr>
      <w:r w:rsidRPr="00586325">
        <w:t xml:space="preserve">Motions. </w:t>
      </w:r>
      <w:r w:rsidRPr="00586325">
        <w:rPr>
          <w:rFonts w:ascii="Calibri" w:eastAsia="Calibri" w:hAnsi="Calibri" w:cs="Calibri"/>
          <w:sz w:val="22"/>
        </w:rPr>
        <w:t xml:space="preserve"> </w:t>
      </w:r>
    </w:p>
    <w:p w14:paraId="34A0AA0C" w14:textId="28443E62" w:rsidR="00586325" w:rsidRPr="00586325" w:rsidRDefault="00586325" w:rsidP="00C95DC4">
      <w:pPr>
        <w:keepNext/>
        <w:keepLines/>
        <w:spacing w:after="0" w:line="360" w:lineRule="auto"/>
        <w:ind w:left="365"/>
        <w:jc w:val="left"/>
        <w:outlineLvl w:val="1"/>
      </w:pPr>
      <w:proofErr w:type="spellStart"/>
      <w:r w:rsidRPr="00586325">
        <w:rPr>
          <w:rFonts w:eastAsia="Calibri"/>
          <w:b/>
          <w:bCs/>
          <w:color w:val="0F4761"/>
        </w:rPr>
        <w:t>Sonnax</w:t>
      </w:r>
      <w:proofErr w:type="spellEnd"/>
      <w:r w:rsidRPr="00586325">
        <w:rPr>
          <w:rFonts w:eastAsia="Calibri"/>
          <w:b/>
          <w:bCs/>
          <w:color w:val="0F4761"/>
        </w:rPr>
        <w:t xml:space="preserve"> Factor 10 – The Interests of Judicial Economy and the Expeditious and Economical Resolution of Litigation  </w:t>
      </w:r>
      <w:r w:rsidRPr="00586325">
        <w:rPr>
          <w:b/>
          <w:i/>
        </w:rPr>
        <w:t xml:space="preserve"> </w:t>
      </w:r>
      <w:r w:rsidRPr="00586325">
        <w:rPr>
          <w:rFonts w:ascii="Calibri" w:eastAsia="Calibri" w:hAnsi="Calibri" w:cs="Calibri"/>
          <w:sz w:val="22"/>
        </w:rPr>
        <w:t xml:space="preserve"> </w:t>
      </w:r>
    </w:p>
    <w:p w14:paraId="12A869C6" w14:textId="77777777" w:rsidR="00586325" w:rsidRPr="00586325" w:rsidRDefault="00586325" w:rsidP="00586325">
      <w:pPr>
        <w:numPr>
          <w:ilvl w:val="0"/>
          <w:numId w:val="23"/>
        </w:numPr>
        <w:spacing w:after="0" w:line="360" w:lineRule="auto"/>
        <w:ind w:right="12"/>
      </w:pPr>
      <w:r w:rsidRPr="00586325">
        <w:t xml:space="preserve">The most expeditious manner for this case to proceed to develop a Plan that provides payment to Survivors and equitably distributes the Debtor’s assets to its other classes of creditors is for the Debtor, Parishes, Insurers and Committees to fully participate in the mediation process, including for all parties to reasonably assess demands, responses and analysis of claims, defenses, available assets and insurance policy proceeds.  The parties benefit from the outcomes of prior diocesan cases and the status of currently pending cases to make reasonable, realistic and honest assessments of those considerations to attempt to expeditiously and economically resolve the claims in the case. </w:t>
      </w:r>
      <w:r w:rsidRPr="00586325">
        <w:rPr>
          <w:rFonts w:ascii="Calibri" w:eastAsia="Calibri" w:hAnsi="Calibri" w:cs="Calibri"/>
          <w:sz w:val="22"/>
        </w:rPr>
        <w:t xml:space="preserve"> </w:t>
      </w:r>
    </w:p>
    <w:p w14:paraId="61EE9B7B" w14:textId="77777777" w:rsidR="00586325" w:rsidRPr="00586325" w:rsidRDefault="00586325" w:rsidP="00586325">
      <w:pPr>
        <w:numPr>
          <w:ilvl w:val="0"/>
          <w:numId w:val="23"/>
        </w:numPr>
        <w:spacing w:after="0" w:line="360" w:lineRule="auto"/>
        <w:ind w:right="12"/>
      </w:pPr>
      <w:r w:rsidRPr="00586325">
        <w:t xml:space="preserve">Splitting off a small number of CVA Actions that may well not be representative of all CVA Claims in the case with the intent to prompt Insurers to more fulsomely participate in the mediation, while risking adverse decisions on insurance coverage issues does not promote the issues of judicial economy or the economic resolution of litigation.  Rather, it unnecessarily risks adverse outcomes and may well not have the desired effect on the Insurers. </w:t>
      </w:r>
      <w:r w:rsidRPr="00586325">
        <w:rPr>
          <w:rFonts w:ascii="Calibri" w:eastAsia="Calibri" w:hAnsi="Calibri" w:cs="Calibri"/>
          <w:sz w:val="22"/>
        </w:rPr>
        <w:t xml:space="preserve"> </w:t>
      </w:r>
    </w:p>
    <w:p w14:paraId="19CFB3A0" w14:textId="77777777" w:rsidR="00586325" w:rsidRPr="00586325" w:rsidRDefault="00586325" w:rsidP="00586325">
      <w:pPr>
        <w:numPr>
          <w:ilvl w:val="0"/>
          <w:numId w:val="23"/>
        </w:numPr>
        <w:spacing w:after="0" w:line="360" w:lineRule="auto"/>
        <w:ind w:right="12"/>
      </w:pPr>
      <w:r w:rsidRPr="00586325">
        <w:t xml:space="preserve">As noted above in the discussion of </w:t>
      </w:r>
      <w:proofErr w:type="spellStart"/>
      <w:r w:rsidRPr="00586325">
        <w:rPr>
          <w:i/>
        </w:rPr>
        <w:t>Sonnax</w:t>
      </w:r>
      <w:proofErr w:type="spellEnd"/>
      <w:r w:rsidRPr="00586325">
        <w:t xml:space="preserve"> Factor 1, granting the relief requested will not promote judicial economy and the expeditious resolution of litigation. It is more likely to </w:t>
      </w:r>
      <w:r w:rsidRPr="00586325">
        <w:rPr>
          <w:rFonts w:ascii="Calibri" w:eastAsia="Calibri" w:hAnsi="Calibri" w:cs="Calibri"/>
          <w:sz w:val="22"/>
        </w:rPr>
        <w:t xml:space="preserve"> </w:t>
      </w:r>
    </w:p>
    <w:p w14:paraId="10CF9016" w14:textId="77777777" w:rsidR="00586325" w:rsidRPr="00586325" w:rsidRDefault="00586325" w:rsidP="00586325">
      <w:pPr>
        <w:spacing w:after="0" w:line="360" w:lineRule="auto"/>
        <w:ind w:left="21" w:right="12"/>
      </w:pPr>
      <w:r w:rsidRPr="00586325">
        <w:lastRenderedPageBreak/>
        <w:t xml:space="preserve">multiply litigation by essentially seeking advisory opinions from State Courts, raising the specter of insurance coverage litigation and resulting in outcomes that are not representative of the hundreds of unique Survivors’ abuse claims and the potential outcomes in those cases.  In that respect, the pre-petition disposition of approximately fifty CVA Actions across a range of potential outcomes provides a far more comprehensive and useful bellwether analysis of the Survivors’ claims in this case. </w:t>
      </w:r>
      <w:r w:rsidRPr="00586325">
        <w:rPr>
          <w:rFonts w:ascii="Calibri" w:eastAsia="Calibri" w:hAnsi="Calibri" w:cs="Calibri"/>
          <w:sz w:val="22"/>
        </w:rPr>
        <w:t xml:space="preserve"> </w:t>
      </w:r>
    </w:p>
    <w:p w14:paraId="05D75D42" w14:textId="77777777" w:rsidR="00586325" w:rsidRPr="00586325" w:rsidRDefault="00586325" w:rsidP="00586325">
      <w:pPr>
        <w:numPr>
          <w:ilvl w:val="0"/>
          <w:numId w:val="23"/>
        </w:numPr>
        <w:spacing w:after="0" w:line="360" w:lineRule="auto"/>
        <w:ind w:right="12"/>
      </w:pPr>
      <w:r w:rsidRPr="00586325">
        <w:t xml:space="preserve">Since it is well established that “the interests of judicial economy and expeditious resolution of the litigation normally are amongst the most important factors in any </w:t>
      </w:r>
      <w:proofErr w:type="spellStart"/>
      <w:r w:rsidRPr="00586325">
        <w:rPr>
          <w:i/>
        </w:rPr>
        <w:t>Sonnax</w:t>
      </w:r>
      <w:proofErr w:type="spellEnd"/>
      <w:r w:rsidRPr="00586325">
        <w:t xml:space="preserve"> analysis </w:t>
      </w:r>
      <w:r w:rsidRPr="00586325">
        <w:rPr>
          <w:rFonts w:ascii="Calibri" w:eastAsia="Calibri" w:hAnsi="Calibri" w:cs="Calibri"/>
          <w:sz w:val="22"/>
        </w:rPr>
        <w:t xml:space="preserve"> </w:t>
      </w:r>
    </w:p>
    <w:p w14:paraId="32216879" w14:textId="77777777" w:rsidR="00586325" w:rsidRPr="00586325" w:rsidRDefault="00586325" w:rsidP="00586325">
      <w:pPr>
        <w:spacing w:after="0" w:line="360" w:lineRule="auto"/>
        <w:ind w:left="21" w:right="12"/>
      </w:pPr>
      <w:proofErr w:type="gramStart"/>
      <w:r w:rsidRPr="00586325">
        <w:t>. . . ”</w:t>
      </w:r>
      <w:proofErr w:type="gramEnd"/>
      <w:r w:rsidRPr="00586325">
        <w:t xml:space="preserve">, this factor weighs heavily against granting relief from the stay.  </w:t>
      </w:r>
      <w:r w:rsidRPr="00586325">
        <w:rPr>
          <w:i/>
        </w:rPr>
        <w:t>In re Lyondell Chem. Co.</w:t>
      </w:r>
      <w:r w:rsidRPr="00586325">
        <w:t xml:space="preserve">, </w:t>
      </w:r>
      <w:r w:rsidRPr="00586325">
        <w:rPr>
          <w:rFonts w:ascii="Calibri" w:eastAsia="Calibri" w:hAnsi="Calibri" w:cs="Calibri"/>
          <w:sz w:val="22"/>
        </w:rPr>
        <w:t xml:space="preserve"> </w:t>
      </w:r>
    </w:p>
    <w:p w14:paraId="46B1A5F9" w14:textId="77777777" w:rsidR="00586325" w:rsidRPr="00586325" w:rsidRDefault="00586325" w:rsidP="00586325">
      <w:pPr>
        <w:spacing w:after="0" w:line="360" w:lineRule="auto"/>
        <w:ind w:left="21" w:right="12"/>
      </w:pPr>
      <w:r w:rsidRPr="00586325">
        <w:t>402 B.R. 596, 609-10 (</w:t>
      </w:r>
      <w:proofErr w:type="spellStart"/>
      <w:r w:rsidRPr="00586325">
        <w:t>Bankr</w:t>
      </w:r>
      <w:proofErr w:type="spellEnd"/>
      <w:r w:rsidRPr="00586325">
        <w:t xml:space="preserve">. S.D.N.Y. 2009).   </w:t>
      </w:r>
      <w:r w:rsidRPr="00586325">
        <w:rPr>
          <w:rFonts w:ascii="Calibri" w:eastAsia="Calibri" w:hAnsi="Calibri" w:cs="Calibri"/>
          <w:sz w:val="22"/>
        </w:rPr>
        <w:t xml:space="preserve"> </w:t>
      </w:r>
    </w:p>
    <w:p w14:paraId="28392E41" w14:textId="77777777" w:rsidR="00586325" w:rsidRPr="00586325" w:rsidRDefault="00586325" w:rsidP="00586325">
      <w:pPr>
        <w:keepNext/>
        <w:keepLines/>
        <w:spacing w:after="0" w:line="360" w:lineRule="auto"/>
        <w:ind w:left="365"/>
        <w:jc w:val="left"/>
        <w:outlineLvl w:val="1"/>
        <w:rPr>
          <w:rFonts w:eastAsia="Calibri"/>
          <w:b/>
          <w:bCs/>
          <w:color w:val="0F4761"/>
        </w:rPr>
      </w:pPr>
      <w:proofErr w:type="spellStart"/>
      <w:r w:rsidRPr="00586325">
        <w:rPr>
          <w:rFonts w:eastAsia="Calibri"/>
          <w:b/>
          <w:bCs/>
          <w:color w:val="0F4761"/>
        </w:rPr>
        <w:t>Sonnax</w:t>
      </w:r>
      <w:proofErr w:type="spellEnd"/>
      <w:r w:rsidRPr="00586325">
        <w:rPr>
          <w:rFonts w:eastAsia="Calibri"/>
          <w:b/>
          <w:bCs/>
          <w:color w:val="0F4761"/>
        </w:rPr>
        <w:t xml:space="preserve"> Factor 11 – The Parties are Not Ready for Trial in the Other Proceeding  </w:t>
      </w:r>
    </w:p>
    <w:p w14:paraId="34B04390" w14:textId="77777777" w:rsidR="00586325" w:rsidRPr="00586325" w:rsidRDefault="00586325" w:rsidP="00586325">
      <w:pPr>
        <w:spacing w:after="0" w:line="360" w:lineRule="auto"/>
        <w:ind w:left="374" w:firstLine="0"/>
        <w:jc w:val="left"/>
      </w:pPr>
      <w:r w:rsidRPr="00586325">
        <w:rPr>
          <w:b/>
        </w:rPr>
        <w:t xml:space="preserve"> </w:t>
      </w:r>
      <w:r w:rsidRPr="00586325">
        <w:rPr>
          <w:rFonts w:ascii="Calibri" w:eastAsia="Calibri" w:hAnsi="Calibri" w:cs="Calibri"/>
          <w:sz w:val="22"/>
        </w:rPr>
        <w:t xml:space="preserve"> </w:t>
      </w:r>
    </w:p>
    <w:p w14:paraId="691CBDE2" w14:textId="77777777" w:rsidR="00586325" w:rsidRPr="00586325" w:rsidRDefault="00586325" w:rsidP="00586325">
      <w:pPr>
        <w:spacing w:after="0" w:line="360" w:lineRule="auto"/>
        <w:ind w:left="11" w:right="12" w:firstLine="720"/>
      </w:pPr>
      <w:r w:rsidRPr="00586325">
        <w:t>57.</w:t>
      </w:r>
      <w:r w:rsidRPr="00586325">
        <w:rPr>
          <w:rFonts w:ascii="Arial" w:eastAsia="Arial" w:hAnsi="Arial" w:cs="Arial"/>
        </w:rPr>
        <w:t xml:space="preserve"> </w:t>
      </w:r>
      <w:proofErr w:type="gramStart"/>
      <w:r w:rsidRPr="00586325">
        <w:t>With the exception of</w:t>
      </w:r>
      <w:proofErr w:type="gramEnd"/>
      <w:r w:rsidRPr="00586325">
        <w:t xml:space="preserve"> one of the Movants whose claim falls during the LMI’s policy period, the Movants’ actions are not ready for trial in state court because some or all </w:t>
      </w:r>
      <w:proofErr w:type="gramStart"/>
      <w:r w:rsidRPr="00586325">
        <w:t>discovery remains</w:t>
      </w:r>
      <w:proofErr w:type="gramEnd"/>
      <w:r w:rsidRPr="00586325">
        <w:t xml:space="preserve"> outstanding, particularly with respect to the CVA Actions of Survivor Claim 27, Survivor </w:t>
      </w:r>
      <w:r w:rsidRPr="00586325">
        <w:rPr>
          <w:rFonts w:ascii="Calibri" w:eastAsia="Calibri" w:hAnsi="Calibri" w:cs="Calibri"/>
          <w:sz w:val="22"/>
        </w:rPr>
        <w:t xml:space="preserve"> </w:t>
      </w:r>
    </w:p>
    <w:p w14:paraId="0EAD6763" w14:textId="77777777" w:rsidR="00586325" w:rsidRPr="00586325" w:rsidRDefault="00586325" w:rsidP="00586325">
      <w:pPr>
        <w:spacing w:after="0" w:line="360" w:lineRule="auto"/>
        <w:ind w:left="21" w:right="12"/>
      </w:pPr>
      <w:r w:rsidRPr="00586325">
        <w:t xml:space="preserve">Claim 41, Survivor Claim 48, Survivor M.D. and Survivor M.F.   </w:t>
      </w:r>
      <w:r w:rsidRPr="00586325">
        <w:rPr>
          <w:i/>
        </w:rPr>
        <w:t>See In re Archbishop of Agana</w:t>
      </w:r>
      <w:r w:rsidRPr="00586325">
        <w:t xml:space="preserve">, </w:t>
      </w:r>
    </w:p>
    <w:p w14:paraId="2D64041A" w14:textId="77777777" w:rsidR="00586325" w:rsidRPr="00586325" w:rsidRDefault="00586325" w:rsidP="00586325">
      <w:pPr>
        <w:spacing w:after="0" w:line="360" w:lineRule="auto"/>
        <w:ind w:left="21" w:right="12"/>
      </w:pPr>
      <w:r w:rsidRPr="00586325">
        <w:t xml:space="preserve">Case No. 19-00010, at 8-9 (denying stay relief where actions had outstanding </w:t>
      </w:r>
      <w:proofErr w:type="gramStart"/>
      <w:r w:rsidRPr="00586325">
        <w:t>discovery</w:t>
      </w:r>
      <w:proofErr w:type="gramEnd"/>
      <w:r w:rsidRPr="00586325">
        <w:t xml:space="preserve"> and were nowhere near trial ready).  Preparing these cases for trial will take many months (and this does not include the time for appeals).   </w:t>
      </w:r>
      <w:r w:rsidRPr="00586325">
        <w:rPr>
          <w:rFonts w:ascii="Calibri" w:eastAsia="Calibri" w:hAnsi="Calibri" w:cs="Calibri"/>
          <w:sz w:val="22"/>
        </w:rPr>
        <w:t xml:space="preserve"> </w:t>
      </w:r>
    </w:p>
    <w:p w14:paraId="70FE29B1" w14:textId="77777777" w:rsidR="00586325" w:rsidRPr="00586325" w:rsidRDefault="00586325" w:rsidP="00586325">
      <w:pPr>
        <w:keepNext/>
        <w:keepLines/>
        <w:spacing w:after="0" w:line="360" w:lineRule="auto"/>
        <w:ind w:left="365"/>
        <w:jc w:val="left"/>
        <w:outlineLvl w:val="1"/>
        <w:rPr>
          <w:rFonts w:eastAsia="Calibri"/>
          <w:b/>
          <w:bCs/>
          <w:color w:val="0F4761"/>
        </w:rPr>
      </w:pPr>
      <w:proofErr w:type="spellStart"/>
      <w:r w:rsidRPr="00586325">
        <w:rPr>
          <w:rFonts w:eastAsia="Calibri"/>
          <w:b/>
          <w:bCs/>
          <w:color w:val="0F4761"/>
        </w:rPr>
        <w:t>Sonnax</w:t>
      </w:r>
      <w:proofErr w:type="spellEnd"/>
      <w:r w:rsidRPr="00586325">
        <w:rPr>
          <w:rFonts w:eastAsia="Calibri"/>
          <w:b/>
          <w:bCs/>
          <w:color w:val="0F4761"/>
        </w:rPr>
        <w:t xml:space="preserve"> Factor 12 – The Impact of the Stay on the Parties and the Balance of Harms  </w:t>
      </w:r>
    </w:p>
    <w:p w14:paraId="619259BE" w14:textId="77777777" w:rsidR="00586325" w:rsidRPr="00586325" w:rsidRDefault="00586325" w:rsidP="00586325">
      <w:pPr>
        <w:spacing w:after="0" w:line="360" w:lineRule="auto"/>
        <w:ind w:left="374" w:firstLine="0"/>
        <w:jc w:val="left"/>
      </w:pPr>
      <w:r w:rsidRPr="00586325">
        <w:t xml:space="preserve"> </w:t>
      </w:r>
      <w:r w:rsidRPr="00586325">
        <w:rPr>
          <w:rFonts w:ascii="Calibri" w:eastAsia="Calibri" w:hAnsi="Calibri" w:cs="Calibri"/>
          <w:sz w:val="22"/>
        </w:rPr>
        <w:t xml:space="preserve"> </w:t>
      </w:r>
    </w:p>
    <w:p w14:paraId="4689C456" w14:textId="77777777" w:rsidR="00586325" w:rsidRPr="00586325" w:rsidRDefault="00586325" w:rsidP="00586325">
      <w:pPr>
        <w:numPr>
          <w:ilvl w:val="0"/>
          <w:numId w:val="24"/>
        </w:numPr>
        <w:spacing w:after="0" w:line="360" w:lineRule="auto"/>
        <w:ind w:right="12"/>
      </w:pPr>
      <w:r w:rsidRPr="00586325">
        <w:t xml:space="preserve">The automatic stay does not ultimately adversely affect the CVA Claimants because the Court has approved a mediation process that is intended to result in a negotiated global resolution of funding, claims evaluation and payment of CVA Claims and the </w:t>
      </w:r>
      <w:proofErr w:type="gramStart"/>
      <w:r w:rsidRPr="00586325">
        <w:t xml:space="preserve">equitable </w:t>
      </w:r>
      <w:r w:rsidRPr="00586325">
        <w:rPr>
          <w:rFonts w:ascii="Calibri" w:eastAsia="Calibri" w:hAnsi="Calibri" w:cs="Calibri"/>
          <w:sz w:val="22"/>
        </w:rPr>
        <w:t xml:space="preserve"> </w:t>
      </w:r>
      <w:r w:rsidRPr="00586325">
        <w:t>distribution</w:t>
      </w:r>
      <w:proofErr w:type="gramEnd"/>
      <w:r w:rsidRPr="00586325">
        <w:t xml:space="preserve"> of the Debtor’s assets for payment to its other classes of creditors.   </w:t>
      </w:r>
      <w:r w:rsidRPr="00586325">
        <w:rPr>
          <w:rFonts w:ascii="Calibri" w:eastAsia="Calibri" w:hAnsi="Calibri" w:cs="Calibri"/>
          <w:sz w:val="22"/>
        </w:rPr>
        <w:t xml:space="preserve"> </w:t>
      </w:r>
    </w:p>
    <w:p w14:paraId="121FF558" w14:textId="62DABA61" w:rsidR="00586325" w:rsidRPr="00586325" w:rsidRDefault="00586325" w:rsidP="00586325">
      <w:pPr>
        <w:numPr>
          <w:ilvl w:val="0"/>
          <w:numId w:val="24"/>
        </w:numPr>
        <w:spacing w:after="0" w:line="360" w:lineRule="auto"/>
        <w:ind w:left="21" w:right="12"/>
      </w:pPr>
      <w:r w:rsidRPr="00586325">
        <w:t xml:space="preserve">The CVA Claimants are ably represented by Tort Committee counsel that has represented survivors in </w:t>
      </w:r>
      <w:proofErr w:type="gramStart"/>
      <w:r w:rsidRPr="00586325">
        <w:t>a number of</w:t>
      </w:r>
      <w:proofErr w:type="gramEnd"/>
      <w:r w:rsidRPr="00586325">
        <w:t xml:space="preserve"> diocesan Chapter 11 bankruptcy proceedings over the course of over a decade.</w:t>
      </w:r>
      <w:r w:rsidRPr="00586325">
        <w:rPr>
          <w:vertAlign w:val="superscript"/>
        </w:rPr>
        <w:footnoteReference w:id="21"/>
      </w:r>
      <w:r w:rsidRPr="00586325">
        <w:t xml:space="preserve">  The Insurers are represented by experienced insurance coverage and bankruptcy counsel </w:t>
      </w:r>
      <w:r w:rsidRPr="00586325">
        <w:lastRenderedPageBreak/>
        <w:t xml:space="preserve">that have represented the Insurers in a significant number of diocesan cases since 2004.  The Debtor and Parishes are similarly represented by experienced bankruptcy and insurance counsel.  Respective counsel is presumably </w:t>
      </w:r>
      <w:proofErr w:type="gramStart"/>
      <w:r w:rsidRPr="00586325">
        <w:t>well aware</w:t>
      </w:r>
      <w:proofErr w:type="gramEnd"/>
      <w:r w:rsidRPr="00586325">
        <w:t xml:space="preserve"> of the status of previously confirmed or pending diocesan Chapter 11 cases and has developed an understanding of the scope of the issues, the range of contributions to fund plans and the ultimate treatment of Survivor claims.   </w:t>
      </w:r>
      <w:r w:rsidRPr="00586325">
        <w:rPr>
          <w:rFonts w:ascii="Calibri" w:eastAsia="Calibri" w:hAnsi="Calibri" w:cs="Calibri"/>
          <w:sz w:val="22"/>
        </w:rPr>
        <w:t xml:space="preserve"> </w:t>
      </w:r>
    </w:p>
    <w:p w14:paraId="6F13F90C" w14:textId="77777777" w:rsidR="00586325" w:rsidRPr="00586325" w:rsidRDefault="00586325" w:rsidP="00586325">
      <w:pPr>
        <w:numPr>
          <w:ilvl w:val="0"/>
          <w:numId w:val="24"/>
        </w:numPr>
        <w:spacing w:after="0" w:line="360" w:lineRule="auto"/>
        <w:ind w:right="12"/>
      </w:pPr>
      <w:r w:rsidRPr="00586325">
        <w:t xml:space="preserve">The focus should remain on the mediation process with all parties approaching the process with reasonable demands, responses and expectations.  Shifting the focus to litigation will cause the mediation process to wither.       </w:t>
      </w:r>
      <w:r w:rsidRPr="00586325">
        <w:rPr>
          <w:rFonts w:ascii="Calibri" w:eastAsia="Calibri" w:hAnsi="Calibri" w:cs="Calibri"/>
          <w:sz w:val="22"/>
        </w:rPr>
        <w:t xml:space="preserve"> </w:t>
      </w:r>
    </w:p>
    <w:p w14:paraId="6C463785" w14:textId="77777777" w:rsidR="00586325" w:rsidRPr="00586325" w:rsidRDefault="00586325" w:rsidP="00586325">
      <w:pPr>
        <w:numPr>
          <w:ilvl w:val="0"/>
          <w:numId w:val="24"/>
        </w:numPr>
        <w:spacing w:after="0" w:line="360" w:lineRule="auto"/>
        <w:ind w:right="12"/>
      </w:pPr>
      <w:r w:rsidRPr="00586325">
        <w:t xml:space="preserve">Moreover, other courts presented with similar motions </w:t>
      </w:r>
      <w:proofErr w:type="gramStart"/>
      <w:r w:rsidRPr="00586325">
        <w:t>have also noted</w:t>
      </w:r>
      <w:proofErr w:type="gramEnd"/>
      <w:r w:rsidRPr="00586325">
        <w:t xml:space="preserve"> that there were no compelling reasons to treat the moving parties differently than the rest of the abuse claimants.  </w:t>
      </w:r>
      <w:r w:rsidRPr="00586325">
        <w:rPr>
          <w:i/>
        </w:rPr>
        <w:t xml:space="preserve">See New Orleans Transcript </w:t>
      </w:r>
      <w:r w:rsidRPr="00586325">
        <w:t xml:space="preserve">at 62:7-14.  </w:t>
      </w:r>
      <w:r w:rsidRPr="00586325">
        <w:rPr>
          <w:rFonts w:ascii="Calibri" w:eastAsia="Calibri" w:hAnsi="Calibri" w:cs="Calibri"/>
          <w:sz w:val="22"/>
        </w:rPr>
        <w:t xml:space="preserve"> </w:t>
      </w:r>
    </w:p>
    <w:p w14:paraId="5CCCD463" w14:textId="77777777" w:rsidR="00586325" w:rsidRPr="00586325" w:rsidRDefault="00586325" w:rsidP="00586325">
      <w:pPr>
        <w:spacing w:after="0" w:line="360" w:lineRule="auto"/>
        <w:ind w:left="744"/>
        <w:jc w:val="left"/>
      </w:pPr>
      <w:r w:rsidRPr="00586325">
        <w:rPr>
          <w:b/>
        </w:rPr>
        <w:t>III.</w:t>
      </w:r>
      <w:r w:rsidRPr="00586325">
        <w:rPr>
          <w:rFonts w:ascii="Arial" w:eastAsia="Arial" w:hAnsi="Arial" w:cs="Arial"/>
          <w:b/>
        </w:rPr>
        <w:t xml:space="preserve"> </w:t>
      </w:r>
      <w:r w:rsidRPr="00586325">
        <w:rPr>
          <w:b/>
          <w:u w:val="single" w:color="000000"/>
        </w:rPr>
        <w:t>IF THE COURT IS INCLINED TO CONSIDER GRANTING SOME FORM</w:t>
      </w:r>
      <w:r w:rsidRPr="00586325">
        <w:rPr>
          <w:b/>
        </w:rPr>
        <w:t xml:space="preserve"> </w:t>
      </w:r>
    </w:p>
    <w:p w14:paraId="38FCC989" w14:textId="77777777" w:rsidR="00586325" w:rsidRPr="00586325" w:rsidRDefault="00586325" w:rsidP="00586325">
      <w:pPr>
        <w:spacing w:after="0" w:line="360" w:lineRule="auto"/>
        <w:ind w:left="10" w:right="-10"/>
        <w:jc w:val="right"/>
      </w:pPr>
      <w:r w:rsidRPr="00586325">
        <w:rPr>
          <w:b/>
          <w:u w:val="single" w:color="000000"/>
        </w:rPr>
        <w:t>OF STAY RELIEF, ANY SUCH RELIEF SHOULD BE CONDITIONED ON</w:t>
      </w:r>
      <w:r w:rsidRPr="00586325">
        <w:rPr>
          <w:b/>
        </w:rPr>
        <w:t xml:space="preserve"> </w:t>
      </w:r>
      <w:r w:rsidRPr="00586325">
        <w:rPr>
          <w:rFonts w:ascii="Calibri" w:eastAsia="Calibri" w:hAnsi="Calibri" w:cs="Calibri"/>
          <w:sz w:val="22"/>
        </w:rPr>
        <w:t xml:space="preserve"> </w:t>
      </w:r>
    </w:p>
    <w:p w14:paraId="54CC5201" w14:textId="5D19ED92" w:rsidR="00586325" w:rsidRPr="00586325" w:rsidRDefault="00586325" w:rsidP="00586325">
      <w:pPr>
        <w:keepNext/>
        <w:keepLines/>
        <w:spacing w:after="0" w:line="360" w:lineRule="auto"/>
        <w:ind w:left="12" w:right="76"/>
        <w:jc w:val="center"/>
        <w:outlineLvl w:val="0"/>
        <w:rPr>
          <w:rFonts w:eastAsia="Calibri"/>
          <w:b/>
          <w:bCs/>
          <w:color w:val="0F4761"/>
        </w:rPr>
      </w:pPr>
      <w:proofErr w:type="gramStart"/>
      <w:r w:rsidRPr="00586325">
        <w:rPr>
          <w:rFonts w:eastAsia="Calibri"/>
          <w:b/>
          <w:bCs/>
          <w:color w:val="0F4761"/>
        </w:rPr>
        <w:t xml:space="preserve">A </w:t>
      </w:r>
      <w:r w:rsidR="00C95DC4">
        <w:rPr>
          <w:rFonts w:eastAsia="Calibri"/>
          <w:b/>
          <w:bCs/>
          <w:color w:val="0F4761"/>
        </w:rPr>
        <w:t xml:space="preserve"> </w:t>
      </w:r>
      <w:r w:rsidRPr="00586325">
        <w:rPr>
          <w:rFonts w:eastAsia="Calibri"/>
          <w:b/>
          <w:bCs/>
          <w:color w:val="0F4761"/>
        </w:rPr>
        <w:t>SHOWING</w:t>
      </w:r>
      <w:proofErr w:type="gramEnd"/>
      <w:r w:rsidRPr="00586325">
        <w:rPr>
          <w:rFonts w:eastAsia="Calibri"/>
          <w:b/>
          <w:bCs/>
          <w:color w:val="0F4761"/>
        </w:rPr>
        <w:t xml:space="preserve"> THAT THE MOVANTS’ CVA ACTIONS ARE REPRESENTATIVE OF THE CVA ACTIONS PENDING AGAINST THE DEBTOR  </w:t>
      </w:r>
    </w:p>
    <w:p w14:paraId="3D72C3E9" w14:textId="77777777" w:rsidR="00586325" w:rsidRPr="00586325" w:rsidRDefault="00586325" w:rsidP="00586325">
      <w:pPr>
        <w:spacing w:after="0" w:line="360" w:lineRule="auto"/>
        <w:ind w:left="1454" w:firstLine="0"/>
        <w:jc w:val="left"/>
      </w:pPr>
      <w:r w:rsidRPr="00586325">
        <w:rPr>
          <w:b/>
        </w:rPr>
        <w:t xml:space="preserve"> </w:t>
      </w:r>
      <w:r w:rsidRPr="00586325">
        <w:rPr>
          <w:rFonts w:ascii="Calibri" w:eastAsia="Calibri" w:hAnsi="Calibri" w:cs="Calibri"/>
          <w:sz w:val="22"/>
        </w:rPr>
        <w:t xml:space="preserve"> </w:t>
      </w:r>
    </w:p>
    <w:p w14:paraId="76D2896C" w14:textId="77777777" w:rsidR="00586325" w:rsidRPr="00586325" w:rsidRDefault="00586325" w:rsidP="00586325">
      <w:pPr>
        <w:numPr>
          <w:ilvl w:val="0"/>
          <w:numId w:val="25"/>
        </w:numPr>
        <w:spacing w:after="0" w:line="360" w:lineRule="auto"/>
        <w:ind w:right="12"/>
      </w:pPr>
      <w:r w:rsidRPr="00586325">
        <w:t xml:space="preserve">Movants have failed to allege that their respective cases are representative of the approximately four hundred CVA Claims that remain pending against the Debtor.  </w:t>
      </w:r>
      <w:r w:rsidRPr="00586325">
        <w:rPr>
          <w:rFonts w:ascii="Calibri" w:eastAsia="Calibri" w:hAnsi="Calibri" w:cs="Calibri"/>
          <w:sz w:val="22"/>
        </w:rPr>
        <w:t xml:space="preserve"> </w:t>
      </w:r>
    </w:p>
    <w:p w14:paraId="3B357DA9" w14:textId="77777777" w:rsidR="00586325" w:rsidRPr="00586325" w:rsidRDefault="00586325" w:rsidP="00586325">
      <w:pPr>
        <w:spacing w:after="0" w:line="360" w:lineRule="auto"/>
        <w:ind w:left="21" w:right="12"/>
      </w:pPr>
      <w:r w:rsidRPr="00586325">
        <w:t xml:space="preserve">Unrepresentative CVA Actions vitiate any claim that they will serve as useful bellwether or test cases.  It is the Debtor’s position that the CVA Actions that were resolved pre-petition are far better suited to serve the purpose the Movants and the Tort Committee claim prosecution of the Movants’ CVA Actions will serve.  </w:t>
      </w:r>
      <w:r w:rsidRPr="006D3EC5">
        <w:rPr>
          <w:highlight w:val="yellow"/>
        </w:rPr>
        <w:t xml:space="preserve">If, however, the Court considers granting some form of stay relief to allow a small number of CVA Actions to proceed, the Court should determine that the cases are fairly representative of at least the majority of the pending CVA Actions so that all parties, </w:t>
      </w:r>
      <w:r w:rsidRPr="006D3EC5">
        <w:rPr>
          <w:highlight w:val="yellow"/>
        </w:rPr>
        <w:lastRenderedPageBreak/>
        <w:t>including Survivors and their counsel, gain some understanding of the strengths, weaknesses and risks of litigating CVA Actions.</w:t>
      </w:r>
      <w:r w:rsidRPr="00586325">
        <w:t xml:space="preserve">   </w:t>
      </w:r>
      <w:r w:rsidRPr="00586325">
        <w:rPr>
          <w:rFonts w:ascii="Calibri" w:eastAsia="Calibri" w:hAnsi="Calibri" w:cs="Calibri"/>
          <w:sz w:val="22"/>
        </w:rPr>
        <w:t xml:space="preserve"> </w:t>
      </w:r>
    </w:p>
    <w:p w14:paraId="0E228408" w14:textId="77777777" w:rsidR="00586325" w:rsidRPr="00586325" w:rsidRDefault="00586325" w:rsidP="00586325">
      <w:pPr>
        <w:numPr>
          <w:ilvl w:val="0"/>
          <w:numId w:val="25"/>
        </w:numPr>
        <w:spacing w:after="0" w:line="360" w:lineRule="auto"/>
        <w:ind w:right="12"/>
      </w:pPr>
      <w:r w:rsidRPr="00586325">
        <w:t xml:space="preserve">Unlike bankruptcies where stay relief has been granted, an extensive history of litigating and resolving CVA cases already exists in this case.  As noted in Point I.B., </w:t>
      </w:r>
      <w:r w:rsidRPr="00586325">
        <w:rPr>
          <w:i/>
        </w:rPr>
        <w:t>supra</w:t>
      </w:r>
      <w:r w:rsidRPr="00586325">
        <w:t xml:space="preserve">, approximately fifty CVA Actions brought against the Debtor and Parishes, among other parties, were resolved pre-petition during the approximately four years between the enactment of the CVA and the Filing Date.  Resolution ranged from dismissal following dispositive motion practice through a range of settlements that included Insurer participation.  Litigating more cases is entirely unnecessary and would be </w:t>
      </w:r>
      <w:proofErr w:type="gramStart"/>
      <w:r w:rsidRPr="00586325">
        <w:t>a counterproductive</w:t>
      </w:r>
      <w:proofErr w:type="gramEnd"/>
      <w:r w:rsidRPr="00586325">
        <w:t xml:space="preserve"> exercise. </w:t>
      </w:r>
      <w:r w:rsidRPr="00586325">
        <w:rPr>
          <w:rFonts w:ascii="Calibri" w:eastAsia="Calibri" w:hAnsi="Calibri" w:cs="Calibri"/>
          <w:sz w:val="22"/>
        </w:rPr>
        <w:t xml:space="preserve"> </w:t>
      </w:r>
    </w:p>
    <w:p w14:paraId="5D2FCCE5" w14:textId="77777777" w:rsidR="00586325" w:rsidRPr="00586325" w:rsidRDefault="00586325" w:rsidP="00586325">
      <w:pPr>
        <w:numPr>
          <w:ilvl w:val="0"/>
          <w:numId w:val="25"/>
        </w:numPr>
        <w:spacing w:after="0" w:line="360" w:lineRule="auto"/>
        <w:ind w:right="12"/>
      </w:pPr>
      <w:r w:rsidRPr="00586325">
        <w:t xml:space="preserve">In </w:t>
      </w:r>
      <w:r w:rsidRPr="00586325">
        <w:rPr>
          <w:i/>
        </w:rPr>
        <w:t xml:space="preserve">The Diocese of Rockville Centre, New York </w:t>
      </w:r>
      <w:r w:rsidRPr="00586325">
        <w:t xml:space="preserve">case, Judge Glenn denied motions for stay relief for the prosecution of bellwether cases specifically because they were not representative of the majority of CVA claims asserted against that diocese.  </w:t>
      </w:r>
      <w:r w:rsidRPr="00586325">
        <w:rPr>
          <w:i/>
        </w:rPr>
        <w:t xml:space="preserve">See, </w:t>
      </w:r>
      <w:r w:rsidRPr="00586325">
        <w:t xml:space="preserve">fn. 7, </w:t>
      </w:r>
      <w:r w:rsidRPr="00586325">
        <w:rPr>
          <w:i/>
        </w:rPr>
        <w:t>supra</w:t>
      </w:r>
      <w:r w:rsidRPr="00586325">
        <w:t xml:space="preserve">.  Similarly, the court in the </w:t>
      </w:r>
      <w:r w:rsidRPr="00586325">
        <w:rPr>
          <w:i/>
        </w:rPr>
        <w:t>Archdiocese of New Orleans</w:t>
      </w:r>
      <w:r w:rsidRPr="00586325">
        <w:t xml:space="preserve"> observed that it would not be proper to simply allow a movant to self-select their claim to serve a bellwether case and doing so would </w:t>
      </w:r>
      <w:proofErr w:type="gramStart"/>
      <w:r w:rsidRPr="00586325">
        <w:t xml:space="preserve">not </w:t>
      </w:r>
      <w:r w:rsidRPr="00586325">
        <w:rPr>
          <w:rFonts w:ascii="Calibri" w:eastAsia="Calibri" w:hAnsi="Calibri" w:cs="Calibri"/>
          <w:sz w:val="22"/>
        </w:rPr>
        <w:t xml:space="preserve"> </w:t>
      </w:r>
      <w:r w:rsidRPr="00586325">
        <w:t>“</w:t>
      </w:r>
      <w:proofErr w:type="gramEnd"/>
      <w:r w:rsidRPr="00586325">
        <w:t xml:space="preserve">advance the ball” for other abuse claims.  (New Orleans Transcript at 61:13-21).   </w:t>
      </w:r>
      <w:r w:rsidRPr="00586325">
        <w:rPr>
          <w:rFonts w:ascii="Calibri" w:eastAsia="Calibri" w:hAnsi="Calibri" w:cs="Calibri"/>
          <w:sz w:val="22"/>
        </w:rPr>
        <w:t xml:space="preserve"> </w:t>
      </w:r>
    </w:p>
    <w:p w14:paraId="0DD44A8E" w14:textId="77777777" w:rsidR="00586325" w:rsidRPr="00586325" w:rsidRDefault="00586325" w:rsidP="00586325">
      <w:pPr>
        <w:numPr>
          <w:ilvl w:val="0"/>
          <w:numId w:val="25"/>
        </w:numPr>
        <w:spacing w:after="0" w:line="360" w:lineRule="auto"/>
        <w:ind w:right="12"/>
      </w:pPr>
      <w:r w:rsidRPr="00586325">
        <w:t xml:space="preserve">The Movants make no secret of their intention: apply pressure to Insurers they contend are not fulsomely participating in the mediation process and are hiding behind the </w:t>
      </w:r>
      <w:r w:rsidRPr="00586325">
        <w:rPr>
          <w:rFonts w:ascii="Calibri" w:eastAsia="Calibri" w:hAnsi="Calibri" w:cs="Calibri"/>
          <w:sz w:val="22"/>
        </w:rPr>
        <w:t xml:space="preserve"> </w:t>
      </w:r>
    </w:p>
    <w:p w14:paraId="4FD6AB04" w14:textId="77777777" w:rsidR="00586325" w:rsidRPr="00586325" w:rsidRDefault="00586325" w:rsidP="00586325">
      <w:pPr>
        <w:spacing w:after="0" w:line="360" w:lineRule="auto"/>
        <w:ind w:left="21" w:right="12"/>
      </w:pPr>
      <w:r w:rsidRPr="00586325">
        <w:t xml:space="preserve">automatic stay to avoid complying with their obligations under the various policies providing coverage to the Debtor and Parishes.  Mediation, however, is only effective if </w:t>
      </w:r>
      <w:r w:rsidRPr="00586325">
        <w:rPr>
          <w:u w:val="single" w:color="000000"/>
        </w:rPr>
        <w:t>all</w:t>
      </w:r>
      <w:r w:rsidRPr="00586325">
        <w:t xml:space="preserve"> parties are conscious of the strengths and weaknesses of their claims and defenses and the risks attendant to litigation so that they come to the process with reasonable expectations of potential outcomes and motivation to arrive at a mutually agreeable settlement of their claims.   </w:t>
      </w:r>
      <w:r w:rsidRPr="00586325">
        <w:rPr>
          <w:rFonts w:ascii="Calibri" w:eastAsia="Calibri" w:hAnsi="Calibri" w:cs="Calibri"/>
          <w:sz w:val="22"/>
        </w:rPr>
        <w:t xml:space="preserve"> </w:t>
      </w:r>
    </w:p>
    <w:p w14:paraId="796B9849" w14:textId="77777777" w:rsidR="00586325" w:rsidRPr="00586325" w:rsidRDefault="00586325" w:rsidP="00586325">
      <w:pPr>
        <w:numPr>
          <w:ilvl w:val="0"/>
          <w:numId w:val="25"/>
        </w:numPr>
        <w:spacing w:after="0" w:line="360" w:lineRule="auto"/>
        <w:ind w:right="12"/>
      </w:pPr>
      <w:r w:rsidRPr="00586325">
        <w:t xml:space="preserve">To the extent that Movants’ cases are not representative of the pending CVA Actions, all parties are deprived of the opportunity for true bellwether cases </w:t>
      </w:r>
      <w:proofErr w:type="gramStart"/>
      <w:r w:rsidRPr="00586325">
        <w:t>be</w:t>
      </w:r>
      <w:proofErr w:type="gramEnd"/>
      <w:r w:rsidRPr="00586325">
        <w:t xml:space="preserve"> objectively assessed through the litigation process.   Absent a showing that Movants’ CVA Actions are representative of at least a substantial number, if not a majority, of pending CVA Actions, their requested relief should be denied.  </w:t>
      </w:r>
      <w:r w:rsidRPr="00586325">
        <w:rPr>
          <w:rFonts w:ascii="Calibri" w:eastAsia="Calibri" w:hAnsi="Calibri" w:cs="Calibri"/>
          <w:sz w:val="22"/>
        </w:rPr>
        <w:t xml:space="preserve"> </w:t>
      </w:r>
    </w:p>
    <w:p w14:paraId="2FBE0E93" w14:textId="77777777" w:rsidR="00586325" w:rsidRPr="00586325" w:rsidRDefault="00586325" w:rsidP="00586325">
      <w:pPr>
        <w:keepNext/>
        <w:keepLines/>
        <w:spacing w:after="98" w:line="259" w:lineRule="auto"/>
        <w:ind w:left="12" w:right="4"/>
        <w:jc w:val="center"/>
        <w:outlineLvl w:val="0"/>
        <w:rPr>
          <w:rFonts w:eastAsia="Calibri"/>
          <w:b/>
          <w:bCs/>
          <w:color w:val="0F4761"/>
        </w:rPr>
      </w:pPr>
      <w:r w:rsidRPr="00586325">
        <w:rPr>
          <w:rFonts w:eastAsia="Calibri"/>
          <w:b/>
          <w:bCs/>
          <w:color w:val="0F4761"/>
        </w:rPr>
        <w:t xml:space="preserve">CONCLUSION  </w:t>
      </w:r>
    </w:p>
    <w:p w14:paraId="2941E02A" w14:textId="77777777" w:rsidR="00586325" w:rsidRPr="00586325" w:rsidRDefault="00586325" w:rsidP="00586325">
      <w:pPr>
        <w:spacing w:after="253" w:line="265" w:lineRule="auto"/>
        <w:ind w:left="10" w:right="124"/>
        <w:jc w:val="right"/>
      </w:pPr>
      <w:r w:rsidRPr="00586325">
        <w:rPr>
          <w:b/>
        </w:rPr>
        <w:t>WHEREFORE</w:t>
      </w:r>
      <w:r w:rsidRPr="00586325">
        <w:t xml:space="preserve">, the Debtor respectfully requests that the Court enter orders denying the </w:t>
      </w:r>
      <w:r w:rsidRPr="00586325">
        <w:rPr>
          <w:rFonts w:ascii="Calibri" w:eastAsia="Calibri" w:hAnsi="Calibri" w:cs="Calibri"/>
          <w:sz w:val="22"/>
        </w:rPr>
        <w:t xml:space="preserve"> </w:t>
      </w:r>
    </w:p>
    <w:p w14:paraId="5F417F07" w14:textId="77777777" w:rsidR="00586325" w:rsidRPr="00586325" w:rsidRDefault="00586325" w:rsidP="00586325">
      <w:pPr>
        <w:spacing w:after="13" w:line="259" w:lineRule="auto"/>
        <w:ind w:left="21" w:right="12"/>
      </w:pPr>
      <w:r w:rsidRPr="00586325">
        <w:t xml:space="preserve">Stay Relief </w:t>
      </w:r>
      <w:proofErr w:type="gramStart"/>
      <w:r w:rsidRPr="00586325">
        <w:t>Motions, and</w:t>
      </w:r>
      <w:proofErr w:type="gramEnd"/>
      <w:r w:rsidRPr="00586325">
        <w:t xml:space="preserve"> granting such other relief as the Court deems just and proper. </w:t>
      </w:r>
      <w:r w:rsidRPr="00586325">
        <w:rPr>
          <w:rFonts w:ascii="Calibri" w:eastAsia="Calibri" w:hAnsi="Calibri" w:cs="Calibri"/>
          <w:sz w:val="22"/>
        </w:rPr>
        <w:t xml:space="preserve"> </w:t>
      </w:r>
    </w:p>
    <w:p w14:paraId="6EB30C3A" w14:textId="77777777" w:rsidR="00586325" w:rsidRPr="00586325" w:rsidRDefault="00586325" w:rsidP="00586325">
      <w:pPr>
        <w:spacing w:after="13" w:line="289" w:lineRule="auto"/>
        <w:ind w:left="21" w:right="12"/>
      </w:pPr>
      <w:r w:rsidRPr="00586325">
        <w:lastRenderedPageBreak/>
        <w:t xml:space="preserve">Dated: January 22, </w:t>
      </w:r>
      <w:proofErr w:type="gramStart"/>
      <w:r w:rsidRPr="00586325">
        <w:t xml:space="preserve">2025 </w:t>
      </w:r>
      <w:r w:rsidRPr="00586325">
        <w:rPr>
          <w:rFonts w:ascii="Calibri" w:eastAsia="Calibri" w:hAnsi="Calibri" w:cs="Calibri"/>
          <w:sz w:val="22"/>
        </w:rPr>
        <w:t xml:space="preserve"> </w:t>
      </w:r>
      <w:r w:rsidRPr="00586325">
        <w:rPr>
          <w:rFonts w:ascii="Calibri" w:eastAsia="Calibri" w:hAnsi="Calibri" w:cs="Calibri"/>
          <w:sz w:val="22"/>
        </w:rPr>
        <w:tab/>
      </w:r>
      <w:proofErr w:type="gramEnd"/>
      <w:r w:rsidRPr="00586325">
        <w:rPr>
          <w:rFonts w:ascii="Calibri" w:eastAsia="Calibri" w:hAnsi="Calibri" w:cs="Calibri"/>
          <w:sz w:val="22"/>
        </w:rPr>
        <w:t xml:space="preserve"> </w:t>
      </w:r>
      <w:r w:rsidRPr="00586325">
        <w:rPr>
          <w:rFonts w:ascii="Calibri" w:eastAsia="Calibri" w:hAnsi="Calibri" w:cs="Calibri"/>
          <w:sz w:val="22"/>
        </w:rPr>
        <w:tab/>
        <w:t xml:space="preserve"> </w:t>
      </w:r>
      <w:r w:rsidRPr="00586325">
        <w:rPr>
          <w:rFonts w:ascii="Calibri" w:eastAsia="Calibri" w:hAnsi="Calibri" w:cs="Calibri"/>
          <w:sz w:val="22"/>
        </w:rPr>
        <w:tab/>
      </w:r>
      <w:r w:rsidRPr="00586325">
        <w:rPr>
          <w:b/>
        </w:rPr>
        <w:t>WHITEMAN OSTERMAN &amp; HANNA LLP</w:t>
      </w:r>
      <w:r w:rsidRPr="00586325">
        <w:t xml:space="preserve"> </w:t>
      </w:r>
      <w:r w:rsidRPr="00586325">
        <w:rPr>
          <w:rFonts w:ascii="Calibri" w:eastAsia="Calibri" w:hAnsi="Calibri" w:cs="Calibri"/>
          <w:sz w:val="22"/>
        </w:rPr>
        <w:t xml:space="preserve"> </w:t>
      </w:r>
      <w:r w:rsidRPr="00586325">
        <w:t xml:space="preserve">  </w:t>
      </w:r>
      <w:r w:rsidRPr="00586325">
        <w:tab/>
        <w:t xml:space="preserve">Albany, New York </w:t>
      </w:r>
      <w:r w:rsidRPr="00586325">
        <w:rPr>
          <w:rFonts w:ascii="Calibri" w:eastAsia="Calibri" w:hAnsi="Calibri" w:cs="Calibri"/>
          <w:sz w:val="22"/>
        </w:rPr>
        <w:t xml:space="preserve"> </w:t>
      </w:r>
    </w:p>
    <w:p w14:paraId="65E9015B" w14:textId="77777777" w:rsidR="00586325" w:rsidRPr="00586325" w:rsidRDefault="00586325" w:rsidP="00586325">
      <w:pPr>
        <w:spacing w:after="13" w:line="302" w:lineRule="auto"/>
        <w:ind w:left="21" w:right="1152"/>
      </w:pPr>
      <w:r w:rsidRPr="00586325">
        <w:t xml:space="preserve"> </w:t>
      </w:r>
      <w:r w:rsidRPr="00586325">
        <w:rPr>
          <w:rFonts w:ascii="Calibri" w:eastAsia="Calibri" w:hAnsi="Calibri" w:cs="Calibri"/>
          <w:sz w:val="22"/>
        </w:rPr>
        <w:t xml:space="preserve"> </w:t>
      </w:r>
      <w:r w:rsidRPr="00586325">
        <w:rPr>
          <w:rFonts w:ascii="Calibri" w:eastAsia="Calibri" w:hAnsi="Calibri" w:cs="Calibri"/>
          <w:sz w:val="22"/>
        </w:rPr>
        <w:tab/>
        <w:t xml:space="preserve"> </w:t>
      </w:r>
      <w:r w:rsidRPr="00586325">
        <w:rPr>
          <w:rFonts w:ascii="Calibri" w:eastAsia="Calibri" w:hAnsi="Calibri" w:cs="Calibri"/>
          <w:sz w:val="22"/>
        </w:rPr>
        <w:tab/>
        <w:t xml:space="preserve"> </w:t>
      </w:r>
      <w:r w:rsidRPr="00586325">
        <w:rPr>
          <w:rFonts w:ascii="Calibri" w:eastAsia="Calibri" w:hAnsi="Calibri" w:cs="Calibri"/>
          <w:sz w:val="22"/>
        </w:rPr>
        <w:tab/>
      </w:r>
      <w:r w:rsidRPr="00586325">
        <w:t>By: _</w:t>
      </w:r>
      <w:r w:rsidRPr="00586325">
        <w:rPr>
          <w:i/>
          <w:u w:val="single" w:color="000000"/>
        </w:rPr>
        <w:t xml:space="preserve">/s/Francis J. </w:t>
      </w:r>
      <w:proofErr w:type="gramStart"/>
      <w:r w:rsidRPr="00586325">
        <w:rPr>
          <w:i/>
          <w:u w:val="single" w:color="000000"/>
        </w:rPr>
        <w:t>Brennan</w:t>
      </w:r>
      <w:r w:rsidRPr="00586325">
        <w:t>__</w:t>
      </w:r>
      <w:proofErr w:type="gramEnd"/>
      <w:r w:rsidRPr="00586325">
        <w:t>_</w:t>
      </w:r>
      <w:proofErr w:type="gramStart"/>
      <w:r w:rsidRPr="00586325">
        <w:t xml:space="preserve">_ </w:t>
      </w:r>
      <w:r w:rsidRPr="00586325">
        <w:rPr>
          <w:rFonts w:ascii="Calibri" w:eastAsia="Calibri" w:hAnsi="Calibri" w:cs="Calibri"/>
          <w:sz w:val="22"/>
        </w:rPr>
        <w:t xml:space="preserve"> </w:t>
      </w:r>
      <w:r w:rsidRPr="00586325">
        <w:t xml:space="preserve"> </w:t>
      </w:r>
      <w:r w:rsidRPr="00586325">
        <w:rPr>
          <w:rFonts w:ascii="Calibri" w:eastAsia="Calibri" w:hAnsi="Calibri" w:cs="Calibri"/>
          <w:sz w:val="22"/>
        </w:rPr>
        <w:t xml:space="preserve"> </w:t>
      </w:r>
      <w:r w:rsidRPr="00586325">
        <w:rPr>
          <w:rFonts w:ascii="Calibri" w:eastAsia="Calibri" w:hAnsi="Calibri" w:cs="Calibri"/>
          <w:sz w:val="22"/>
        </w:rPr>
        <w:tab/>
        <w:t xml:space="preserve"> </w:t>
      </w:r>
      <w:r w:rsidRPr="00586325">
        <w:rPr>
          <w:rFonts w:ascii="Calibri" w:eastAsia="Calibri" w:hAnsi="Calibri" w:cs="Calibri"/>
          <w:sz w:val="22"/>
        </w:rPr>
        <w:tab/>
        <w:t xml:space="preserve"> </w:t>
      </w:r>
      <w:r w:rsidRPr="00586325">
        <w:rPr>
          <w:rFonts w:ascii="Calibri" w:eastAsia="Calibri" w:hAnsi="Calibri" w:cs="Calibri"/>
          <w:sz w:val="22"/>
        </w:rPr>
        <w:tab/>
      </w:r>
      <w:r w:rsidRPr="00586325">
        <w:t>Francis</w:t>
      </w:r>
      <w:proofErr w:type="gramEnd"/>
      <w:r w:rsidRPr="00586325">
        <w:t xml:space="preserve"> J. Brennan, Esq.  </w:t>
      </w:r>
      <w:r w:rsidRPr="00586325">
        <w:rPr>
          <w:rFonts w:ascii="Calibri" w:eastAsia="Calibri" w:hAnsi="Calibri" w:cs="Calibri"/>
          <w:sz w:val="22"/>
        </w:rPr>
        <w:t xml:space="preserve"> </w:t>
      </w:r>
    </w:p>
    <w:p w14:paraId="36E5FCAA" w14:textId="77777777" w:rsidR="00586325" w:rsidRPr="00586325" w:rsidRDefault="00586325" w:rsidP="00586325">
      <w:pPr>
        <w:tabs>
          <w:tab w:val="center" w:pos="2895"/>
          <w:tab w:val="center" w:pos="3615"/>
          <w:tab w:val="center" w:pos="5554"/>
        </w:tabs>
        <w:spacing w:after="48" w:line="259" w:lineRule="auto"/>
        <w:ind w:left="0" w:firstLine="0"/>
        <w:jc w:val="left"/>
      </w:pPr>
      <w:r w:rsidRPr="00586325">
        <w:t xml:space="preserve"> </w:t>
      </w:r>
      <w:r w:rsidRPr="00586325">
        <w:rPr>
          <w:rFonts w:ascii="Calibri" w:eastAsia="Calibri" w:hAnsi="Calibri" w:cs="Calibri"/>
          <w:sz w:val="22"/>
        </w:rPr>
        <w:t xml:space="preserve"> </w:t>
      </w:r>
      <w:r w:rsidRPr="00586325">
        <w:rPr>
          <w:rFonts w:ascii="Calibri" w:eastAsia="Calibri" w:hAnsi="Calibri" w:cs="Calibri"/>
          <w:sz w:val="22"/>
        </w:rPr>
        <w:tab/>
        <w:t xml:space="preserve"> </w:t>
      </w:r>
      <w:r w:rsidRPr="00586325">
        <w:rPr>
          <w:rFonts w:ascii="Calibri" w:eastAsia="Calibri" w:hAnsi="Calibri" w:cs="Calibri"/>
          <w:sz w:val="22"/>
        </w:rPr>
        <w:tab/>
        <w:t xml:space="preserve"> </w:t>
      </w:r>
      <w:r w:rsidRPr="00586325">
        <w:rPr>
          <w:rFonts w:ascii="Calibri" w:eastAsia="Calibri" w:hAnsi="Calibri" w:cs="Calibri"/>
          <w:sz w:val="22"/>
        </w:rPr>
        <w:tab/>
      </w:r>
      <w:r w:rsidRPr="00586325">
        <w:t xml:space="preserve">Matthew M. Zapala, Esq.  </w:t>
      </w:r>
      <w:r w:rsidRPr="00586325">
        <w:rPr>
          <w:rFonts w:ascii="Calibri" w:eastAsia="Calibri" w:hAnsi="Calibri" w:cs="Calibri"/>
          <w:sz w:val="22"/>
        </w:rPr>
        <w:t xml:space="preserve"> </w:t>
      </w:r>
    </w:p>
    <w:p w14:paraId="301AE238" w14:textId="77777777" w:rsidR="00586325" w:rsidRPr="00586325" w:rsidRDefault="00586325" w:rsidP="00586325">
      <w:pPr>
        <w:tabs>
          <w:tab w:val="center" w:pos="2895"/>
          <w:tab w:val="center" w:pos="3615"/>
          <w:tab w:val="center" w:pos="5564"/>
        </w:tabs>
        <w:spacing w:after="69" w:line="259" w:lineRule="auto"/>
        <w:ind w:left="0" w:firstLine="0"/>
        <w:jc w:val="left"/>
      </w:pPr>
      <w:r w:rsidRPr="00586325">
        <w:t xml:space="preserve"> </w:t>
      </w:r>
      <w:r w:rsidRPr="00586325">
        <w:rPr>
          <w:rFonts w:ascii="Calibri" w:eastAsia="Calibri" w:hAnsi="Calibri" w:cs="Calibri"/>
          <w:sz w:val="22"/>
        </w:rPr>
        <w:t xml:space="preserve"> </w:t>
      </w:r>
      <w:r w:rsidRPr="00586325">
        <w:rPr>
          <w:rFonts w:ascii="Calibri" w:eastAsia="Calibri" w:hAnsi="Calibri" w:cs="Calibri"/>
          <w:sz w:val="22"/>
        </w:rPr>
        <w:tab/>
        <w:t xml:space="preserve"> </w:t>
      </w:r>
      <w:r w:rsidRPr="00586325">
        <w:rPr>
          <w:rFonts w:ascii="Calibri" w:eastAsia="Calibri" w:hAnsi="Calibri" w:cs="Calibri"/>
          <w:sz w:val="22"/>
        </w:rPr>
        <w:tab/>
        <w:t xml:space="preserve"> </w:t>
      </w:r>
      <w:r w:rsidRPr="00586325">
        <w:rPr>
          <w:rFonts w:ascii="Calibri" w:eastAsia="Calibri" w:hAnsi="Calibri" w:cs="Calibri"/>
          <w:sz w:val="22"/>
        </w:rPr>
        <w:tab/>
      </w:r>
      <w:r w:rsidRPr="00586325">
        <w:t>80 State Street, 11</w:t>
      </w:r>
      <w:r w:rsidRPr="00586325">
        <w:rPr>
          <w:vertAlign w:val="superscript"/>
        </w:rPr>
        <w:t>th</w:t>
      </w:r>
      <w:r w:rsidRPr="00586325">
        <w:t xml:space="preserve"> Floor </w:t>
      </w:r>
      <w:r w:rsidRPr="00586325">
        <w:rPr>
          <w:rFonts w:ascii="Calibri" w:eastAsia="Calibri" w:hAnsi="Calibri" w:cs="Calibri"/>
          <w:sz w:val="22"/>
        </w:rPr>
        <w:t xml:space="preserve"> </w:t>
      </w:r>
    </w:p>
    <w:p w14:paraId="12655DBB" w14:textId="77777777" w:rsidR="00586325" w:rsidRPr="00586325" w:rsidRDefault="00586325" w:rsidP="00586325">
      <w:pPr>
        <w:spacing w:after="106" w:line="300" w:lineRule="auto"/>
        <w:ind w:left="31" w:right="1975"/>
        <w:jc w:val="left"/>
      </w:pPr>
      <w:r w:rsidRPr="00586325">
        <w:t xml:space="preserve"> </w:t>
      </w:r>
      <w:r w:rsidRPr="00586325">
        <w:rPr>
          <w:rFonts w:ascii="Calibri" w:eastAsia="Calibri" w:hAnsi="Calibri" w:cs="Calibri"/>
          <w:sz w:val="22"/>
        </w:rPr>
        <w:t xml:space="preserve"> </w:t>
      </w:r>
      <w:r w:rsidRPr="00586325">
        <w:rPr>
          <w:rFonts w:ascii="Calibri" w:eastAsia="Calibri" w:hAnsi="Calibri" w:cs="Calibri"/>
          <w:sz w:val="22"/>
        </w:rPr>
        <w:tab/>
        <w:t xml:space="preserve"> </w:t>
      </w:r>
      <w:r w:rsidRPr="00586325">
        <w:rPr>
          <w:rFonts w:ascii="Calibri" w:eastAsia="Calibri" w:hAnsi="Calibri" w:cs="Calibri"/>
          <w:sz w:val="22"/>
        </w:rPr>
        <w:tab/>
        <w:t xml:space="preserve"> </w:t>
      </w:r>
      <w:r w:rsidRPr="00586325">
        <w:rPr>
          <w:rFonts w:ascii="Calibri" w:eastAsia="Calibri" w:hAnsi="Calibri" w:cs="Calibri"/>
          <w:sz w:val="22"/>
        </w:rPr>
        <w:tab/>
      </w:r>
      <w:r w:rsidRPr="00586325">
        <w:t xml:space="preserve">Albany, New York 12207 </w:t>
      </w:r>
      <w:r w:rsidRPr="00586325">
        <w:rPr>
          <w:rFonts w:ascii="Calibri" w:eastAsia="Calibri" w:hAnsi="Calibri" w:cs="Calibri"/>
          <w:sz w:val="22"/>
        </w:rPr>
        <w:t xml:space="preserve"> </w:t>
      </w:r>
      <w:r w:rsidRPr="00586325">
        <w:t xml:space="preserve"> </w:t>
      </w:r>
      <w:r w:rsidRPr="00586325">
        <w:rPr>
          <w:rFonts w:ascii="Calibri" w:eastAsia="Calibri" w:hAnsi="Calibri" w:cs="Calibri"/>
          <w:sz w:val="22"/>
        </w:rPr>
        <w:t xml:space="preserve"> </w:t>
      </w:r>
      <w:r w:rsidRPr="00586325">
        <w:rPr>
          <w:rFonts w:ascii="Calibri" w:eastAsia="Calibri" w:hAnsi="Calibri" w:cs="Calibri"/>
          <w:sz w:val="22"/>
        </w:rPr>
        <w:tab/>
        <w:t xml:space="preserve"> </w:t>
      </w:r>
      <w:r w:rsidRPr="00586325">
        <w:rPr>
          <w:rFonts w:ascii="Calibri" w:eastAsia="Calibri" w:hAnsi="Calibri" w:cs="Calibri"/>
          <w:sz w:val="22"/>
        </w:rPr>
        <w:tab/>
        <w:t xml:space="preserve"> </w:t>
      </w:r>
      <w:r w:rsidRPr="00586325">
        <w:rPr>
          <w:rFonts w:ascii="Calibri" w:eastAsia="Calibri" w:hAnsi="Calibri" w:cs="Calibri"/>
          <w:sz w:val="22"/>
        </w:rPr>
        <w:tab/>
      </w:r>
      <w:r w:rsidRPr="00586325">
        <w:t xml:space="preserve">(518) 487-7600 </w:t>
      </w:r>
      <w:r w:rsidRPr="00586325">
        <w:rPr>
          <w:rFonts w:ascii="Calibri" w:eastAsia="Calibri" w:hAnsi="Calibri" w:cs="Calibri"/>
          <w:sz w:val="22"/>
        </w:rPr>
        <w:t xml:space="preserve"> </w:t>
      </w:r>
      <w:r w:rsidRPr="00586325">
        <w:t xml:space="preserve"> </w:t>
      </w:r>
      <w:r w:rsidRPr="00586325">
        <w:rPr>
          <w:rFonts w:ascii="Calibri" w:eastAsia="Calibri" w:hAnsi="Calibri" w:cs="Calibri"/>
          <w:sz w:val="22"/>
        </w:rPr>
        <w:t xml:space="preserve"> </w:t>
      </w:r>
      <w:r w:rsidRPr="00586325">
        <w:rPr>
          <w:rFonts w:ascii="Calibri" w:eastAsia="Calibri" w:hAnsi="Calibri" w:cs="Calibri"/>
          <w:sz w:val="22"/>
        </w:rPr>
        <w:tab/>
        <w:t xml:space="preserve"> </w:t>
      </w:r>
      <w:r w:rsidRPr="00586325">
        <w:rPr>
          <w:rFonts w:ascii="Calibri" w:eastAsia="Calibri" w:hAnsi="Calibri" w:cs="Calibri"/>
          <w:sz w:val="22"/>
        </w:rPr>
        <w:tab/>
        <w:t xml:space="preserve"> </w:t>
      </w:r>
      <w:r w:rsidRPr="00586325">
        <w:rPr>
          <w:rFonts w:ascii="Calibri" w:eastAsia="Calibri" w:hAnsi="Calibri" w:cs="Calibri"/>
          <w:sz w:val="22"/>
        </w:rPr>
        <w:tab/>
      </w:r>
      <w:r w:rsidRPr="00586325">
        <w:rPr>
          <w:color w:val="0563C1"/>
          <w:u w:val="single" w:color="0563C1"/>
        </w:rPr>
        <w:t>fbrennan@woh.com</w:t>
      </w:r>
      <w:r w:rsidRPr="00586325">
        <w:t xml:space="preserve">  </w:t>
      </w:r>
      <w:r w:rsidRPr="00586325">
        <w:rPr>
          <w:rFonts w:ascii="Calibri" w:eastAsia="Calibri" w:hAnsi="Calibri" w:cs="Calibri"/>
          <w:sz w:val="22"/>
        </w:rPr>
        <w:t xml:space="preserve"> </w:t>
      </w:r>
      <w:r w:rsidRPr="00586325">
        <w:rPr>
          <w:sz w:val="22"/>
        </w:rPr>
        <w:t xml:space="preserve">  </w:t>
      </w:r>
      <w:proofErr w:type="gramStart"/>
      <w:r w:rsidRPr="00586325">
        <w:rPr>
          <w:sz w:val="22"/>
        </w:rPr>
        <w:tab/>
        <w:t xml:space="preserve">  </w:t>
      </w:r>
      <w:r w:rsidRPr="00586325">
        <w:rPr>
          <w:sz w:val="22"/>
        </w:rPr>
        <w:tab/>
      </w:r>
      <w:proofErr w:type="gramEnd"/>
      <w:r w:rsidRPr="00586325">
        <w:rPr>
          <w:sz w:val="22"/>
        </w:rPr>
        <w:t xml:space="preserve">  </w:t>
      </w:r>
      <w:proofErr w:type="gramStart"/>
      <w:r w:rsidRPr="00586325">
        <w:rPr>
          <w:sz w:val="22"/>
        </w:rPr>
        <w:tab/>
        <w:t xml:space="preserve"> </w:t>
      </w:r>
      <w:r w:rsidRPr="00586325">
        <w:rPr>
          <w:rFonts w:ascii="Calibri" w:eastAsia="Calibri" w:hAnsi="Calibri" w:cs="Calibri"/>
          <w:sz w:val="22"/>
        </w:rPr>
        <w:t xml:space="preserve"> </w:t>
      </w:r>
      <w:r w:rsidRPr="00586325">
        <w:rPr>
          <w:rFonts w:ascii="Calibri" w:eastAsia="Calibri" w:hAnsi="Calibri" w:cs="Calibri"/>
          <w:sz w:val="22"/>
        </w:rPr>
        <w:tab/>
      </w:r>
      <w:proofErr w:type="gramEnd"/>
      <w:r w:rsidRPr="00586325">
        <w:rPr>
          <w:sz w:val="22"/>
        </w:rPr>
        <w:t xml:space="preserve"> </w:t>
      </w:r>
      <w:r w:rsidRPr="00586325">
        <w:rPr>
          <w:rFonts w:ascii="Calibri" w:eastAsia="Calibri" w:hAnsi="Calibri" w:cs="Calibri"/>
          <w:sz w:val="22"/>
        </w:rPr>
        <w:t xml:space="preserve"> </w:t>
      </w:r>
      <w:proofErr w:type="gramStart"/>
      <w:r w:rsidRPr="00586325">
        <w:rPr>
          <w:rFonts w:ascii="Calibri" w:eastAsia="Calibri" w:hAnsi="Calibri" w:cs="Calibri"/>
          <w:sz w:val="22"/>
        </w:rPr>
        <w:tab/>
      </w:r>
      <w:r w:rsidRPr="00586325">
        <w:rPr>
          <w:sz w:val="22"/>
        </w:rPr>
        <w:t xml:space="preserve"> </w:t>
      </w:r>
      <w:r w:rsidRPr="00586325">
        <w:rPr>
          <w:rFonts w:ascii="Calibri" w:eastAsia="Calibri" w:hAnsi="Calibri" w:cs="Calibri"/>
          <w:sz w:val="22"/>
        </w:rPr>
        <w:t xml:space="preserve"> </w:t>
      </w:r>
      <w:r w:rsidRPr="00586325">
        <w:rPr>
          <w:rFonts w:ascii="Calibri" w:eastAsia="Calibri" w:hAnsi="Calibri" w:cs="Calibri"/>
          <w:sz w:val="22"/>
        </w:rPr>
        <w:tab/>
      </w:r>
      <w:proofErr w:type="gramEnd"/>
      <w:r w:rsidRPr="00586325">
        <w:rPr>
          <w:color w:val="0563C1"/>
          <w:sz w:val="22"/>
          <w:u w:val="single" w:color="0563C1"/>
        </w:rPr>
        <w:t>mzapala@woh.com</w:t>
      </w:r>
      <w:r w:rsidRPr="00586325">
        <w:t xml:space="preserve"> </w:t>
      </w:r>
      <w:r w:rsidRPr="00586325">
        <w:rPr>
          <w:rFonts w:ascii="Calibri" w:eastAsia="Calibri" w:hAnsi="Calibri" w:cs="Calibri"/>
          <w:sz w:val="22"/>
        </w:rPr>
        <w:t xml:space="preserve"> </w:t>
      </w:r>
    </w:p>
    <w:p w14:paraId="55C98B2D" w14:textId="77777777" w:rsidR="00586325" w:rsidRPr="00586325" w:rsidRDefault="00586325" w:rsidP="00586325">
      <w:pPr>
        <w:tabs>
          <w:tab w:val="center" w:pos="2895"/>
          <w:tab w:val="center" w:pos="3615"/>
          <w:tab w:val="center" w:pos="5922"/>
        </w:tabs>
        <w:spacing w:after="15" w:line="259" w:lineRule="auto"/>
        <w:ind w:left="0" w:firstLine="0"/>
        <w:jc w:val="left"/>
      </w:pPr>
      <w:r w:rsidRPr="00586325">
        <w:rPr>
          <w:rFonts w:ascii="Calibri" w:eastAsia="Calibri" w:hAnsi="Calibri" w:cs="Calibri"/>
          <w:sz w:val="22"/>
        </w:rPr>
        <w:tab/>
      </w:r>
      <w:r w:rsidRPr="00586325">
        <w:t xml:space="preserve"> </w:t>
      </w:r>
      <w:r w:rsidRPr="00586325">
        <w:rPr>
          <w:rFonts w:ascii="Calibri" w:eastAsia="Calibri" w:hAnsi="Calibri" w:cs="Calibri"/>
          <w:sz w:val="22"/>
        </w:rPr>
        <w:t xml:space="preserve"> </w:t>
      </w:r>
      <w:r w:rsidRPr="00586325">
        <w:rPr>
          <w:rFonts w:ascii="Calibri" w:eastAsia="Calibri" w:hAnsi="Calibri" w:cs="Calibri"/>
          <w:sz w:val="22"/>
        </w:rPr>
        <w:tab/>
      </w:r>
      <w:r w:rsidRPr="00586325">
        <w:t xml:space="preserve"> </w:t>
      </w:r>
      <w:r w:rsidRPr="00586325">
        <w:rPr>
          <w:rFonts w:ascii="Calibri" w:eastAsia="Calibri" w:hAnsi="Calibri" w:cs="Calibri"/>
          <w:sz w:val="22"/>
        </w:rPr>
        <w:t xml:space="preserve"> </w:t>
      </w:r>
      <w:r w:rsidRPr="00586325">
        <w:rPr>
          <w:rFonts w:ascii="Calibri" w:eastAsia="Calibri" w:hAnsi="Calibri" w:cs="Calibri"/>
          <w:sz w:val="22"/>
        </w:rPr>
        <w:tab/>
      </w:r>
      <w:r w:rsidRPr="00586325">
        <w:rPr>
          <w:i/>
        </w:rPr>
        <w:t xml:space="preserve">Counsel for The Roman Catholic  </w:t>
      </w:r>
    </w:p>
    <w:p w14:paraId="2FED18B0" w14:textId="77777777" w:rsidR="00586325" w:rsidRPr="00586325" w:rsidRDefault="00586325" w:rsidP="00586325">
      <w:pPr>
        <w:tabs>
          <w:tab w:val="center" w:pos="734"/>
          <w:tab w:val="center" w:pos="1454"/>
          <w:tab w:val="center" w:pos="2174"/>
          <w:tab w:val="center" w:pos="5725"/>
        </w:tabs>
        <w:spacing w:after="78" w:line="259" w:lineRule="auto"/>
        <w:ind w:left="-1" w:firstLine="0"/>
        <w:jc w:val="left"/>
      </w:pPr>
      <w:r w:rsidRPr="00586325">
        <w:rPr>
          <w:sz w:val="37"/>
          <w:vertAlign w:val="superscript"/>
        </w:rPr>
        <w:t xml:space="preserve">    </w:t>
      </w:r>
      <w:r w:rsidRPr="00586325">
        <w:rPr>
          <w:sz w:val="37"/>
          <w:vertAlign w:val="superscript"/>
        </w:rPr>
        <w:tab/>
        <w:t xml:space="preserve">  </w:t>
      </w:r>
      <w:r w:rsidRPr="00586325">
        <w:rPr>
          <w:sz w:val="37"/>
          <w:vertAlign w:val="superscript"/>
        </w:rPr>
        <w:tab/>
        <w:t xml:space="preserve">  </w:t>
      </w:r>
      <w:r w:rsidRPr="00586325">
        <w:rPr>
          <w:sz w:val="37"/>
          <w:vertAlign w:val="superscript"/>
        </w:rPr>
        <w:tab/>
        <w:t xml:space="preserve"> </w:t>
      </w:r>
      <w:r w:rsidRPr="00586325">
        <w:rPr>
          <w:rFonts w:ascii="Calibri" w:eastAsia="Calibri" w:hAnsi="Calibri" w:cs="Calibri"/>
          <w:sz w:val="34"/>
          <w:vertAlign w:val="superscript"/>
        </w:rPr>
        <w:t xml:space="preserve"> </w:t>
      </w:r>
      <w:r w:rsidRPr="00586325">
        <w:rPr>
          <w:rFonts w:ascii="Calibri" w:eastAsia="Calibri" w:hAnsi="Calibri" w:cs="Calibri"/>
          <w:sz w:val="34"/>
          <w:vertAlign w:val="superscript"/>
        </w:rPr>
        <w:tab/>
      </w:r>
      <w:r w:rsidRPr="00586325">
        <w:rPr>
          <w:i/>
        </w:rPr>
        <w:t xml:space="preserve">Diocese of Albany, New York </w:t>
      </w:r>
      <w:r w:rsidRPr="00586325">
        <w:rPr>
          <w:rFonts w:ascii="Calibri" w:eastAsia="Calibri" w:hAnsi="Calibri" w:cs="Calibri"/>
          <w:sz w:val="22"/>
        </w:rPr>
        <w:t xml:space="preserve"> </w:t>
      </w:r>
    </w:p>
    <w:p w14:paraId="35D8DB86" w14:textId="77777777" w:rsidR="00586325" w:rsidRPr="00586325" w:rsidRDefault="00586325" w:rsidP="00586325">
      <w:pPr>
        <w:spacing w:after="226" w:line="259" w:lineRule="auto"/>
        <w:ind w:left="14" w:firstLine="0"/>
        <w:jc w:val="left"/>
      </w:pPr>
      <w:r w:rsidRPr="00586325">
        <w:rPr>
          <w:b/>
        </w:rPr>
        <w:t xml:space="preserve"> </w:t>
      </w:r>
      <w:r w:rsidRPr="00586325">
        <w:rPr>
          <w:rFonts w:ascii="Calibri" w:eastAsia="Calibri" w:hAnsi="Calibri" w:cs="Calibri"/>
          <w:sz w:val="22"/>
        </w:rPr>
        <w:t xml:space="preserve"> </w:t>
      </w:r>
    </w:p>
    <w:p w14:paraId="5B6A7760" w14:textId="77777777" w:rsidR="00586325" w:rsidRPr="00586325" w:rsidRDefault="00586325" w:rsidP="00586325">
      <w:pPr>
        <w:spacing w:after="0" w:line="259" w:lineRule="auto"/>
        <w:ind w:left="14" w:firstLine="0"/>
        <w:jc w:val="left"/>
      </w:pPr>
      <w:r w:rsidRPr="00586325">
        <w:rPr>
          <w:b/>
        </w:rPr>
        <w:t xml:space="preserve"> </w:t>
      </w:r>
      <w:r w:rsidRPr="00586325">
        <w:rPr>
          <w:rFonts w:ascii="Calibri" w:eastAsia="Calibri" w:hAnsi="Calibri" w:cs="Calibri"/>
          <w:sz w:val="22"/>
        </w:rPr>
        <w:t xml:space="preserve"> </w:t>
      </w:r>
    </w:p>
    <w:p w14:paraId="30FB82BB" w14:textId="77777777" w:rsidR="00586325" w:rsidRDefault="00586325" w:rsidP="00586325">
      <w:pPr>
        <w:spacing w:after="133" w:line="259" w:lineRule="auto"/>
        <w:ind w:left="10"/>
        <w:jc w:val="center"/>
        <w:rPr>
          <w:rFonts w:ascii="Calibri" w:eastAsia="Calibri" w:hAnsi="Calibri" w:cs="Calibri"/>
          <w:sz w:val="22"/>
        </w:rPr>
      </w:pPr>
    </w:p>
    <w:p w14:paraId="2B711F89" w14:textId="6146DE2D" w:rsidR="00586325" w:rsidRDefault="00586325" w:rsidP="00586325">
      <w:pPr>
        <w:spacing w:after="133" w:line="259" w:lineRule="auto"/>
        <w:ind w:left="10"/>
        <w:jc w:val="center"/>
        <w:rPr>
          <w:rFonts w:ascii="Calibri" w:eastAsia="Calibri" w:hAnsi="Calibri" w:cs="Calibri"/>
          <w:sz w:val="22"/>
        </w:rPr>
      </w:pPr>
      <w:r>
        <w:rPr>
          <w:rFonts w:ascii="Calibri" w:eastAsia="Calibri" w:hAnsi="Calibri" w:cs="Calibri"/>
          <w:sz w:val="22"/>
        </w:rPr>
        <w:t>__________________________________________________________________________________________________________________________________________________________________________</w:t>
      </w:r>
    </w:p>
    <w:p w14:paraId="3220BD03" w14:textId="77777777" w:rsidR="00586325" w:rsidRDefault="00586325" w:rsidP="00586325">
      <w:pPr>
        <w:spacing w:after="133" w:line="259" w:lineRule="auto"/>
        <w:ind w:left="10"/>
        <w:jc w:val="center"/>
        <w:rPr>
          <w:rFonts w:ascii="Calibri" w:eastAsia="Calibri" w:hAnsi="Calibri" w:cs="Calibri"/>
          <w:sz w:val="22"/>
        </w:rPr>
      </w:pPr>
    </w:p>
    <w:p w14:paraId="6EDBA78D" w14:textId="77777777" w:rsidR="00586325" w:rsidRPr="00586325" w:rsidRDefault="00586325" w:rsidP="00586325">
      <w:pPr>
        <w:spacing w:after="133" w:line="259" w:lineRule="auto"/>
        <w:ind w:left="10"/>
        <w:jc w:val="center"/>
      </w:pPr>
    </w:p>
    <w:p w14:paraId="27C96044" w14:textId="77777777" w:rsidR="00586325" w:rsidRPr="00586325" w:rsidRDefault="00586325" w:rsidP="00586325">
      <w:pPr>
        <w:spacing w:after="0" w:line="259" w:lineRule="auto"/>
        <w:ind w:left="14" w:firstLine="0"/>
        <w:jc w:val="left"/>
      </w:pPr>
      <w:r w:rsidRPr="00586325">
        <w:rPr>
          <w:rFonts w:ascii="Calibri" w:eastAsia="Calibri" w:hAnsi="Calibri" w:cs="Calibri"/>
          <w:sz w:val="22"/>
        </w:rPr>
        <w:t xml:space="preserve"> </w:t>
      </w:r>
    </w:p>
    <w:p w14:paraId="3C9BE856" w14:textId="77777777" w:rsidR="00586325" w:rsidRDefault="00586325">
      <w:pPr>
        <w:spacing w:after="3" w:line="265" w:lineRule="auto"/>
        <w:ind w:left="3412"/>
        <w:jc w:val="center"/>
      </w:pPr>
    </w:p>
    <w:sectPr w:rsidR="00586325">
      <w:headerReference w:type="even" r:id="rId7"/>
      <w:headerReference w:type="default" r:id="rId8"/>
      <w:footerReference w:type="even" r:id="rId9"/>
      <w:footerReference w:type="default" r:id="rId10"/>
      <w:headerReference w:type="first" r:id="rId11"/>
      <w:footerReference w:type="first" r:id="rId12"/>
      <w:pgSz w:w="12240" w:h="15840"/>
      <w:pgMar w:top="1444" w:right="1434" w:bottom="1445" w:left="1440" w:header="275"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B09C" w14:textId="77777777" w:rsidR="00EB307F" w:rsidRDefault="00EB307F">
      <w:pPr>
        <w:spacing w:after="0" w:line="240" w:lineRule="auto"/>
      </w:pPr>
      <w:r>
        <w:separator/>
      </w:r>
    </w:p>
  </w:endnote>
  <w:endnote w:type="continuationSeparator" w:id="0">
    <w:p w14:paraId="6A39E0C5" w14:textId="77777777" w:rsidR="00EB307F" w:rsidRDefault="00EB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6AB9" w14:textId="77777777" w:rsidR="00B223C1" w:rsidRDefault="00C95DC4">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28981739" w14:textId="77777777" w:rsidR="00B223C1" w:rsidRDefault="00C95DC4">
    <w:pPr>
      <w:spacing w:after="0" w:line="259" w:lineRule="auto"/>
      <w:ind w:left="0" w:firstLine="0"/>
      <w:jc w:val="left"/>
    </w:pPr>
    <w:r>
      <w:rPr>
        <w:sz w:val="16"/>
      </w:rPr>
      <w:t xml:space="preserve">CORE/3528080.0002/195183695.1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EE1F" w14:textId="77777777" w:rsidR="00B223C1" w:rsidRDefault="00C95DC4">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3A201ADE" w14:textId="77777777" w:rsidR="00B223C1" w:rsidRDefault="00C95DC4">
    <w:pPr>
      <w:spacing w:after="0" w:line="259" w:lineRule="auto"/>
      <w:ind w:left="0" w:firstLine="0"/>
      <w:jc w:val="left"/>
    </w:pPr>
    <w:r>
      <w:rPr>
        <w:sz w:val="16"/>
      </w:rPr>
      <w:t xml:space="preserve">CORE/3528080.0002/195183695.1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18D0" w14:textId="77777777" w:rsidR="00B223C1" w:rsidRDefault="00C95DC4">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32BFB5D6" w14:textId="77777777" w:rsidR="00B223C1" w:rsidRDefault="00C95DC4">
    <w:pPr>
      <w:spacing w:after="0" w:line="259" w:lineRule="auto"/>
      <w:ind w:left="0" w:firstLine="0"/>
      <w:jc w:val="left"/>
    </w:pPr>
    <w:r>
      <w:rPr>
        <w:sz w:val="16"/>
      </w:rPr>
      <w:t xml:space="preserve">CORE/3528080.0002/195183695.1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F4F0" w14:textId="77777777" w:rsidR="00EB307F" w:rsidRDefault="00EB307F">
      <w:pPr>
        <w:spacing w:after="230" w:line="245" w:lineRule="auto"/>
        <w:ind w:left="0" w:right="2" w:firstLine="0"/>
      </w:pPr>
      <w:r>
        <w:separator/>
      </w:r>
    </w:p>
  </w:footnote>
  <w:footnote w:type="continuationSeparator" w:id="0">
    <w:p w14:paraId="6F20BB68" w14:textId="77777777" w:rsidR="00EB307F" w:rsidRDefault="00EB307F">
      <w:pPr>
        <w:spacing w:after="230" w:line="245" w:lineRule="auto"/>
        <w:ind w:left="0" w:right="2" w:firstLine="0"/>
      </w:pPr>
      <w:r>
        <w:continuationSeparator/>
      </w:r>
    </w:p>
  </w:footnote>
  <w:footnote w:id="1">
    <w:p w14:paraId="42ADC222" w14:textId="77777777" w:rsidR="00B223C1" w:rsidRDefault="00C95DC4">
      <w:pPr>
        <w:pStyle w:val="footnotedescription"/>
        <w:spacing w:after="230" w:line="245" w:lineRule="auto"/>
        <w:ind w:right="2"/>
      </w:pPr>
      <w:r>
        <w:rPr>
          <w:rStyle w:val="footnotemark"/>
        </w:rPr>
        <w:footnoteRef/>
      </w:r>
      <w:r>
        <w:t xml:space="preserve"> </w:t>
      </w:r>
      <w:r>
        <w:rPr>
          <w:i/>
        </w:rPr>
        <w:t>See, e.g., In re The Diocese of Buffalo</w:t>
      </w:r>
      <w:r>
        <w:t xml:space="preserve">, No. 20-10322, </w:t>
      </w:r>
      <w:r>
        <w:rPr>
          <w:i/>
        </w:rPr>
        <w:t xml:space="preserve">Decision and Order </w:t>
      </w:r>
      <w:r>
        <w:t>[Docket No. 3345], at 6 (</w:t>
      </w:r>
      <w:proofErr w:type="spellStart"/>
      <w:r>
        <w:t>Bankr</w:t>
      </w:r>
      <w:proofErr w:type="spellEnd"/>
      <w:r>
        <w:t>. W.D.N.Y. Nov. 11, 2024) (“Almost three years have transpired since this case was first referred to mediation, and more than twenty-two months have passed since the appointment of a second co-mediator. Nonetheless, the parties have yet to report even a partial settlement of the outstanding disputes.”)</w:t>
      </w:r>
      <w:r>
        <w:rPr>
          <w:i/>
        </w:rPr>
        <w:t>.</w:t>
      </w:r>
    </w:p>
  </w:footnote>
  <w:footnote w:id="2">
    <w:p w14:paraId="1EFD6885" w14:textId="77777777" w:rsidR="00B223C1" w:rsidRDefault="00C95DC4">
      <w:pPr>
        <w:pStyle w:val="footnotedescription"/>
        <w:spacing w:after="1" w:line="242" w:lineRule="auto"/>
        <w:ind w:right="1"/>
      </w:pPr>
      <w:r>
        <w:rPr>
          <w:rStyle w:val="footnotemark"/>
        </w:rPr>
        <w:footnoteRef/>
      </w:r>
      <w:r>
        <w:t xml:space="preserve"> </w:t>
      </w:r>
      <w:r>
        <w:rPr>
          <w:i/>
        </w:rPr>
        <w:t>In re The Diocese of Buffalo</w:t>
      </w:r>
      <w:r>
        <w:t xml:space="preserve">, No. 20-10322, </w:t>
      </w:r>
      <w:r>
        <w:rPr>
          <w:i/>
        </w:rPr>
        <w:t xml:space="preserve">Decision and Order </w:t>
      </w:r>
      <w:r>
        <w:t>[Docket No. 3345], at 9 (</w:t>
      </w:r>
      <w:proofErr w:type="spellStart"/>
      <w:r>
        <w:t>Bankr</w:t>
      </w:r>
      <w:proofErr w:type="spellEnd"/>
      <w:r>
        <w:t>. W.D.N.Y. Nov. 11, 2024) (“[L]</w:t>
      </w:r>
      <w:proofErr w:type="spellStart"/>
      <w:r>
        <w:t>itigated</w:t>
      </w:r>
      <w:proofErr w:type="spellEnd"/>
      <w:r>
        <w:t xml:space="preserve"> disputes are often settled on the courthouse steps.  By pushing litigants closer to a trial of tort claims, we hope that the parties may better appreciate their risks and the benefits of a consensual plan.</w:t>
      </w:r>
      <w:proofErr w:type="gramStart"/>
      <w:r>
        <w:t>” )</w:t>
      </w:r>
      <w:proofErr w:type="gramEnd"/>
      <w:r>
        <w:t xml:space="preserve">; </w:t>
      </w:r>
      <w:r>
        <w:rPr>
          <w:i/>
        </w:rPr>
        <w:t>In re Roman Catholic Archbishop of Portland</w:t>
      </w:r>
      <w:r>
        <w:t>, 338 B.R. 414, 418 (</w:t>
      </w:r>
      <w:proofErr w:type="spellStart"/>
      <w:r>
        <w:t>Bankr</w:t>
      </w:r>
      <w:proofErr w:type="spellEnd"/>
      <w:r>
        <w:t>. D. Or. 2006) (“settlement efforts with respect to individual claims have been tried and have largely failed, it is time to move forward with the liquidation of the claims for distribution purposes</w:t>
      </w:r>
      <w:proofErr w:type="gramStart"/>
      <w:r>
        <w:t>. . . .</w:t>
      </w:r>
      <w:proofErr w:type="gramEnd"/>
      <w:r>
        <w:t xml:space="preserve"> Trying a few </w:t>
      </w:r>
      <w:r w:rsidRPr="009F6FCF">
        <w:rPr>
          <w:highlight w:val="yellow"/>
        </w:rPr>
        <w:t xml:space="preserve">of the claims will help solve that </w:t>
      </w:r>
      <w:proofErr w:type="gramStart"/>
      <w:r w:rsidRPr="009F6FCF">
        <w:rPr>
          <w:highlight w:val="yellow"/>
        </w:rPr>
        <w:t>problem, and</w:t>
      </w:r>
      <w:proofErr w:type="gramEnd"/>
      <w:r w:rsidRPr="009F6FCF">
        <w:rPr>
          <w:highlight w:val="yellow"/>
        </w:rPr>
        <w:t xml:space="preserve"> may cause some of the parties to reevaluate their position.”);</w:t>
      </w:r>
      <w:r>
        <w:t xml:space="preserve"> </w:t>
      </w:r>
      <w:r>
        <w:rPr>
          <w:i/>
        </w:rPr>
        <w:t>In re The Roman Catholic Bishop of San Diego</w:t>
      </w:r>
      <w:r>
        <w:t>, 374 B.R. 756, 762-64 (</w:t>
      </w:r>
      <w:proofErr w:type="spellStart"/>
      <w:r>
        <w:t>Bankr</w:t>
      </w:r>
      <w:proofErr w:type="spellEnd"/>
      <w:r>
        <w:t xml:space="preserve">. S.D. Cal. 2007). </w:t>
      </w:r>
      <w:r>
        <w:rPr>
          <w:i/>
        </w:rPr>
        <w:t>See also</w:t>
      </w:r>
    </w:p>
    <w:p w14:paraId="7A9F8BCE" w14:textId="77777777" w:rsidR="00B223C1" w:rsidRDefault="00C95DC4">
      <w:pPr>
        <w:pStyle w:val="footnotedescription"/>
        <w:spacing w:line="239" w:lineRule="auto"/>
      </w:pPr>
      <w:r>
        <w:rPr>
          <w:i/>
        </w:rPr>
        <w:t>Order Denying the Debtor’s Mot. for a Prelim. Inj.</w:t>
      </w:r>
      <w:r>
        <w:t xml:space="preserve">, </w:t>
      </w:r>
      <w:r>
        <w:rPr>
          <w:i/>
        </w:rPr>
        <w:t>Roman Cath. Diocese of Rockville Ctr. v. ARK 320 DOE (In re The Roman Cath. Diocese of Rockville Ctr.)</w:t>
      </w:r>
      <w:r>
        <w:t xml:space="preserve">, Ch. 11 Case No. 20-12345, Adv. No. 20-01226 </w:t>
      </w:r>
    </w:p>
  </w:footnote>
  <w:footnote w:id="3">
    <w:p w14:paraId="55C367B4" w14:textId="77777777" w:rsidR="00B223C1" w:rsidRDefault="00C95DC4">
      <w:pPr>
        <w:pStyle w:val="footnotedescription"/>
        <w:spacing w:line="245" w:lineRule="auto"/>
        <w:ind w:right="2"/>
      </w:pPr>
      <w:r>
        <w:rPr>
          <w:rStyle w:val="footnotemark"/>
        </w:rPr>
        <w:footnoteRef/>
      </w:r>
      <w:r>
        <w:t xml:space="preserve"> The Committee does not concede that the absence of cost to the Debtor is a dispositive factor in evaluating stay relief motions brought to recover estate </w:t>
      </w:r>
      <w:proofErr w:type="gramStart"/>
      <w:r>
        <w:t>assets, and</w:t>
      </w:r>
      <w:proofErr w:type="gramEnd"/>
      <w:r>
        <w:t xml:space="preserve"> reserves all rights to support any stay relief action brought where the Debtor may have to incur upfront costs. Here, the Committee believes that the approval of the limited relief sought will encourage the Stay Relief Insurers to meaningfully participate in the global mediation. The Committee remains willing to mediate during the pendency of any cases initiated </w:t>
      </w:r>
      <w:proofErr w:type="gramStart"/>
      <w:r>
        <w:t>as a result of</w:t>
      </w:r>
      <w:proofErr w:type="gramEnd"/>
      <w:r>
        <w:t xml:space="preserve"> approval of the Stay Relief Motions.  </w:t>
      </w:r>
    </w:p>
  </w:footnote>
  <w:footnote w:id="4">
    <w:p w14:paraId="446E469F" w14:textId="77777777" w:rsidR="00B223C1" w:rsidRDefault="00C95DC4">
      <w:pPr>
        <w:pStyle w:val="footnotedescription"/>
        <w:spacing w:line="259" w:lineRule="auto"/>
        <w:jc w:val="left"/>
      </w:pPr>
      <w:r>
        <w:rPr>
          <w:rStyle w:val="footnotemark"/>
        </w:rPr>
        <w:footnoteRef/>
      </w:r>
      <w:r>
        <w:t xml:space="preserve"> </w:t>
      </w:r>
      <w:r>
        <w:rPr>
          <w:i/>
        </w:rPr>
        <w:t xml:space="preserve">See Complaint </w:t>
      </w:r>
      <w:r>
        <w:t xml:space="preserve">[Adv. </w:t>
      </w:r>
      <w:proofErr w:type="spellStart"/>
      <w:r>
        <w:t>Dkt</w:t>
      </w:r>
      <w:proofErr w:type="spellEnd"/>
      <w:r>
        <w:t xml:space="preserve">. No. 1].  </w:t>
      </w:r>
    </w:p>
  </w:footnote>
  <w:footnote w:id="5">
    <w:p w14:paraId="5598209F" w14:textId="77777777" w:rsidR="00B223C1" w:rsidRDefault="00C95DC4">
      <w:pPr>
        <w:pStyle w:val="footnotedescription"/>
        <w:spacing w:after="165" w:line="276" w:lineRule="auto"/>
      </w:pPr>
      <w:r>
        <w:rPr>
          <w:rStyle w:val="footnotemark"/>
        </w:rPr>
        <w:footnoteRef/>
      </w:r>
      <w:r>
        <w:rPr>
          <w:sz w:val="20"/>
        </w:rPr>
        <w:t xml:space="preserve"> The LMI policies issued after 1986 may include a sexual abuse exclusion, but that issue is not relevant to the cases subject to the Stay Relief Motions.  </w:t>
      </w:r>
    </w:p>
  </w:footnote>
  <w:footnote w:id="6">
    <w:p w14:paraId="48284BF4" w14:textId="77777777" w:rsidR="00B223C1" w:rsidRDefault="00C95DC4">
      <w:pPr>
        <w:pStyle w:val="footnotedescription"/>
        <w:spacing w:line="276" w:lineRule="auto"/>
      </w:pPr>
      <w:r>
        <w:rPr>
          <w:rStyle w:val="footnotemark"/>
        </w:rPr>
        <w:footnoteRef/>
      </w:r>
      <w:r>
        <w:rPr>
          <w:sz w:val="20"/>
        </w:rPr>
        <w:t xml:space="preserve"> As with LMI, the Interstate policy issued after 1985 may include a sexual abuse exclusion, but that issue is not relevant to the cases subject to the Stay Relief Motions. </w:t>
      </w:r>
    </w:p>
  </w:footnote>
  <w:footnote w:id="7">
    <w:p w14:paraId="4CF6A176" w14:textId="77777777" w:rsidR="00B223C1" w:rsidRDefault="00C95DC4">
      <w:pPr>
        <w:pStyle w:val="footnotedescription"/>
        <w:spacing w:line="259" w:lineRule="auto"/>
        <w:jc w:val="left"/>
      </w:pPr>
      <w:r>
        <w:rPr>
          <w:rStyle w:val="footnotemark"/>
        </w:rPr>
        <w:footnoteRef/>
      </w:r>
      <w:r>
        <w:t xml:space="preserve"> </w:t>
      </w:r>
      <w:proofErr w:type="spellStart"/>
      <w:r>
        <w:rPr>
          <w:i/>
        </w:rPr>
        <w:t>Sonnax</w:t>
      </w:r>
      <w:proofErr w:type="spellEnd"/>
      <w:r>
        <w:rPr>
          <w:i/>
        </w:rPr>
        <w:t xml:space="preserve"> </w:t>
      </w:r>
      <w:r>
        <w:t xml:space="preserve">factors 3, 6, 8, and 9 do not apply to the Stay Relief Motions.  </w:t>
      </w:r>
    </w:p>
  </w:footnote>
  <w:footnote w:id="8">
    <w:p w14:paraId="2C9D1332" w14:textId="77777777" w:rsidR="00B223C1" w:rsidRDefault="00C95DC4">
      <w:pPr>
        <w:pStyle w:val="footnotedescription"/>
        <w:spacing w:line="242" w:lineRule="auto"/>
        <w:ind w:right="2"/>
      </w:pPr>
      <w:r>
        <w:rPr>
          <w:rStyle w:val="footnotemark"/>
        </w:rPr>
        <w:footnoteRef/>
      </w:r>
      <w:r>
        <w:t xml:space="preserve"> Under New York law, insurers have a duty “to act in ‘good faith’ when deciding whether to settle . . . a claim, and [they] may be held liable for breach of that duty.” </w:t>
      </w:r>
      <w:r>
        <w:rPr>
          <w:i/>
        </w:rPr>
        <w:t>Pinto v. Allstate Ins. Co.</w:t>
      </w:r>
      <w:r>
        <w:t xml:space="preserve">, 221 F.3d 394, 398 (2d Cir. 2000). This duty is implicated when an insurer receives a reasonable, within-policy-limits settlement demand, and is breached by an insurer’s “neglect and failure to act protectively when the insured is compelled to make settlement at his peril.” </w:t>
      </w:r>
      <w:r>
        <w:rPr>
          <w:i/>
        </w:rPr>
        <w:t>Ansonia Assoc. LTD Partnership v. Public Serv. Mut. Ins. Co.</w:t>
      </w:r>
      <w:r>
        <w:t xml:space="preserve">, 257 A.D.2d 84, 86 (N.Y. App. Div. 1999). If the insurer refuses the settlement offer, the insurer “risks being charged with bad faith on the premise that it has ‘advanced its own interests by compromising those of its insured.’” </w:t>
      </w:r>
      <w:r>
        <w:rPr>
          <w:i/>
        </w:rPr>
        <w:t>Pavia v. State Farm Mut. Auto Ins. Co.</w:t>
      </w:r>
      <w:r>
        <w:t xml:space="preserve">, 626 N.E.2d 24, 26–27 (N.Y. 1993) (internal citations omitted)). </w:t>
      </w:r>
    </w:p>
  </w:footnote>
  <w:footnote w:id="9">
    <w:p w14:paraId="20F62B26" w14:textId="77777777" w:rsidR="00B223C1" w:rsidRDefault="00C95DC4">
      <w:pPr>
        <w:pStyle w:val="footnotedescription"/>
        <w:spacing w:after="217" w:line="250" w:lineRule="auto"/>
        <w:ind w:right="2"/>
      </w:pPr>
      <w:r>
        <w:rPr>
          <w:rStyle w:val="footnotemark"/>
        </w:rPr>
        <w:footnoteRef/>
      </w:r>
      <w:r>
        <w:t xml:space="preserve"> </w:t>
      </w:r>
      <w:r>
        <w:rPr>
          <w:i/>
        </w:rPr>
        <w:t>See, In re Taub</w:t>
      </w:r>
      <w:r>
        <w:t>, 413 B.R. 55, 62 (</w:t>
      </w:r>
      <w:proofErr w:type="spellStart"/>
      <w:r>
        <w:t>Bankr</w:t>
      </w:r>
      <w:proofErr w:type="spellEnd"/>
      <w:r>
        <w:t xml:space="preserve">. E.D.N.Y. 2009) (“Relief from the automatic stay would allow the Supreme Court, Kings County to determine issues including the respective rights of the parties … This would resolve significant open issues in the Debtor's bankruptcy </w:t>
      </w:r>
      <w:proofErr w:type="gramStart"/>
      <w:r>
        <w:t>case, and</w:t>
      </w:r>
      <w:proofErr w:type="gramEnd"/>
      <w:r>
        <w:t xml:space="preserve"> would assist the Debtor in pursuing the confirmation of a Chapter 11 plan.”).  </w:t>
      </w:r>
    </w:p>
  </w:footnote>
  <w:footnote w:id="10">
    <w:p w14:paraId="1EE21D4F" w14:textId="77777777" w:rsidR="00B223C1" w:rsidRDefault="00C95DC4">
      <w:pPr>
        <w:pStyle w:val="footnotedescription"/>
        <w:spacing w:line="240" w:lineRule="auto"/>
        <w:ind w:right="2"/>
      </w:pPr>
      <w:r>
        <w:rPr>
          <w:rStyle w:val="footnotemark"/>
        </w:rPr>
        <w:footnoteRef/>
      </w:r>
      <w:r>
        <w:t xml:space="preserve"> </w:t>
      </w:r>
      <w:r>
        <w:rPr>
          <w:i/>
          <w:sz w:val="20"/>
        </w:rPr>
        <w:t xml:space="preserve">See </w:t>
      </w:r>
      <w:r>
        <w:rPr>
          <w:i/>
        </w:rPr>
        <w:t>Memorandum Opinion and Order Denying Mot. for a Prelim. Inj.</w:t>
      </w:r>
      <w:r>
        <w:t xml:space="preserve">, </w:t>
      </w:r>
      <w:r>
        <w:rPr>
          <w:i/>
        </w:rPr>
        <w:t>Roman Cath. Diocese of Rockville Ctr. v. ARK 320 DOE (In re The Roman Cath. Diocese of Rockville Ctr.)</w:t>
      </w:r>
      <w:r>
        <w:t>, Ch. 11 Case No. 20-12345, Adv. No. 20-01226 (</w:t>
      </w:r>
      <w:proofErr w:type="spellStart"/>
      <w:r>
        <w:t>Bankr</w:t>
      </w:r>
      <w:proofErr w:type="spellEnd"/>
      <w:r>
        <w:t xml:space="preserve">. S.D.N.Y. June 9, 2023), Docket No. 202, at 69 (“For many Survivors, allowing time to pass means that they simply may not be able to recover either because the evidence for their case is lost, or because they themselves do not live long enough to press their claims. . . </w:t>
      </w:r>
      <w:proofErr w:type="gramStart"/>
      <w:r>
        <w:t>It is clear that these</w:t>
      </w:r>
      <w:proofErr w:type="gramEnd"/>
      <w:r>
        <w:t xml:space="preserve"> harms to the Survivors become more significant with each passing day in this case”); </w:t>
      </w:r>
      <w:r>
        <w:rPr>
          <w:i/>
        </w:rPr>
        <w:t>see also Decision and Order Denying Motion of Diocese Seeking to Enjoin the Prosecution of State Court Actions Against Independent Catholic Corporations and Dismissing Complaint</w:t>
      </w:r>
      <w:r>
        <w:t xml:space="preserve">, </w:t>
      </w:r>
      <w:r>
        <w:rPr>
          <w:i/>
        </w:rPr>
        <w:t>The Diocese of Rochester v. AB 100 Doe, et al. (In re The Diocese of Rochester</w:t>
      </w:r>
      <w:r>
        <w:t>), Ch. 11 Case No. 19-20905, Adv. No. 22-02075 (</w:t>
      </w:r>
      <w:proofErr w:type="spellStart"/>
      <w:r>
        <w:t>Bankr</w:t>
      </w:r>
      <w:proofErr w:type="spellEnd"/>
      <w:r>
        <w:t>. W.D.N.Y. May 23, 2022), Docket No. 48, at 14 (“[T]</w:t>
      </w:r>
      <w:proofErr w:type="gramStart"/>
      <w:r>
        <w:t>he</w:t>
      </w:r>
      <w:proofErr w:type="gramEnd"/>
      <w:r>
        <w:t xml:space="preserve"> age of many of the Abuse Survivors, if enjoined from going forward with actions against the independent Catholic Corporations, it is likely that more will be denied the chance to seek justice because the sands of time are working against them. Additionally, given the Diocese’s unequivocal threat to pursue a non-consensual Chapter 11 plan, the valuation of CVA claims becomes vitally important to the confirmation process. The state courts are far better equipped to handle the trial of CVA cases (and provide the valuation of CVA claims) than is the bankruptcy court or the district court. </w:t>
      </w:r>
    </w:p>
  </w:footnote>
  <w:footnote w:id="11">
    <w:p w14:paraId="638B24A2" w14:textId="77777777" w:rsidR="00B223C1" w:rsidRDefault="00C95DC4">
      <w:pPr>
        <w:pStyle w:val="footnotedescription"/>
        <w:spacing w:after="198" w:line="259" w:lineRule="auto"/>
        <w:jc w:val="left"/>
      </w:pPr>
      <w:r>
        <w:rPr>
          <w:rStyle w:val="footnotemark"/>
        </w:rPr>
        <w:footnoteRef/>
      </w:r>
      <w:r>
        <w:t xml:space="preserve"> </w:t>
      </w:r>
      <w:r>
        <w:rPr>
          <w:i/>
        </w:rPr>
        <w:t xml:space="preserve">See </w:t>
      </w:r>
      <w:r>
        <w:t xml:space="preserve">22 N.Y.C.R.R. 5202.72(a). </w:t>
      </w:r>
    </w:p>
  </w:footnote>
  <w:footnote w:id="12">
    <w:p w14:paraId="6C0938E2" w14:textId="77777777" w:rsidR="00B223C1" w:rsidRDefault="00C95DC4">
      <w:pPr>
        <w:pStyle w:val="footnotedescription"/>
        <w:spacing w:after="218" w:line="259" w:lineRule="auto"/>
        <w:jc w:val="left"/>
      </w:pPr>
      <w:r>
        <w:rPr>
          <w:rStyle w:val="footnotemark"/>
        </w:rPr>
        <w:footnoteRef/>
      </w:r>
      <w:r>
        <w:rPr>
          <w:sz w:val="20"/>
        </w:rPr>
        <w:t xml:space="preserve"> NY CLS </w:t>
      </w:r>
      <w:proofErr w:type="spellStart"/>
      <w:r>
        <w:rPr>
          <w:sz w:val="20"/>
        </w:rPr>
        <w:t>Unif</w:t>
      </w:r>
      <w:proofErr w:type="spellEnd"/>
      <w:r>
        <w:rPr>
          <w:sz w:val="20"/>
        </w:rPr>
        <w:t xml:space="preserve"> Rules, Civil </w:t>
      </w:r>
      <w:proofErr w:type="spellStart"/>
      <w:r>
        <w:rPr>
          <w:sz w:val="20"/>
        </w:rPr>
        <w:t>Cts</w:t>
      </w:r>
      <w:proofErr w:type="spellEnd"/>
      <w:r>
        <w:rPr>
          <w:sz w:val="20"/>
        </w:rPr>
        <w:t>. § 202.72 (1)</w:t>
      </w:r>
      <w:proofErr w:type="gramStart"/>
      <w:r>
        <w:rPr>
          <w:sz w:val="20"/>
        </w:rPr>
        <w:t>–(</w:t>
      </w:r>
      <w:proofErr w:type="gramEnd"/>
      <w:r>
        <w:rPr>
          <w:sz w:val="20"/>
        </w:rPr>
        <w:t xml:space="preserve">3). </w:t>
      </w:r>
    </w:p>
  </w:footnote>
  <w:footnote w:id="13">
    <w:p w14:paraId="38D834BB" w14:textId="77777777" w:rsidR="00B223C1" w:rsidRDefault="00C95DC4">
      <w:pPr>
        <w:pStyle w:val="footnotedescription"/>
        <w:spacing w:line="259" w:lineRule="auto"/>
        <w:jc w:val="left"/>
      </w:pPr>
      <w:r>
        <w:rPr>
          <w:rStyle w:val="footnotemark"/>
        </w:rPr>
        <w:footnoteRef/>
      </w:r>
      <w:r>
        <w:t xml:space="preserve"> </w:t>
      </w:r>
      <w:r>
        <w:rPr>
          <w:i/>
        </w:rPr>
        <w:t xml:space="preserve">Id.  </w:t>
      </w:r>
    </w:p>
  </w:footnote>
  <w:footnote w:id="14">
    <w:p w14:paraId="596BC2DF" w14:textId="77777777" w:rsidR="00B223C1" w:rsidRDefault="00C95DC4">
      <w:pPr>
        <w:pStyle w:val="footnotedescription"/>
        <w:spacing w:after="210" w:line="248" w:lineRule="auto"/>
        <w:ind w:right="2"/>
      </w:pPr>
      <w:r>
        <w:rPr>
          <w:rStyle w:val="footnotemark"/>
        </w:rPr>
        <w:footnoteRef/>
      </w:r>
      <w:r>
        <w:t xml:space="preserve"> </w:t>
      </w:r>
      <w:r>
        <w:rPr>
          <w:i/>
        </w:rPr>
        <w:t>In re Project Orange Assocs., LLC</w:t>
      </w:r>
      <w:r>
        <w:t>, 432 B.R. 89, 108 (</w:t>
      </w:r>
      <w:proofErr w:type="spellStart"/>
      <w:r>
        <w:t>Bankr</w:t>
      </w:r>
      <w:proofErr w:type="spellEnd"/>
      <w:r>
        <w:t xml:space="preserve">. S.D.N.Y. 2010) (“By permitting the parties to resolve issues surrounding termination in the state court where the court is very familiar with the facts and history of the case … this Court will be better equipped to determine any remaining bankruptcy law issues. . . .”); </w:t>
      </w:r>
      <w:r>
        <w:rPr>
          <w:i/>
        </w:rPr>
        <w:t>PG&amp;E Corp.</w:t>
      </w:r>
      <w:r>
        <w:t xml:space="preserve">, 2019 WL 3889247, at *2 (“while they do not appear to be completely ready for trial, the parties filed this action prior to the bankruptcy and . . . are on a schedule for resolution.”). </w:t>
      </w:r>
    </w:p>
  </w:footnote>
  <w:footnote w:id="15">
    <w:p w14:paraId="161FD628" w14:textId="77777777" w:rsidR="00B223C1" w:rsidRDefault="00C95DC4">
      <w:pPr>
        <w:pStyle w:val="footnotedescription"/>
        <w:spacing w:after="179" w:line="265" w:lineRule="auto"/>
      </w:pPr>
      <w:r>
        <w:rPr>
          <w:rStyle w:val="footnotemark"/>
        </w:rPr>
        <w:footnoteRef/>
      </w:r>
      <w:r>
        <w:t xml:space="preserve"> </w:t>
      </w:r>
      <w:r>
        <w:rPr>
          <w:i/>
          <w:sz w:val="20"/>
        </w:rPr>
        <w:t>Harmon v. Diocese of Albany</w:t>
      </w:r>
      <w:r>
        <w:rPr>
          <w:sz w:val="20"/>
        </w:rPr>
        <w:t xml:space="preserve">, No. 902825-20, 70 Misc.3d 1205(A) (N.Y. Sup. Ct., Albany </w:t>
      </w:r>
      <w:proofErr w:type="spellStart"/>
      <w:r>
        <w:rPr>
          <w:sz w:val="20"/>
        </w:rPr>
        <w:t>Cty</w:t>
      </w:r>
      <w:proofErr w:type="spellEnd"/>
      <w:r>
        <w:rPr>
          <w:sz w:val="20"/>
        </w:rPr>
        <w:t xml:space="preserve">. Jan. 6, 2021), </w:t>
      </w:r>
      <w:r>
        <w:rPr>
          <w:i/>
          <w:sz w:val="20"/>
        </w:rPr>
        <w:t>aff’d</w:t>
      </w:r>
      <w:r>
        <w:rPr>
          <w:sz w:val="20"/>
        </w:rPr>
        <w:t xml:space="preserve">, 204 A.D.3d 1270 (3d </w:t>
      </w:r>
      <w:proofErr w:type="spellStart"/>
      <w:r>
        <w:rPr>
          <w:sz w:val="20"/>
        </w:rPr>
        <w:t>Dep’t</w:t>
      </w:r>
      <w:proofErr w:type="spellEnd"/>
      <w:r>
        <w:rPr>
          <w:sz w:val="20"/>
        </w:rPr>
        <w:t xml:space="preserve"> 2022). </w:t>
      </w:r>
    </w:p>
  </w:footnote>
  <w:footnote w:id="16">
    <w:p w14:paraId="5E677AA5" w14:textId="77777777" w:rsidR="00B223C1" w:rsidRDefault="00C95DC4">
      <w:pPr>
        <w:pStyle w:val="footnotedescription"/>
        <w:ind w:right="6"/>
      </w:pPr>
      <w:r>
        <w:rPr>
          <w:rStyle w:val="footnotemark"/>
        </w:rPr>
        <w:footnoteRef/>
      </w:r>
      <w:r>
        <w:t xml:space="preserve"> </w:t>
      </w:r>
      <w:r>
        <w:rPr>
          <w:i/>
          <w:sz w:val="20"/>
        </w:rPr>
        <w:t xml:space="preserve">See </w:t>
      </w:r>
      <w:r>
        <w:rPr>
          <w:sz w:val="20"/>
        </w:rPr>
        <w:t xml:space="preserve">Stipulation and Order Concerning the Deposition of Diocese of Albany Bishop Emeritus Howard J. Hubbard in Child Victims Act Cases, publicly filed at </w:t>
      </w:r>
      <w:r>
        <w:rPr>
          <w:i/>
          <w:sz w:val="20"/>
        </w:rPr>
        <w:t>AL 46 Doe v. Diocese of Albany, et al.</w:t>
      </w:r>
      <w:r>
        <w:rPr>
          <w:sz w:val="20"/>
        </w:rPr>
        <w:t xml:space="preserve">, No. 903844-20 (N.Y. Sup. Ct., Albany </w:t>
      </w:r>
      <w:proofErr w:type="spellStart"/>
      <w:r>
        <w:rPr>
          <w:sz w:val="20"/>
        </w:rPr>
        <w:t>Cty</w:t>
      </w:r>
      <w:proofErr w:type="spellEnd"/>
      <w:r>
        <w:rPr>
          <w:sz w:val="20"/>
        </w:rPr>
        <w:t xml:space="preserve">.), Doc. No. 13. </w:t>
      </w:r>
    </w:p>
  </w:footnote>
  <w:footnote w:id="17">
    <w:p w14:paraId="42D8FC09" w14:textId="77777777" w:rsidR="00B223C1" w:rsidRDefault="00C95DC4">
      <w:pPr>
        <w:pStyle w:val="footnotedescription"/>
        <w:ind w:right="2"/>
      </w:pPr>
      <w:r>
        <w:rPr>
          <w:rStyle w:val="footnotemark"/>
        </w:rPr>
        <w:footnoteRef/>
      </w:r>
      <w:r>
        <w:t xml:space="preserve"> </w:t>
      </w:r>
      <w:r>
        <w:rPr>
          <w:i/>
        </w:rPr>
        <w:t>See In re Mildred Deli Grocery, Inc.</w:t>
      </w:r>
      <w:r>
        <w:t xml:space="preserve">, No. 18-10077 (MG), 2018 </w:t>
      </w:r>
      <w:proofErr w:type="spellStart"/>
      <w:r>
        <w:t>Bankr</w:t>
      </w:r>
      <w:proofErr w:type="spellEnd"/>
      <w:r>
        <w:t>. LEXIS 546, at *11–12 (</w:t>
      </w:r>
      <w:proofErr w:type="spellStart"/>
      <w:r>
        <w:t>Bankr</w:t>
      </w:r>
      <w:proofErr w:type="spellEnd"/>
      <w:r>
        <w:t xml:space="preserve">. S.D.N.Y. Feb. 28, 2018) (holding that stay relief tailored to establish the amount of a claim does not prejudice other creditors).  </w:t>
      </w:r>
    </w:p>
  </w:footnote>
  <w:footnote w:id="18">
    <w:p w14:paraId="5507A17D" w14:textId="77777777" w:rsidR="00586325" w:rsidRDefault="00586325" w:rsidP="00586325">
      <w:pPr>
        <w:pStyle w:val="footnotedescription"/>
        <w:spacing w:line="282" w:lineRule="auto"/>
      </w:pPr>
      <w:r>
        <w:rPr>
          <w:rStyle w:val="footnotemark"/>
        </w:rPr>
        <w:footnoteRef/>
      </w:r>
      <w:r>
        <w:t xml:space="preserve"> The attorneys of Nolan Heller Kauffman LLP joined the firm of Whiteman Osterman &amp; Hanna LLP as of January 1, 2025.  </w:t>
      </w:r>
    </w:p>
    <w:p w14:paraId="20CB11A7" w14:textId="77777777" w:rsidR="00586325" w:rsidRDefault="00586325" w:rsidP="00586325">
      <w:pPr>
        <w:pStyle w:val="footnotedescription"/>
        <w:spacing w:after="34"/>
      </w:pPr>
      <w:r>
        <w:rPr>
          <w:rFonts w:ascii="Courier New" w:eastAsia="Courier New" w:hAnsi="Courier New" w:cs="Courier New"/>
          <w:sz w:val="13"/>
        </w:rPr>
        <w:t>2</w:t>
      </w:r>
      <w:r>
        <w:rPr>
          <w:rFonts w:ascii="Courier New" w:eastAsia="Courier New" w:hAnsi="Courier New" w:cs="Courier New"/>
        </w:rPr>
        <w:t xml:space="preserve"> </w:t>
      </w:r>
      <w:r>
        <w:t xml:space="preserve">Unless otherwise defined herein, capitalized terms used herein shall have the meanings ascribed to them in the  </w:t>
      </w:r>
    </w:p>
    <w:p w14:paraId="2970F3F5" w14:textId="77777777" w:rsidR="00586325" w:rsidRDefault="00586325" w:rsidP="00586325">
      <w:pPr>
        <w:pStyle w:val="footnotedescription"/>
        <w:spacing w:line="231" w:lineRule="auto"/>
      </w:pPr>
      <w:r>
        <w:t xml:space="preserve">March 15, </w:t>
      </w:r>
      <w:proofErr w:type="gramStart"/>
      <w:r>
        <w:t>2023</w:t>
      </w:r>
      <w:proofErr w:type="gramEnd"/>
      <w:r>
        <w:t xml:space="preserve"> Declaration of Rev. Robert Longobucco Regarding (</w:t>
      </w:r>
      <w:proofErr w:type="spellStart"/>
      <w:r>
        <w:t>i</w:t>
      </w:r>
      <w:proofErr w:type="spellEnd"/>
      <w:r>
        <w:t>) Structure and History of the Roman Catholic Diocese of Albany, New York and (ii) in Support of Chapter 11 Petition and First Day Motions (the “Longobucco Declaration”) (ECF No. 6) or the Stay Relief Motions.</w:t>
      </w:r>
      <w:r>
        <w:rPr>
          <w:rFonts w:ascii="Courier New" w:eastAsia="Courier New" w:hAnsi="Courier New" w:cs="Courier New"/>
        </w:rPr>
        <w:t xml:space="preserve"> </w:t>
      </w:r>
      <w:r>
        <w:rPr>
          <w:sz w:val="24"/>
        </w:rPr>
        <w:t xml:space="preserve"> </w:t>
      </w:r>
      <w:r>
        <w:t xml:space="preserve"> </w:t>
      </w:r>
    </w:p>
  </w:footnote>
  <w:footnote w:id="19">
    <w:p w14:paraId="6D4BD1FF" w14:textId="77777777" w:rsidR="00586325" w:rsidRDefault="00586325" w:rsidP="00586325">
      <w:pPr>
        <w:pStyle w:val="footnotedescription"/>
        <w:spacing w:after="632" w:line="275" w:lineRule="auto"/>
        <w:ind w:right="127"/>
      </w:pPr>
      <w:r>
        <w:rPr>
          <w:rStyle w:val="footnotemark"/>
        </w:rPr>
        <w:footnoteRef/>
      </w:r>
      <w:r>
        <w:t xml:space="preserve"> The text of Docket Nos. 1342, 1343, 1344, 1345, and 1349 is identical except for the Movant’s pseudonym.   </w:t>
      </w:r>
      <w:r>
        <w:rPr>
          <w:rFonts w:ascii="Courier New" w:eastAsia="Courier New" w:hAnsi="Courier New" w:cs="Courier New"/>
          <w:vertAlign w:val="subscript"/>
        </w:rPr>
        <w:t>4</w:t>
      </w:r>
      <w:r>
        <w:rPr>
          <w:rFonts w:ascii="Courier New" w:eastAsia="Courier New" w:hAnsi="Courier New" w:cs="Courier New"/>
        </w:rPr>
        <w:t xml:space="preserve"> </w:t>
      </w:r>
      <w:r>
        <w:rPr>
          <w:i/>
        </w:rPr>
        <w:t xml:space="preserve">In re </w:t>
      </w:r>
      <w:proofErr w:type="spellStart"/>
      <w:r>
        <w:rPr>
          <w:i/>
        </w:rPr>
        <w:t>Sonnax</w:t>
      </w:r>
      <w:proofErr w:type="spellEnd"/>
      <w:r>
        <w:rPr>
          <w:i/>
        </w:rPr>
        <w:t xml:space="preserve"> Industries</w:t>
      </w:r>
      <w:r>
        <w:t xml:space="preserve">, 907 F.2d 1280 (2d Cir. 1990).  </w:t>
      </w:r>
    </w:p>
    <w:p w14:paraId="4D6F39FF" w14:textId="77777777" w:rsidR="00586325" w:rsidRDefault="00586325" w:rsidP="00586325">
      <w:pPr>
        <w:pStyle w:val="footnotedescription"/>
      </w:pPr>
      <w:r>
        <w:rPr>
          <w:rFonts w:ascii="Calibri" w:eastAsia="Calibri" w:hAnsi="Calibri" w:cs="Calibri"/>
        </w:rPr>
        <w:t xml:space="preserve"> </w:t>
      </w:r>
      <w:r>
        <w:t xml:space="preserve"> </w:t>
      </w:r>
    </w:p>
  </w:footnote>
  <w:footnote w:id="20">
    <w:p w14:paraId="3F10C301" w14:textId="77777777" w:rsidR="00586325" w:rsidRDefault="00586325" w:rsidP="00586325">
      <w:pPr>
        <w:pStyle w:val="footnotedescription"/>
        <w:spacing w:after="614" w:line="254" w:lineRule="auto"/>
        <w:ind w:right="23"/>
      </w:pPr>
      <w:r>
        <w:rPr>
          <w:rStyle w:val="footnotemark"/>
        </w:rPr>
        <w:footnoteRef/>
      </w:r>
      <w:r>
        <w:t xml:space="preserve"> Justice Mackey was appointed to the New York State Appellate Division, Third Department on August 21, 2023.  Following his elevation to the Appellate Division, the CVA Actions pending in Albany County were assigned to New York State Supreme Court Justice Justin Corcoran.  </w:t>
      </w:r>
    </w:p>
    <w:p w14:paraId="0115CF44" w14:textId="01CF703B" w:rsidR="00586325" w:rsidRDefault="00586325" w:rsidP="00586325">
      <w:pPr>
        <w:pStyle w:val="footnotedescription"/>
        <w:jc w:val="center"/>
      </w:pPr>
    </w:p>
  </w:footnote>
  <w:footnote w:id="21">
    <w:p w14:paraId="3CBD0546" w14:textId="77777777" w:rsidR="00586325" w:rsidRDefault="00586325" w:rsidP="00586325">
      <w:pPr>
        <w:pStyle w:val="footnotedescription"/>
        <w:spacing w:after="623" w:line="244" w:lineRule="auto"/>
        <w:ind w:right="11"/>
      </w:pPr>
      <w:r>
        <w:rPr>
          <w:rStyle w:val="footnotemark"/>
        </w:rPr>
        <w:footnoteRef/>
      </w:r>
      <w:r>
        <w:t xml:space="preserve"> Stinson, counsel for the Tort Committee, has represented Unsecured Creditors’ Committees and the interests of survivors </w:t>
      </w:r>
      <w:proofErr w:type="spellStart"/>
      <w:proofErr w:type="gramStart"/>
      <w:r>
        <w:t>in:the</w:t>
      </w:r>
      <w:proofErr w:type="spellEnd"/>
      <w:proofErr w:type="gramEnd"/>
      <w:r>
        <w:t xml:space="preserve"> Archdiocese of Saint Paul and Minneapolis (</w:t>
      </w:r>
      <w:proofErr w:type="spellStart"/>
      <w:r>
        <w:t>Bankr.D</w:t>
      </w:r>
      <w:proofErr w:type="spellEnd"/>
      <w:r>
        <w:t>. Minn. Case No. 15-30125), the Diocese of Duluth (</w:t>
      </w:r>
      <w:proofErr w:type="spellStart"/>
      <w:r>
        <w:t>Bankr</w:t>
      </w:r>
      <w:proofErr w:type="spellEnd"/>
      <w:r>
        <w:t>. D. Minn. Case No. 15-50792), the Diocese of New Ulm (</w:t>
      </w:r>
      <w:proofErr w:type="spellStart"/>
      <w:r>
        <w:t>Bankr</w:t>
      </w:r>
      <w:proofErr w:type="spellEnd"/>
      <w:r>
        <w:t>. D. Minn. Case No. 17-30601), the Crosiers Order (</w:t>
      </w:r>
      <w:proofErr w:type="spellStart"/>
      <w:r>
        <w:t>Bankr</w:t>
      </w:r>
      <w:proofErr w:type="spellEnd"/>
      <w:r>
        <w:t>. D. Minn. Case Nos. 17-41681, 17-41682, 17-41683), the Diocese of Winona-Rochester (</w:t>
      </w:r>
      <w:proofErr w:type="spellStart"/>
      <w:r>
        <w:t>Bankr</w:t>
      </w:r>
      <w:proofErr w:type="spellEnd"/>
      <w:r>
        <w:t xml:space="preserve">. D. Minn. Case No. 18-33707), the Archbishop of </w:t>
      </w:r>
      <w:proofErr w:type="spellStart"/>
      <w:r>
        <w:t>Agaña</w:t>
      </w:r>
      <w:proofErr w:type="spellEnd"/>
      <w:r>
        <w:t>, a Corporation Sole (</w:t>
      </w:r>
      <w:proofErr w:type="spellStart"/>
      <w:r>
        <w:t>Bankr</w:t>
      </w:r>
      <w:proofErr w:type="spellEnd"/>
      <w:r>
        <w:t>. D. Guam Case No. 19- 00010), and the Roman Catholic Diocese of Harrisburg (</w:t>
      </w:r>
      <w:proofErr w:type="spellStart"/>
      <w:r>
        <w:t>Bankr</w:t>
      </w:r>
      <w:proofErr w:type="spellEnd"/>
      <w:r>
        <w:t>. M.D. Pa. Case No. 20-00599; The Roman Catholic Diocese of Syracuse, New York (</w:t>
      </w:r>
      <w:proofErr w:type="spellStart"/>
      <w:r>
        <w:t>Bankr</w:t>
      </w:r>
      <w:proofErr w:type="spellEnd"/>
      <w:r>
        <w:t>. N.D.N.Y. Case No. 20- 30663) and The Roman Catholic Bishop of Santa Rosa, a California Corporation Sole (</w:t>
      </w:r>
      <w:proofErr w:type="spellStart"/>
      <w:r>
        <w:t>Bankr</w:t>
      </w:r>
      <w:proofErr w:type="spellEnd"/>
      <w:r>
        <w:t xml:space="preserve">. N.D. Cal. Case No. 23-10113.  </w:t>
      </w:r>
    </w:p>
    <w:p w14:paraId="3A80104B" w14:textId="77777777" w:rsidR="00586325" w:rsidRDefault="00586325" w:rsidP="00586325">
      <w:pPr>
        <w:pStyle w:val="footnotedescription"/>
        <w:jc w:val="center"/>
      </w:pPr>
      <w:r>
        <w:rPr>
          <w:rFonts w:ascii="Courier New" w:eastAsia="Courier New" w:hAnsi="Courier New" w:cs="Courier New"/>
          <w:sz w:val="24"/>
        </w:rPr>
        <w:t>23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9EB5" w14:textId="77777777" w:rsidR="00B223C1" w:rsidRDefault="00C95DC4">
    <w:pPr>
      <w:spacing w:after="0" w:line="259" w:lineRule="auto"/>
      <w:ind w:left="81" w:firstLine="0"/>
      <w:jc w:val="left"/>
    </w:pPr>
    <w:r>
      <w:rPr>
        <w:rFonts w:ascii="Calibri" w:eastAsia="Calibri" w:hAnsi="Calibri" w:cs="Calibri"/>
      </w:rPr>
      <w:t>Case 23-10244-1-rel    Doc 1350    Filed 01/08/25    Entered 01/08/25 16:56:10    Desc</w:t>
    </w:r>
  </w:p>
  <w:p w14:paraId="2A67838F" w14:textId="77777777" w:rsidR="00B223C1" w:rsidRDefault="00C95DC4">
    <w:pPr>
      <w:spacing w:after="0" w:line="259" w:lineRule="auto"/>
      <w:ind w:left="0" w:right="6" w:firstLine="0"/>
      <w:jc w:val="center"/>
    </w:pPr>
    <w:r>
      <w:rPr>
        <w:rFonts w:ascii="Calibri" w:eastAsia="Calibri" w:hAnsi="Calibri" w:cs="Calibri"/>
      </w:rPr>
      <w:t xml:space="preserve">Main Document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w:t>
    </w:r>
    <w:fldSimple w:instr=" NUMPAGES   \* MERGEFORMAT ">
      <w:r>
        <w:rPr>
          <w:rFonts w:ascii="Calibri" w:eastAsia="Calibri" w:hAnsi="Calibri" w:cs="Calibri"/>
        </w:rPr>
        <w:t>17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3E9C" w14:textId="77777777" w:rsidR="00B223C1" w:rsidRDefault="00C95DC4">
    <w:pPr>
      <w:spacing w:after="0" w:line="259" w:lineRule="auto"/>
      <w:ind w:left="81" w:firstLine="0"/>
      <w:jc w:val="left"/>
    </w:pPr>
    <w:r>
      <w:rPr>
        <w:rFonts w:ascii="Calibri" w:eastAsia="Calibri" w:hAnsi="Calibri" w:cs="Calibri"/>
      </w:rPr>
      <w:t>Case 23-10244-1-rel    Doc 1350    Filed 01/08/25    Entered 01/08/25 16:56:10    Desc</w:t>
    </w:r>
  </w:p>
  <w:p w14:paraId="7485A4C9" w14:textId="77777777" w:rsidR="00B223C1" w:rsidRDefault="00C95DC4">
    <w:pPr>
      <w:spacing w:after="0" w:line="259" w:lineRule="auto"/>
      <w:ind w:left="0" w:right="6" w:firstLine="0"/>
      <w:jc w:val="center"/>
    </w:pPr>
    <w:r>
      <w:rPr>
        <w:rFonts w:ascii="Calibri" w:eastAsia="Calibri" w:hAnsi="Calibri" w:cs="Calibri"/>
      </w:rPr>
      <w:t xml:space="preserve">Main Document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w:t>
    </w:r>
    <w:fldSimple w:instr=" NUMPAGES   \* MERGEFORMAT ">
      <w:r>
        <w:rPr>
          <w:rFonts w:ascii="Calibri" w:eastAsia="Calibri" w:hAnsi="Calibri" w:cs="Calibri"/>
        </w:rPr>
        <w:t>17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A930" w14:textId="77777777" w:rsidR="00B223C1" w:rsidRDefault="00C95DC4">
    <w:pPr>
      <w:spacing w:after="0" w:line="259" w:lineRule="auto"/>
      <w:ind w:left="81" w:firstLine="0"/>
      <w:jc w:val="left"/>
    </w:pPr>
    <w:r>
      <w:rPr>
        <w:rFonts w:ascii="Calibri" w:eastAsia="Calibri" w:hAnsi="Calibri" w:cs="Calibri"/>
      </w:rPr>
      <w:t>Case 23-10244-1-rel    Doc 1350    Filed 01/08/25    Entered 01/08/25 16:56:10    Desc</w:t>
    </w:r>
  </w:p>
  <w:p w14:paraId="2AF53B61" w14:textId="77777777" w:rsidR="00B223C1" w:rsidRDefault="00C95DC4">
    <w:pPr>
      <w:spacing w:after="0" w:line="259" w:lineRule="auto"/>
      <w:ind w:left="0" w:right="6" w:firstLine="0"/>
      <w:jc w:val="center"/>
    </w:pPr>
    <w:r>
      <w:rPr>
        <w:rFonts w:ascii="Calibri" w:eastAsia="Calibri" w:hAnsi="Calibri" w:cs="Calibri"/>
      </w:rPr>
      <w:t xml:space="preserve">Main Document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w:t>
    </w:r>
    <w:fldSimple w:instr=" NUMPAGES   \* MERGEFORMAT ">
      <w:r>
        <w:rPr>
          <w:rFonts w:ascii="Calibri" w:eastAsia="Calibri" w:hAnsi="Calibri" w:cs="Calibri"/>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E76"/>
    <w:multiLevelType w:val="hybridMultilevel"/>
    <w:tmpl w:val="AB126812"/>
    <w:lvl w:ilvl="0" w:tplc="F432AF2C">
      <w:start w:val="32"/>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EC9FB8">
      <w:start w:val="1"/>
      <w:numFmt w:val="lowerLetter"/>
      <w:lvlText w:val="%2"/>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3C9C0C">
      <w:start w:val="1"/>
      <w:numFmt w:val="lowerRoman"/>
      <w:lvlText w:val="%3"/>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76E674">
      <w:start w:val="1"/>
      <w:numFmt w:val="decimal"/>
      <w:lvlText w:val="%4"/>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BA2D0A">
      <w:start w:val="1"/>
      <w:numFmt w:val="lowerLetter"/>
      <w:lvlText w:val="%5"/>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CF542">
      <w:start w:val="1"/>
      <w:numFmt w:val="lowerRoman"/>
      <w:lvlText w:val="%6"/>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CF822">
      <w:start w:val="1"/>
      <w:numFmt w:val="decimal"/>
      <w:lvlText w:val="%7"/>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03356">
      <w:start w:val="1"/>
      <w:numFmt w:val="lowerLetter"/>
      <w:lvlText w:val="%8"/>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684054">
      <w:start w:val="1"/>
      <w:numFmt w:val="lowerRoman"/>
      <w:lvlText w:val="%9"/>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D87E63"/>
    <w:multiLevelType w:val="hybridMultilevel"/>
    <w:tmpl w:val="D5300FD4"/>
    <w:lvl w:ilvl="0" w:tplc="9B92D03C">
      <w:start w:val="3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C6EF6C">
      <w:start w:val="1"/>
      <w:numFmt w:val="lowerLetter"/>
      <w:lvlText w:val="%2"/>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C0598">
      <w:start w:val="1"/>
      <w:numFmt w:val="lowerRoman"/>
      <w:lvlText w:val="%3"/>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60636">
      <w:start w:val="1"/>
      <w:numFmt w:val="decimal"/>
      <w:lvlText w:val="%4"/>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4D3AA">
      <w:start w:val="1"/>
      <w:numFmt w:val="lowerLetter"/>
      <w:lvlText w:val="%5"/>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4CECAC">
      <w:start w:val="1"/>
      <w:numFmt w:val="lowerRoman"/>
      <w:lvlText w:val="%6"/>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61E98">
      <w:start w:val="1"/>
      <w:numFmt w:val="decimal"/>
      <w:lvlText w:val="%7"/>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0E614">
      <w:start w:val="1"/>
      <w:numFmt w:val="lowerLetter"/>
      <w:lvlText w:val="%8"/>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2CAF38">
      <w:start w:val="1"/>
      <w:numFmt w:val="lowerRoman"/>
      <w:lvlText w:val="%9"/>
      <w:lvlJc w:val="left"/>
      <w:pPr>
        <w:ind w:left="7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8D450D"/>
    <w:multiLevelType w:val="hybridMultilevel"/>
    <w:tmpl w:val="AACAB0AE"/>
    <w:lvl w:ilvl="0" w:tplc="93C0BB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F872B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CEC3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8C94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A7CB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E4D7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415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28B9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E5AD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22BE3"/>
    <w:multiLevelType w:val="hybridMultilevel"/>
    <w:tmpl w:val="DECCC446"/>
    <w:lvl w:ilvl="0" w:tplc="69AA3E0E">
      <w:start w:val="58"/>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FEFA88">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E4CC4">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08C0A">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87E14">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3D1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C3ABC">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E650E">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E8648">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9A4473"/>
    <w:multiLevelType w:val="hybridMultilevel"/>
    <w:tmpl w:val="71FC61C4"/>
    <w:lvl w:ilvl="0" w:tplc="1F0EB6D8">
      <w:start w:val="2"/>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8D85C">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C973C">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80F1C">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D0F1C4">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72E6A2">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0058E">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6C82C">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D8137E">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814195"/>
    <w:multiLevelType w:val="hybridMultilevel"/>
    <w:tmpl w:val="5332358C"/>
    <w:lvl w:ilvl="0" w:tplc="AA6EE66A">
      <w:start w:val="42"/>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86FE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82F66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A922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C8DF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83DC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2432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A951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23A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B8382A"/>
    <w:multiLevelType w:val="hybridMultilevel"/>
    <w:tmpl w:val="D4149404"/>
    <w:lvl w:ilvl="0" w:tplc="C7CC8384">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C6152">
      <w:start w:val="1"/>
      <w:numFmt w:val="decimal"/>
      <w:lvlText w:val="(%2)"/>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6CF9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8C5F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16476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58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2107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A06C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C6096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ED7002"/>
    <w:multiLevelType w:val="hybridMultilevel"/>
    <w:tmpl w:val="7A4E71BE"/>
    <w:lvl w:ilvl="0" w:tplc="FA86926A">
      <w:start w:val="11"/>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D2E166">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C207C">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3A2F2C">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47DD4">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28FA2">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ACEBE">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64278">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C417A">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EE028A"/>
    <w:multiLevelType w:val="hybridMultilevel"/>
    <w:tmpl w:val="09C63ED4"/>
    <w:lvl w:ilvl="0" w:tplc="B4664FE2">
      <w:start w:val="3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8C7D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0EE75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2D4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6A932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1EAB4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A9CE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26303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6FD1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255C6E"/>
    <w:multiLevelType w:val="hybridMultilevel"/>
    <w:tmpl w:val="77465A90"/>
    <w:lvl w:ilvl="0" w:tplc="DE90EA84">
      <w:start w:val="7"/>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5184C718">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6D665422">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2DCC61CC">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61161E6E">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C343A68">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0D14214C">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84E6788">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5E5C4B6E">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0" w15:restartNumberingAfterBreak="0">
    <w:nsid w:val="3F1A1656"/>
    <w:multiLevelType w:val="hybridMultilevel"/>
    <w:tmpl w:val="504C04AC"/>
    <w:lvl w:ilvl="0" w:tplc="88EA1C96">
      <w:start w:val="1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E841A5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09E010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F7B0AE1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F2E2F2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F968D49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C201C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CD2E2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0714C7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1" w15:restartNumberingAfterBreak="0">
    <w:nsid w:val="40FD6EB8"/>
    <w:multiLevelType w:val="hybridMultilevel"/>
    <w:tmpl w:val="8C0C4324"/>
    <w:lvl w:ilvl="0" w:tplc="1E76EEA4">
      <w:start w:val="2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A30C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3EFB3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EE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A542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C43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C9E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C61D4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CD1D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A02EB9"/>
    <w:multiLevelType w:val="hybridMultilevel"/>
    <w:tmpl w:val="799831AC"/>
    <w:lvl w:ilvl="0" w:tplc="17183532">
      <w:start w:val="23"/>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4274C">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4E256">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C7B90">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D6B4E8">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30EB0C">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F2A17A">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4ED54">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A30C4">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1A6820"/>
    <w:multiLevelType w:val="hybridMultilevel"/>
    <w:tmpl w:val="A0D6CA30"/>
    <w:lvl w:ilvl="0" w:tplc="1706972C">
      <w:start w:val="3"/>
      <w:numFmt w:val="upperLetter"/>
      <w:lvlText w:val="%1."/>
      <w:lvlJc w:val="left"/>
      <w:pPr>
        <w:ind w:left="398"/>
      </w:pPr>
      <w:rPr>
        <w:rFonts w:ascii="Times New Roman" w:eastAsia="Times New Roman" w:hAnsi="Times New Roman" w:cs="Times New Roman"/>
        <w:b/>
        <w:bCs w:val="0"/>
        <w:i w:val="0"/>
        <w:strike w:val="0"/>
        <w:dstrike w:val="0"/>
        <w:color w:val="0F4761"/>
        <w:sz w:val="24"/>
        <w:szCs w:val="24"/>
        <w:u w:val="none" w:color="000000"/>
        <w:bdr w:val="none" w:sz="0" w:space="0" w:color="auto"/>
        <w:shd w:val="clear" w:color="auto" w:fill="auto"/>
        <w:vertAlign w:val="baseline"/>
      </w:rPr>
    </w:lvl>
    <w:lvl w:ilvl="1" w:tplc="FEAC94E0">
      <w:start w:val="6"/>
      <w:numFmt w:val="decimal"/>
      <w:lvlRestart w:val="0"/>
      <w:lvlText w:val="%2."/>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426F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40B2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4E38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E9E6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52D2EA">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4E8F0">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C3BCC">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0021D0"/>
    <w:multiLevelType w:val="hybridMultilevel"/>
    <w:tmpl w:val="9DB2609A"/>
    <w:lvl w:ilvl="0" w:tplc="820A1F9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D0FBB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0302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C1A3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264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4E779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097A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AE408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8252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623B03"/>
    <w:multiLevelType w:val="hybridMultilevel"/>
    <w:tmpl w:val="214CA430"/>
    <w:lvl w:ilvl="0" w:tplc="56C2A0F4">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2BB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013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8C91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848E8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A01B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C77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2E04B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2C40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CD14FE"/>
    <w:multiLevelType w:val="hybridMultilevel"/>
    <w:tmpl w:val="1164A996"/>
    <w:lvl w:ilvl="0" w:tplc="4D9A65FA">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4186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6D39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C93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60C6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E46E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4668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CD57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CBD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1F27B3"/>
    <w:multiLevelType w:val="hybridMultilevel"/>
    <w:tmpl w:val="64AA6A32"/>
    <w:lvl w:ilvl="0" w:tplc="963CECAE">
      <w:start w:val="48"/>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ABB0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64272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ED96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6986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CE4A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A8C4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07EC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C38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D955C9"/>
    <w:multiLevelType w:val="hybridMultilevel"/>
    <w:tmpl w:val="6F126BF0"/>
    <w:lvl w:ilvl="0" w:tplc="4B76644E">
      <w:start w:val="15"/>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26B16">
      <w:start w:val="1"/>
      <w:numFmt w:val="decimal"/>
      <w:lvlText w:val="(%2)"/>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E34F6">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4ECB7A">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64F66">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8A03DA">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8FD9A">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EA6F6">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87B3E">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83528D"/>
    <w:multiLevelType w:val="hybridMultilevel"/>
    <w:tmpl w:val="882EF7A6"/>
    <w:lvl w:ilvl="0" w:tplc="433A549A">
      <w:start w:val="3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A66A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EE994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3607B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C558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7A05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166A1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0CC3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C4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AF7D05"/>
    <w:multiLevelType w:val="hybridMultilevel"/>
    <w:tmpl w:val="F4A4D2E6"/>
    <w:lvl w:ilvl="0" w:tplc="7AF2122A">
      <w:start w:val="15"/>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E07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EE52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C8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E435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0127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F4092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3E91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4710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7431F2"/>
    <w:multiLevelType w:val="hybridMultilevel"/>
    <w:tmpl w:val="A86A7C4A"/>
    <w:lvl w:ilvl="0" w:tplc="B6B49654">
      <w:start w:val="53"/>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40A4BC">
      <w:start w:val="1"/>
      <w:numFmt w:val="lowerLetter"/>
      <w:lvlText w:val="%2"/>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B28C12">
      <w:start w:val="1"/>
      <w:numFmt w:val="lowerRoman"/>
      <w:lvlText w:val="%3"/>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A70F4">
      <w:start w:val="1"/>
      <w:numFmt w:val="decimal"/>
      <w:lvlText w:val="%4"/>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2A0E8">
      <w:start w:val="1"/>
      <w:numFmt w:val="lowerLetter"/>
      <w:lvlText w:val="%5"/>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96AA">
      <w:start w:val="1"/>
      <w:numFmt w:val="lowerRoman"/>
      <w:lvlText w:val="%6"/>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E11FE">
      <w:start w:val="1"/>
      <w:numFmt w:val="decimal"/>
      <w:lvlText w:val="%7"/>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ADEF0">
      <w:start w:val="1"/>
      <w:numFmt w:val="lowerLetter"/>
      <w:lvlText w:val="%8"/>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D85DAA">
      <w:start w:val="1"/>
      <w:numFmt w:val="lowerRoman"/>
      <w:lvlText w:val="%9"/>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D323DF"/>
    <w:multiLevelType w:val="hybridMultilevel"/>
    <w:tmpl w:val="D97643DC"/>
    <w:lvl w:ilvl="0" w:tplc="E050FC10">
      <w:start w:val="62"/>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D0B0D6">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29478">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52E90E">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A4CF2">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EAD9A">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ED430">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EA37E">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9A97F6">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9D2961"/>
    <w:multiLevelType w:val="hybridMultilevel"/>
    <w:tmpl w:val="70A62FE6"/>
    <w:lvl w:ilvl="0" w:tplc="0FAEFD28">
      <w:start w:val="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AE67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4CC39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70182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C66C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8BD3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E9D9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E0A1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A528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C4E00DC"/>
    <w:multiLevelType w:val="hybridMultilevel"/>
    <w:tmpl w:val="4F5E3BC8"/>
    <w:lvl w:ilvl="0" w:tplc="C5F49A3C">
      <w:start w:val="21"/>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E0852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C054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B0A44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4AF1D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0885F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46F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C66A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652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1577440">
    <w:abstractNumId w:val="2"/>
  </w:num>
  <w:num w:numId="2" w16cid:durableId="946037224">
    <w:abstractNumId w:val="16"/>
  </w:num>
  <w:num w:numId="3" w16cid:durableId="972058292">
    <w:abstractNumId w:val="14"/>
  </w:num>
  <w:num w:numId="4" w16cid:durableId="1804081913">
    <w:abstractNumId w:val="20"/>
  </w:num>
  <w:num w:numId="5" w16cid:durableId="1256749505">
    <w:abstractNumId w:val="15"/>
  </w:num>
  <w:num w:numId="6" w16cid:durableId="367416487">
    <w:abstractNumId w:val="6"/>
  </w:num>
  <w:num w:numId="7" w16cid:durableId="292057109">
    <w:abstractNumId w:val="11"/>
  </w:num>
  <w:num w:numId="8" w16cid:durableId="958292712">
    <w:abstractNumId w:val="23"/>
  </w:num>
  <w:num w:numId="9" w16cid:durableId="824128875">
    <w:abstractNumId w:val="10"/>
  </w:num>
  <w:num w:numId="10" w16cid:durableId="1935631816">
    <w:abstractNumId w:val="19"/>
  </w:num>
  <w:num w:numId="11" w16cid:durableId="1619339281">
    <w:abstractNumId w:val="8"/>
  </w:num>
  <w:num w:numId="12" w16cid:durableId="262230928">
    <w:abstractNumId w:val="9"/>
  </w:num>
  <w:num w:numId="13" w16cid:durableId="1562908605">
    <w:abstractNumId w:val="4"/>
  </w:num>
  <w:num w:numId="14" w16cid:durableId="466974420">
    <w:abstractNumId w:val="13"/>
  </w:num>
  <w:num w:numId="15" w16cid:durableId="1166550041">
    <w:abstractNumId w:val="7"/>
  </w:num>
  <w:num w:numId="16" w16cid:durableId="1946110911">
    <w:abstractNumId w:val="18"/>
  </w:num>
  <w:num w:numId="17" w16cid:durableId="1532569592">
    <w:abstractNumId w:val="24"/>
  </w:num>
  <w:num w:numId="18" w16cid:durableId="144901467">
    <w:abstractNumId w:val="12"/>
  </w:num>
  <w:num w:numId="19" w16cid:durableId="634071198">
    <w:abstractNumId w:val="0"/>
  </w:num>
  <w:num w:numId="20" w16cid:durableId="116292416">
    <w:abstractNumId w:val="1"/>
  </w:num>
  <w:num w:numId="21" w16cid:durableId="505218276">
    <w:abstractNumId w:val="5"/>
  </w:num>
  <w:num w:numId="22" w16cid:durableId="1275092931">
    <w:abstractNumId w:val="17"/>
  </w:num>
  <w:num w:numId="23" w16cid:durableId="1820613403">
    <w:abstractNumId w:val="21"/>
  </w:num>
  <w:num w:numId="24" w16cid:durableId="463355972">
    <w:abstractNumId w:val="3"/>
  </w:num>
  <w:num w:numId="25" w16cid:durableId="20904983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C1"/>
    <w:rsid w:val="00127F27"/>
    <w:rsid w:val="00231D23"/>
    <w:rsid w:val="00264475"/>
    <w:rsid w:val="00333876"/>
    <w:rsid w:val="00471FDA"/>
    <w:rsid w:val="00586325"/>
    <w:rsid w:val="006B7CB2"/>
    <w:rsid w:val="006D3EC5"/>
    <w:rsid w:val="006F3D97"/>
    <w:rsid w:val="009F6FCF"/>
    <w:rsid w:val="00B223C1"/>
    <w:rsid w:val="00C95DC4"/>
    <w:rsid w:val="00CD10D4"/>
    <w:rsid w:val="00D51ED2"/>
    <w:rsid w:val="00E37479"/>
    <w:rsid w:val="00E435E1"/>
    <w:rsid w:val="00EB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04BB"/>
  <w15:docId w15:val="{0806367F-FBFB-457E-8FFC-2EB4BF84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76" w:lineRule="auto"/>
      <w:ind w:left="11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9" w:line="259" w:lineRule="auto"/>
      <w:ind w:left="10" w:right="95"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264" w:line="249" w:lineRule="auto"/>
      <w:ind w:left="10" w:right="3323"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57" w:lineRule="auto"/>
      <w:jc w:val="both"/>
    </w:pPr>
    <w:rPr>
      <w:rFonts w:ascii="Times New Roman" w:eastAsia="Times New Roman" w:hAnsi="Times New Roman" w:cs="Times New Roman"/>
      <w:color w:val="000000"/>
      <w:sz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rsid w:val="00586325"/>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95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12089</Words>
  <Characters>63472</Characters>
  <Application>Microsoft Office Word</Application>
  <DocSecurity>0</DocSecurity>
  <Lines>991</Lines>
  <Paragraphs>361</Paragraphs>
  <ScaleCrop>false</ScaleCrop>
  <HeadingPairs>
    <vt:vector size="2" baseType="variant">
      <vt:variant>
        <vt:lpstr>Title</vt:lpstr>
      </vt:variant>
      <vt:variant>
        <vt:i4>1</vt:i4>
      </vt:variant>
    </vt:vector>
  </HeadingPairs>
  <TitlesOfParts>
    <vt:vector size="1" baseType="lpstr">
      <vt:lpstr>Microsoft Word - RCDA - Memorandum ISO Stay Relief Motions 1.8.25.docx</vt:lpstr>
    </vt:vector>
  </TitlesOfParts>
  <Company/>
  <LinksUpToDate>false</LinksUpToDate>
  <CharactersWithSpaces>75200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RCDA - Memorandum ISO Stay Relief Motions 1.8.25.docx</dc:title>
  <dc:subject/>
  <dc:creator>jess.rehbein</dc:creator>
  <cp:keywords/>
  <cp:lastModifiedBy>John Rabiej</cp:lastModifiedBy>
  <cp:revision>3</cp:revision>
  <dcterms:created xsi:type="dcterms:W3CDTF">2025-10-08T13:45:00Z</dcterms:created>
  <dcterms:modified xsi:type="dcterms:W3CDTF">2025-10-08T13:45:00Z</dcterms:modified>
</cp:coreProperties>
</file>