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2E72" w14:textId="414CDC24" w:rsidR="00877122" w:rsidRDefault="00C04CA5" w:rsidP="0011527D">
      <w:pPr>
        <w:jc w:val="center"/>
        <w:rPr>
          <w:b/>
          <w:bCs/>
        </w:rPr>
      </w:pPr>
      <w:r>
        <w:rPr>
          <w:noProof/>
        </w:rPr>
        <w:drawing>
          <wp:inline distT="0" distB="0" distL="0" distR="0" wp14:anchorId="3CA630C3" wp14:editId="21CFA0A1">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0EA970E5" w14:textId="14A83266" w:rsidR="00C624D6" w:rsidRDefault="0011527D" w:rsidP="0011527D">
      <w:pPr>
        <w:jc w:val="center"/>
        <w:rPr>
          <w:b/>
          <w:bCs/>
        </w:rPr>
      </w:pPr>
      <w:r w:rsidRPr="0011527D">
        <w:rPr>
          <w:b/>
          <w:bCs/>
        </w:rPr>
        <w:t>QUESTIONS FOR MASS-TORT BANKRUPTCIES SUMMIT</w:t>
      </w:r>
    </w:p>
    <w:p w14:paraId="036E9AE3" w14:textId="3F221522" w:rsidR="0011527D" w:rsidRDefault="0011527D" w:rsidP="0011527D">
      <w:pPr>
        <w:rPr>
          <w:b/>
          <w:bCs/>
        </w:rPr>
      </w:pPr>
      <w:r>
        <w:rPr>
          <w:b/>
          <w:bCs/>
        </w:rPr>
        <w:t>Panel 1</w:t>
      </w:r>
    </w:p>
    <w:p w14:paraId="45C7D852" w14:textId="5A7C909E" w:rsidR="007165EB" w:rsidRDefault="007165EB" w:rsidP="0011527D">
      <w:pPr>
        <w:rPr>
          <w:b/>
          <w:bCs/>
        </w:rPr>
      </w:pPr>
      <w:r>
        <w:rPr>
          <w:b/>
          <w:bCs/>
        </w:rPr>
        <w:t xml:space="preserve">Moderator --- </w:t>
      </w:r>
      <w:r w:rsidR="00D20DF9">
        <w:rPr>
          <w:b/>
          <w:bCs/>
        </w:rPr>
        <w:t xml:space="preserve">  </w:t>
      </w:r>
      <w:r w:rsidR="0019267F">
        <w:t>Man</w:t>
      </w:r>
      <w:r w:rsidR="00845025">
        <w:t xml:space="preserve">y </w:t>
      </w:r>
      <w:r w:rsidR="002B15F8">
        <w:t>support</w:t>
      </w:r>
      <w:r w:rsidR="00845025">
        <w:t xml:space="preserve"> </w:t>
      </w:r>
      <w:r w:rsidR="0019267F">
        <w:t>th</w:t>
      </w:r>
      <w:r w:rsidR="00845025">
        <w:t>e</w:t>
      </w:r>
      <w:r w:rsidR="00BC197C" w:rsidRPr="00BC197C">
        <w:t xml:space="preserve"> </w:t>
      </w:r>
      <w:r w:rsidR="00101884">
        <w:t xml:space="preserve">Chapter 11 </w:t>
      </w:r>
      <w:r w:rsidR="00BC197C" w:rsidRPr="00BC197C">
        <w:t>bankruptcy process</w:t>
      </w:r>
      <w:r w:rsidR="00BC197C">
        <w:t xml:space="preserve"> </w:t>
      </w:r>
      <w:r w:rsidR="005B3936">
        <w:t xml:space="preserve">because it </w:t>
      </w:r>
      <w:r w:rsidR="00101884">
        <w:t xml:space="preserve">permits </w:t>
      </w:r>
      <w:r w:rsidR="0061226F">
        <w:t>a</w:t>
      </w:r>
      <w:r w:rsidR="00101884">
        <w:t xml:space="preserve"> debtor to reorganize and keep its operations running</w:t>
      </w:r>
      <w:r w:rsidR="000E3243">
        <w:t xml:space="preserve">, which can </w:t>
      </w:r>
      <w:r w:rsidR="002B7C5F">
        <w:t>make</w:t>
      </w:r>
      <w:r w:rsidR="000E3243">
        <w:t xml:space="preserve"> more money to </w:t>
      </w:r>
      <w:r w:rsidR="002B7C5F">
        <w:t xml:space="preserve">pay </w:t>
      </w:r>
      <w:r w:rsidR="000E3243">
        <w:t xml:space="preserve">its creditors instead of selling all its assets, which </w:t>
      </w:r>
      <w:r w:rsidR="00C029FE">
        <w:t xml:space="preserve">would </w:t>
      </w:r>
      <w:r w:rsidR="000E3243">
        <w:t>pr</w:t>
      </w:r>
      <w:r w:rsidR="00C029FE">
        <w:t xml:space="preserve">ovide </w:t>
      </w:r>
      <w:r w:rsidR="0097033D">
        <w:t xml:space="preserve">smaller distributions.  </w:t>
      </w:r>
      <w:r w:rsidR="008F715D">
        <w:t xml:space="preserve">Many </w:t>
      </w:r>
      <w:r w:rsidR="000B6875">
        <w:t>MDL</w:t>
      </w:r>
      <w:r w:rsidR="004E2B20">
        <w:t xml:space="preserve"> </w:t>
      </w:r>
      <w:r w:rsidR="008F715D">
        <w:t xml:space="preserve">lawyers </w:t>
      </w:r>
      <w:r w:rsidR="004E2B20">
        <w:t>criticize</w:t>
      </w:r>
      <w:r w:rsidR="006340DD">
        <w:t xml:space="preserve"> </w:t>
      </w:r>
      <w:r w:rsidR="004D00D6">
        <w:t xml:space="preserve">bankruptcy in general. </w:t>
      </w:r>
      <w:r w:rsidR="009E0355">
        <w:t xml:space="preserve">Recent </w:t>
      </w:r>
      <w:r w:rsidR="006016F7">
        <w:t>mass-tort</w:t>
      </w:r>
      <w:r w:rsidR="00227071">
        <w:t xml:space="preserve"> MDLs that move into bankruptcy</w:t>
      </w:r>
      <w:r w:rsidR="009E0355">
        <w:t xml:space="preserve"> show that the </w:t>
      </w:r>
      <w:r w:rsidR="006C76A1">
        <w:t xml:space="preserve">amounts </w:t>
      </w:r>
      <w:r w:rsidR="00365562">
        <w:t>proposed for an MDL</w:t>
      </w:r>
      <w:r w:rsidR="006C76A1">
        <w:t xml:space="preserve"> settlement </w:t>
      </w:r>
      <w:r w:rsidR="00365562">
        <w:t xml:space="preserve">are similar to the amounts proposed in bankruptcy.  </w:t>
      </w:r>
      <w:r w:rsidR="00777F60">
        <w:t xml:space="preserve">If the </w:t>
      </w:r>
      <w:r w:rsidR="00077B2D">
        <w:t>end results</w:t>
      </w:r>
      <w:r w:rsidR="00777F60">
        <w:t xml:space="preserve"> are similar, </w:t>
      </w:r>
      <w:r w:rsidR="006223E3">
        <w:t xml:space="preserve">what explains the objections? </w:t>
      </w:r>
      <w:r w:rsidR="004D00D6">
        <w:t>In developing best practices</w:t>
      </w:r>
      <w:r w:rsidR="00B63262">
        <w:t xml:space="preserve"> that </w:t>
      </w:r>
      <w:r w:rsidR="00587545">
        <w:t>make bankruptcy less objectionabl</w:t>
      </w:r>
      <w:r w:rsidR="00691A2F">
        <w:t>e</w:t>
      </w:r>
      <w:r w:rsidR="00B63262">
        <w:t xml:space="preserve">, the </w:t>
      </w:r>
      <w:r w:rsidR="00691A2F">
        <w:t>C</w:t>
      </w:r>
      <w:r w:rsidR="00B63262">
        <w:t xml:space="preserve">enter is focusing on how </w:t>
      </w:r>
      <w:r w:rsidR="00FE6DD9">
        <w:t>the interests of MDL lawyers are affected</w:t>
      </w:r>
      <w:r w:rsidR="003229B9">
        <w:t xml:space="preserve"> as the control of litigation moves to </w:t>
      </w:r>
      <w:r w:rsidR="00197E09">
        <w:t>other lawyers</w:t>
      </w:r>
      <w:r w:rsidR="003229B9">
        <w:t xml:space="preserve"> in the </w:t>
      </w:r>
      <w:r w:rsidR="00197E09">
        <w:t>bankru</w:t>
      </w:r>
      <w:r w:rsidR="00652898">
        <w:t>p</w:t>
      </w:r>
      <w:r w:rsidR="00197E09">
        <w:t>tcy</w:t>
      </w:r>
      <w:r w:rsidR="003229B9">
        <w:t>.</w:t>
      </w:r>
    </w:p>
    <w:p w14:paraId="5359077C" w14:textId="6E1C7882" w:rsidR="0034358A" w:rsidRDefault="0034358A" w:rsidP="0011527D">
      <w:pPr>
        <w:rPr>
          <w:b/>
          <w:bCs/>
        </w:rPr>
      </w:pPr>
      <w:r>
        <w:rPr>
          <w:b/>
          <w:bCs/>
        </w:rPr>
        <w:t xml:space="preserve">Speakers – </w:t>
      </w:r>
      <w:r w:rsidRPr="0034358A">
        <w:t>14 minutes</w:t>
      </w:r>
      <w:r>
        <w:t xml:space="preserve"> maximum for each presentation</w:t>
      </w:r>
    </w:p>
    <w:p w14:paraId="6DFA7D0B" w14:textId="29C88FEA" w:rsidR="0011527D" w:rsidRDefault="00B438F1" w:rsidP="0011527D">
      <w:pPr>
        <w:pStyle w:val="ListParagraph"/>
        <w:numPr>
          <w:ilvl w:val="0"/>
          <w:numId w:val="3"/>
        </w:numPr>
      </w:pPr>
      <w:r>
        <w:rPr>
          <w:b/>
          <w:bCs/>
        </w:rPr>
        <w:t>Michael Shenkman</w:t>
      </w:r>
      <w:r w:rsidR="00FB3568">
        <w:t xml:space="preserve"> -- </w:t>
      </w:r>
      <w:r w:rsidR="0011527D">
        <w:t xml:space="preserve">Many news articles strongly criticize companies involved in mass-tort MDLs </w:t>
      </w:r>
      <w:r w:rsidR="00FE6AA4">
        <w:t xml:space="preserve">who later </w:t>
      </w:r>
      <w:r w:rsidR="0011527D">
        <w:t>fil</w:t>
      </w:r>
      <w:r w:rsidR="00FE6AA4">
        <w:t>e for</w:t>
      </w:r>
      <w:r w:rsidR="0011527D">
        <w:t xml:space="preserve"> bankruptcy, because they claim that plaintiffs are deprived of their Seventh Amendment right to a jury trial.  Putting aside the fact that most mass-tort MDLs settle and only a few bellwether trials are held, do plaintiffs forfeit their right to a jury trial once in bankruptcy?</w:t>
      </w:r>
      <w:r w:rsidR="009C608B">
        <w:t xml:space="preserve"> </w:t>
      </w:r>
      <w:r w:rsidR="00E046A4">
        <w:t xml:space="preserve">What is the difference, as a practical matter, between </w:t>
      </w:r>
      <w:r w:rsidR="00092A21">
        <w:t>personal-injury claimants forced to participate in a mass-tort bankruptcy and those in a mass-tort MDL, who are compelled to participate unless the case is remanded?</w:t>
      </w:r>
    </w:p>
    <w:p w14:paraId="3D557B1E" w14:textId="6FB7D436" w:rsidR="007C75B1" w:rsidRDefault="00F763BF" w:rsidP="0011527D">
      <w:pPr>
        <w:pStyle w:val="ListParagraph"/>
        <w:numPr>
          <w:ilvl w:val="0"/>
          <w:numId w:val="3"/>
        </w:numPr>
      </w:pPr>
      <w:r w:rsidRPr="0077606F">
        <w:rPr>
          <w:b/>
          <w:bCs/>
        </w:rPr>
        <w:t>Hayden Coleman</w:t>
      </w:r>
      <w:r>
        <w:t xml:space="preserve"> </w:t>
      </w:r>
      <w:r w:rsidR="001F0AAA">
        <w:t xml:space="preserve">-- </w:t>
      </w:r>
      <w:r w:rsidR="0011527D">
        <w:t xml:space="preserve">Mass-tort MDLs are funded by contributions from a plaintiff steering committee, which often </w:t>
      </w:r>
      <w:r w:rsidR="0081360E">
        <w:t>runs</w:t>
      </w:r>
      <w:r w:rsidR="0011527D">
        <w:t xml:space="preserve"> in tens of millions of dollars.</w:t>
      </w:r>
      <w:r w:rsidR="007C75B1">
        <w:t xml:space="preserve"> The law firms represented by the steering committee also invest hundreds of lawyer hours.  If the MDL moves into bankruptcy </w:t>
      </w:r>
      <w:r w:rsidR="00C519B9">
        <w:t>the</w:t>
      </w:r>
      <w:r w:rsidR="007C75B1">
        <w:t xml:space="preserve"> bankruptcy bar takes control of the litigation.  </w:t>
      </w:r>
      <w:r w:rsidR="007F4206">
        <w:t xml:space="preserve">How big </w:t>
      </w:r>
      <w:r w:rsidR="00C45432">
        <w:t xml:space="preserve">of a </w:t>
      </w:r>
      <w:r w:rsidR="007C75B1">
        <w:t xml:space="preserve">risk </w:t>
      </w:r>
      <w:r w:rsidR="00C45432">
        <w:t xml:space="preserve">is the loss of some or all of these funds in bankruptcy? </w:t>
      </w:r>
      <w:r w:rsidR="008725BA">
        <w:t xml:space="preserve"> </w:t>
      </w:r>
    </w:p>
    <w:p w14:paraId="04AE5AD0" w14:textId="64D677FE" w:rsidR="00060DBD" w:rsidRPr="00060DBD" w:rsidRDefault="001F0AAA" w:rsidP="00060DBD">
      <w:pPr>
        <w:pStyle w:val="ListParagraph"/>
        <w:numPr>
          <w:ilvl w:val="0"/>
          <w:numId w:val="3"/>
        </w:numPr>
        <w:rPr>
          <w:b/>
          <w:bCs/>
        </w:rPr>
      </w:pPr>
      <w:r w:rsidRPr="001F0AAA">
        <w:rPr>
          <w:b/>
          <w:bCs/>
        </w:rPr>
        <w:t>Dan Prieto</w:t>
      </w:r>
      <w:r>
        <w:t xml:space="preserve"> -- </w:t>
      </w:r>
      <w:r w:rsidR="00A80487">
        <w:t xml:space="preserve">As among the few </w:t>
      </w:r>
      <w:r w:rsidR="00361060">
        <w:t xml:space="preserve">mass-tort </w:t>
      </w:r>
      <w:r w:rsidR="00A80487">
        <w:t>MDLs that move into bankruptcy, there seems to be little difference between the settlement amount</w:t>
      </w:r>
      <w:r w:rsidR="007C75B1">
        <w:t xml:space="preserve"> </w:t>
      </w:r>
      <w:r w:rsidR="00A80487">
        <w:t>under negotiation in the mass-tort MDLs and the amount under negotiation to set aside for a trust to compensate plaintiffs in bankruptcies. If the defendant and debtor payouts are about the same, what explains the aversion to bankruptcy?</w:t>
      </w:r>
      <w:r w:rsidR="008D229E">
        <w:t xml:space="preserve">  Th</w:t>
      </w:r>
      <w:r w:rsidR="00F763BF">
        <w:t>e loss of control over the litigation</w:t>
      </w:r>
      <w:r w:rsidR="007C773C">
        <w:t xml:space="preserve"> or the loss of the opportunity to opt-out from the </w:t>
      </w:r>
      <w:r w:rsidR="007178F2">
        <w:t>bankruptcy</w:t>
      </w:r>
      <w:r w:rsidR="00F763BF">
        <w:t>?</w:t>
      </w:r>
    </w:p>
    <w:p w14:paraId="00E54F2F" w14:textId="05D2BD58" w:rsidR="0011527D" w:rsidRPr="00060DBD" w:rsidRDefault="00F763BF" w:rsidP="00060DBD">
      <w:pPr>
        <w:pStyle w:val="ListParagraph"/>
        <w:numPr>
          <w:ilvl w:val="0"/>
          <w:numId w:val="3"/>
        </w:numPr>
        <w:rPr>
          <w:b/>
          <w:bCs/>
        </w:rPr>
      </w:pPr>
      <w:r w:rsidRPr="001F0AAA">
        <w:rPr>
          <w:b/>
          <w:bCs/>
        </w:rPr>
        <w:t>Jeffrey Prol</w:t>
      </w:r>
      <w:r>
        <w:t xml:space="preserve"> </w:t>
      </w:r>
      <w:r w:rsidR="001E22A7">
        <w:t>–</w:t>
      </w:r>
      <w:r w:rsidR="0077606F">
        <w:t xml:space="preserve"> </w:t>
      </w:r>
      <w:r w:rsidR="00F81F12">
        <w:t>Acceptance of a pr</w:t>
      </w:r>
      <w:r w:rsidR="00CC687A">
        <w:t xml:space="preserve">oposed plan of reorganization may </w:t>
      </w:r>
      <w:r w:rsidR="00E25AA2">
        <w:t xml:space="preserve">require </w:t>
      </w:r>
      <w:r w:rsidR="007E3A2F">
        <w:t xml:space="preserve">several </w:t>
      </w:r>
      <w:r w:rsidR="00E25AA2">
        <w:t xml:space="preserve">votes </w:t>
      </w:r>
      <w:r w:rsidR="00CC687A">
        <w:t xml:space="preserve"> before the minimum number of votes is achieved.  </w:t>
      </w:r>
      <w:r w:rsidR="009F7D67">
        <w:t xml:space="preserve">Developing each iterative version </w:t>
      </w:r>
      <w:r w:rsidR="009C5E00">
        <w:t xml:space="preserve">may </w:t>
      </w:r>
      <w:r w:rsidR="009F7D67">
        <w:t xml:space="preserve">take </w:t>
      </w:r>
      <w:r w:rsidR="00971CD0">
        <w:t xml:space="preserve">many </w:t>
      </w:r>
      <w:r w:rsidR="009F7D67">
        <w:t>months</w:t>
      </w:r>
      <w:r w:rsidR="00975D47">
        <w:t xml:space="preserve">.  What advantages and disadvantages </w:t>
      </w:r>
      <w:r w:rsidR="00AD6690">
        <w:t xml:space="preserve">for the debtors and </w:t>
      </w:r>
      <w:r w:rsidR="00341D67">
        <w:t>personal-injury claimants result from delays</w:t>
      </w:r>
      <w:r w:rsidR="00060DBD">
        <w:t xml:space="preserve">, including </w:t>
      </w:r>
      <w:r w:rsidR="00427CD2">
        <w:t xml:space="preserve">earning </w:t>
      </w:r>
      <w:r w:rsidR="00060DBD">
        <w:t>interest on the unpaid settlement amount</w:t>
      </w:r>
      <w:r w:rsidR="000A4E97">
        <w:t xml:space="preserve"> and </w:t>
      </w:r>
      <w:r w:rsidR="00AF6F70">
        <w:t>enhanced negotiation leverage</w:t>
      </w:r>
      <w:r w:rsidR="00060DBD">
        <w:t>?</w:t>
      </w:r>
      <w:r w:rsidR="000F0104">
        <w:t xml:space="preserve"> </w:t>
      </w:r>
    </w:p>
    <w:p w14:paraId="174C1E78" w14:textId="02933556" w:rsidR="00060DBD" w:rsidRPr="007C5F14" w:rsidRDefault="00150850" w:rsidP="00060DBD">
      <w:pPr>
        <w:pStyle w:val="ListParagraph"/>
        <w:numPr>
          <w:ilvl w:val="0"/>
          <w:numId w:val="3"/>
        </w:numPr>
        <w:rPr>
          <w:b/>
          <w:bCs/>
        </w:rPr>
      </w:pPr>
      <w:r w:rsidRPr="00150850">
        <w:rPr>
          <w:b/>
          <w:bCs/>
        </w:rPr>
        <w:t>Robert Harris --</w:t>
      </w:r>
      <w:r>
        <w:t xml:space="preserve"> </w:t>
      </w:r>
      <w:r w:rsidR="00060DBD">
        <w:t>Bankruptcy courts have lifted the stay to allow a few trials</w:t>
      </w:r>
      <w:r w:rsidR="0005502B">
        <w:t xml:space="preserve"> in a few mass-tort bankruptcies </w:t>
      </w:r>
      <w:r w:rsidR="000F0F8B">
        <w:t xml:space="preserve">as a way </w:t>
      </w:r>
      <w:r w:rsidR="0005502B">
        <w:t xml:space="preserve">to move the parties closer to agreeing to </w:t>
      </w:r>
      <w:r w:rsidR="007C5F14">
        <w:t xml:space="preserve">a </w:t>
      </w:r>
      <w:r w:rsidR="0005502B">
        <w:t xml:space="preserve">reorganization </w:t>
      </w:r>
      <w:r w:rsidR="0005502B">
        <w:lastRenderedPageBreak/>
        <w:t>plan</w:t>
      </w:r>
      <w:r w:rsidR="00FF5A88">
        <w:t>.</w:t>
      </w:r>
      <w:r w:rsidR="0005502B">
        <w:t xml:space="preserve">  </w:t>
      </w:r>
      <w:r w:rsidR="00A923A2">
        <w:t xml:space="preserve">If </w:t>
      </w:r>
      <w:r w:rsidR="00AC0D81">
        <w:t xml:space="preserve">the trials are intended to provide more information for settlement and to </w:t>
      </w:r>
      <w:r w:rsidR="00E3032F">
        <w:t>lower</w:t>
      </w:r>
      <w:r w:rsidR="00557521">
        <w:t xml:space="preserve"> unrealistic expectations, is</w:t>
      </w:r>
      <w:r w:rsidR="001674C9">
        <w:t xml:space="preserve"> the pressure </w:t>
      </w:r>
      <w:r w:rsidR="00E634B9">
        <w:t xml:space="preserve">lifted if </w:t>
      </w:r>
      <w:r w:rsidR="0005502B">
        <w:t xml:space="preserve"> no award is made in such trials because the amount </w:t>
      </w:r>
      <w:r w:rsidR="00FD7767">
        <w:t xml:space="preserve">will be determined </w:t>
      </w:r>
      <w:r w:rsidR="00E3032F">
        <w:t xml:space="preserve">later </w:t>
      </w:r>
      <w:r w:rsidR="00FD7767">
        <w:t>under</w:t>
      </w:r>
      <w:r w:rsidR="0005502B">
        <w:t xml:space="preserve"> the reorganization plan?</w:t>
      </w:r>
    </w:p>
    <w:p w14:paraId="672D7769" w14:textId="1E8CDD56" w:rsidR="007C5F14" w:rsidRPr="0005502B" w:rsidRDefault="00150850" w:rsidP="00060DBD">
      <w:pPr>
        <w:pStyle w:val="ListParagraph"/>
        <w:numPr>
          <w:ilvl w:val="0"/>
          <w:numId w:val="3"/>
        </w:numPr>
        <w:rPr>
          <w:b/>
          <w:bCs/>
        </w:rPr>
      </w:pPr>
      <w:r w:rsidRPr="00150850">
        <w:rPr>
          <w:b/>
          <w:bCs/>
        </w:rPr>
        <w:t>Robert Harris --</w:t>
      </w:r>
      <w:r>
        <w:t xml:space="preserve"> </w:t>
      </w:r>
      <w:r w:rsidR="007C5F14">
        <w:t>If no award is provided under these trials, how are lawyers and experts compensated, particularly if they are successful?</w:t>
      </w:r>
    </w:p>
    <w:p w14:paraId="3D9EAEB8" w14:textId="4FE3B8D2" w:rsidR="0005502B" w:rsidRPr="00060DBD" w:rsidRDefault="007B05EB" w:rsidP="00060DBD">
      <w:pPr>
        <w:pStyle w:val="ListParagraph"/>
        <w:numPr>
          <w:ilvl w:val="0"/>
          <w:numId w:val="3"/>
        </w:numPr>
        <w:rPr>
          <w:b/>
          <w:bCs/>
        </w:rPr>
      </w:pPr>
      <w:r w:rsidRPr="007B05EB">
        <w:rPr>
          <w:b/>
          <w:bCs/>
        </w:rPr>
        <w:t>Hon. Michael Kaplan</w:t>
      </w:r>
      <w:r>
        <w:t xml:space="preserve"> -- </w:t>
      </w:r>
      <w:r w:rsidR="0005502B">
        <w:t xml:space="preserve">A big benefit of bankruptcy is quicker resolution.  Under the best of circumstances, discovery and preparation for a trial can take 12 to 24 months.  Appeals can extend the process for years. </w:t>
      </w:r>
      <w:r w:rsidR="007C5F14">
        <w:t xml:space="preserve"> Would the trials add delay to the bankruptcy process?</w:t>
      </w:r>
      <w:r w:rsidR="004C3517">
        <w:t xml:space="preserve">  Or, would </w:t>
      </w:r>
      <w:r w:rsidR="00F821FC">
        <w:t xml:space="preserve">unfinished trials be dismissed and handled </w:t>
      </w:r>
      <w:r w:rsidR="00C360E6">
        <w:t xml:space="preserve">by the final </w:t>
      </w:r>
      <w:r w:rsidR="00F821FC">
        <w:t>reorganization plan?</w:t>
      </w:r>
    </w:p>
    <w:p w14:paraId="4F618596" w14:textId="5D18FCE4" w:rsidR="0011527D" w:rsidRDefault="0011527D" w:rsidP="0011527D">
      <w:r>
        <w:rPr>
          <w:b/>
          <w:bCs/>
        </w:rPr>
        <w:t>Panel 2</w:t>
      </w:r>
      <w:r w:rsidR="00B001EE">
        <w:rPr>
          <w:b/>
          <w:bCs/>
        </w:rPr>
        <w:t xml:space="preserve"> </w:t>
      </w:r>
    </w:p>
    <w:p w14:paraId="494F9CD8" w14:textId="586BA2D1" w:rsidR="00B001EE" w:rsidRDefault="00B001EE" w:rsidP="0011527D">
      <w:r w:rsidRPr="00B001EE">
        <w:rPr>
          <w:b/>
          <w:bCs/>
        </w:rPr>
        <w:t>Moderator</w:t>
      </w:r>
      <w:r>
        <w:t xml:space="preserve"> -- The </w:t>
      </w:r>
      <w:r w:rsidR="005B4A30">
        <w:t>C</w:t>
      </w:r>
      <w:r>
        <w:t>enter with the help of a te</w:t>
      </w:r>
      <w:r w:rsidR="005B4A30">
        <w:t>a</w:t>
      </w:r>
      <w:r>
        <w:t xml:space="preserve">m of bankruptcy judges and lawyers </w:t>
      </w:r>
      <w:r w:rsidR="005B4A30">
        <w:t xml:space="preserve">developed a set of </w:t>
      </w:r>
      <w:r w:rsidR="00FC5FFA">
        <w:t>best draft</w:t>
      </w:r>
      <w:r w:rsidR="005B4A30">
        <w:t xml:space="preserve"> practices addressing issues raised at an earlier bench-bar summit.  </w:t>
      </w:r>
      <w:r w:rsidR="0074140F">
        <w:t>The best practices address</w:t>
      </w:r>
      <w:r w:rsidR="00054F0C">
        <w:t xml:space="preserve"> the appointment of a special master, </w:t>
      </w:r>
      <w:r w:rsidR="00FB5020">
        <w:t xml:space="preserve">a </w:t>
      </w:r>
      <w:r w:rsidR="00344E53">
        <w:t xml:space="preserve">model </w:t>
      </w:r>
      <w:r w:rsidR="003061E3">
        <w:t xml:space="preserve">consensual </w:t>
      </w:r>
      <w:r w:rsidR="009F4AEB">
        <w:t xml:space="preserve">release of nondebtors from liabilities, </w:t>
      </w:r>
      <w:r w:rsidR="00BF5AEB">
        <w:t>adding more questions</w:t>
      </w:r>
      <w:r w:rsidR="003061E3">
        <w:t xml:space="preserve"> </w:t>
      </w:r>
      <w:r w:rsidR="00BF5AEB">
        <w:t>to a proof-of-</w:t>
      </w:r>
      <w:r w:rsidR="003061E3">
        <w:t>claim</w:t>
      </w:r>
      <w:r w:rsidR="00BF5AEB">
        <w:t xml:space="preserve"> </w:t>
      </w:r>
      <w:r w:rsidR="003061E3">
        <w:t>Official</w:t>
      </w:r>
      <w:r w:rsidR="00BF5AEB">
        <w:t xml:space="preserve"> Form, and highlighting </w:t>
      </w:r>
      <w:r w:rsidR="00652898">
        <w:t>the filing</w:t>
      </w:r>
      <w:r w:rsidR="003061E3">
        <w:t xml:space="preserve"> of </w:t>
      </w:r>
      <w:r w:rsidR="00FB5020">
        <w:t xml:space="preserve">a </w:t>
      </w:r>
      <w:r w:rsidR="00FB5020" w:rsidRPr="003061E3">
        <w:rPr>
          <w:i/>
          <w:iCs/>
        </w:rPr>
        <w:t>parens patriae</w:t>
      </w:r>
      <w:r w:rsidR="00FB5020">
        <w:t xml:space="preserve"> claim</w:t>
      </w:r>
      <w:r w:rsidR="003061E3" w:rsidRPr="003061E3">
        <w:t xml:space="preserve"> </w:t>
      </w:r>
      <w:r w:rsidR="003061E3">
        <w:t xml:space="preserve">by a municipality. </w:t>
      </w:r>
      <w:r w:rsidR="00054F0C">
        <w:t xml:space="preserve"> </w:t>
      </w:r>
      <w:r w:rsidR="00652898">
        <w:t>The drafts will be published for public comment for a six-week period</w:t>
      </w:r>
      <w:r w:rsidR="00C70794">
        <w:t xml:space="preserve"> and comments and suggestions are welcome</w:t>
      </w:r>
      <w:r w:rsidR="00652898">
        <w:t xml:space="preserve"> </w:t>
      </w:r>
      <w:r w:rsidR="000E22AC">
        <w:t>at</w:t>
      </w:r>
      <w:r w:rsidR="00652898">
        <w:t xml:space="preserve"> this summit.  </w:t>
      </w:r>
    </w:p>
    <w:p w14:paraId="091FEC63" w14:textId="0C300CF9" w:rsidR="00CC0E96" w:rsidRDefault="00CC0E96" w:rsidP="0011527D">
      <w:pPr>
        <w:rPr>
          <w:b/>
          <w:bCs/>
        </w:rPr>
      </w:pPr>
      <w:r w:rsidRPr="00CC0E96">
        <w:rPr>
          <w:b/>
          <w:bCs/>
        </w:rPr>
        <w:t>Speakers</w:t>
      </w:r>
      <w:r>
        <w:t xml:space="preserve"> </w:t>
      </w:r>
      <w:r>
        <w:rPr>
          <w:b/>
          <w:bCs/>
        </w:rPr>
        <w:t xml:space="preserve">– </w:t>
      </w:r>
      <w:r w:rsidRPr="00B001EE">
        <w:t>17 minutes for each presentation</w:t>
      </w:r>
    </w:p>
    <w:p w14:paraId="00EFED09" w14:textId="5A625E28" w:rsidR="007C5F14" w:rsidRPr="004A576D" w:rsidRDefault="005A4F55" w:rsidP="007C5F14">
      <w:pPr>
        <w:pStyle w:val="ListParagraph"/>
        <w:numPr>
          <w:ilvl w:val="0"/>
          <w:numId w:val="4"/>
        </w:numPr>
      </w:pPr>
      <w:r w:rsidRPr="005A4F55">
        <w:rPr>
          <w:b/>
          <w:bCs/>
        </w:rPr>
        <w:t xml:space="preserve">Hon. </w:t>
      </w:r>
      <w:r w:rsidR="004A5BD7">
        <w:rPr>
          <w:b/>
          <w:bCs/>
        </w:rPr>
        <w:t>Michael Kaplan</w:t>
      </w:r>
      <w:r>
        <w:t xml:space="preserve"> -- </w:t>
      </w:r>
      <w:r w:rsidR="007C5F14" w:rsidRPr="007C5F14">
        <w:t xml:space="preserve">The Advisory Committee on </w:t>
      </w:r>
      <w:r w:rsidR="007C5F14">
        <w:t>B</w:t>
      </w:r>
      <w:r w:rsidR="007C5F14" w:rsidRPr="007C5F14">
        <w:t xml:space="preserve">ankruptcy Rules is considering </w:t>
      </w:r>
      <w:r w:rsidR="008742A3">
        <w:t xml:space="preserve">your </w:t>
      </w:r>
      <w:r w:rsidR="007C5F14" w:rsidRPr="007C5F14">
        <w:t>propos</w:t>
      </w:r>
      <w:r w:rsidR="008742A3">
        <w:t>ed</w:t>
      </w:r>
      <w:r w:rsidR="007C5F14" w:rsidRPr="007C5F14">
        <w:t xml:space="preserve"> amendment to Rule 9031 to permit a court to appoint a special master in a bankruptcy case</w:t>
      </w:r>
      <w:r w:rsidR="007C5F14" w:rsidRPr="004A576D">
        <w:t xml:space="preserve">. </w:t>
      </w:r>
      <w:r w:rsidR="004A576D" w:rsidRPr="004A576D">
        <w:t xml:space="preserve"> </w:t>
      </w:r>
      <w:r w:rsidR="00D74D07">
        <w:t xml:space="preserve">Can you </w:t>
      </w:r>
      <w:r w:rsidR="00DD36DE">
        <w:t>p</w:t>
      </w:r>
      <w:r w:rsidR="00D74D07">
        <w:t xml:space="preserve">lease describe the </w:t>
      </w:r>
      <w:r w:rsidR="00DD36DE">
        <w:t>reasons</w:t>
      </w:r>
      <w:r w:rsidR="00D74D07">
        <w:t xml:space="preserve"> for your proposal, including the need</w:t>
      </w:r>
      <w:r w:rsidR="00DD36DE">
        <w:t>?  Should the types of duties assigned to a special master by a bankruptcy judge be limited?</w:t>
      </w:r>
      <w:r w:rsidR="00D74D07">
        <w:t xml:space="preserve"> </w:t>
      </w:r>
    </w:p>
    <w:p w14:paraId="1DCDD5BF" w14:textId="485EF8A9" w:rsidR="004A576D" w:rsidRDefault="005A4F55" w:rsidP="007C5F14">
      <w:pPr>
        <w:pStyle w:val="ListParagraph"/>
        <w:numPr>
          <w:ilvl w:val="0"/>
          <w:numId w:val="4"/>
        </w:numPr>
      </w:pPr>
      <w:r w:rsidRPr="005A4F55">
        <w:rPr>
          <w:b/>
          <w:bCs/>
        </w:rPr>
        <w:t xml:space="preserve">Hon. </w:t>
      </w:r>
      <w:r w:rsidR="00D64B4C">
        <w:rPr>
          <w:b/>
          <w:bCs/>
        </w:rPr>
        <w:t xml:space="preserve">Edmund Sargus -- </w:t>
      </w:r>
      <w:r w:rsidR="004A576D" w:rsidRPr="004A576D">
        <w:t xml:space="preserve">If </w:t>
      </w:r>
      <w:r w:rsidR="00A17B99">
        <w:t xml:space="preserve">the </w:t>
      </w:r>
      <w:r w:rsidR="00F07569">
        <w:t xml:space="preserve">greatest need for a </w:t>
      </w:r>
      <w:r w:rsidR="004A576D" w:rsidRPr="004A576D">
        <w:t xml:space="preserve">special master </w:t>
      </w:r>
      <w:r w:rsidR="00F07569">
        <w:t xml:space="preserve">is only in a few </w:t>
      </w:r>
      <w:r w:rsidR="00F07569" w:rsidRPr="004A576D">
        <w:t>complex</w:t>
      </w:r>
      <w:r w:rsidR="004A576D" w:rsidRPr="004A576D">
        <w:t xml:space="preserve"> bankruptcy cases, </w:t>
      </w:r>
      <w:r w:rsidR="009521D9">
        <w:t xml:space="preserve">members of the Bankruptcy Rules Committee </w:t>
      </w:r>
      <w:r w:rsidR="004A576D">
        <w:t xml:space="preserve">raised </w:t>
      </w:r>
      <w:r w:rsidR="009521D9">
        <w:t xml:space="preserve">concerns </w:t>
      </w:r>
      <w:r w:rsidR="004A576D">
        <w:t xml:space="preserve">that the appointment power may be abused, inviting cronyism and unwarranted appointments. Does the power of a district court judge to withdraw a proceeding from a bankruptcy judge address these concerns?  </w:t>
      </w:r>
      <w:r w:rsidR="00344C5C">
        <w:t xml:space="preserve">Are there other </w:t>
      </w:r>
      <w:r w:rsidR="003E1126">
        <w:t xml:space="preserve">ways to address these potential problems, which </w:t>
      </w:r>
      <w:r w:rsidR="00732731">
        <w:t>did occur under the old referee system before the 1978 Bankruptcy Reform Act?</w:t>
      </w:r>
    </w:p>
    <w:p w14:paraId="3935CECD" w14:textId="0F91B433" w:rsidR="004A576D" w:rsidRDefault="00501431" w:rsidP="007C5F14">
      <w:pPr>
        <w:pStyle w:val="ListParagraph"/>
        <w:numPr>
          <w:ilvl w:val="0"/>
          <w:numId w:val="4"/>
        </w:numPr>
      </w:pPr>
      <w:r w:rsidRPr="00501431">
        <w:rPr>
          <w:b/>
          <w:bCs/>
        </w:rPr>
        <w:t>Eric Goodman</w:t>
      </w:r>
      <w:r>
        <w:t xml:space="preserve"> --</w:t>
      </w:r>
      <w:r w:rsidR="004A576D">
        <w:t xml:space="preserve">Following the Supreme Court’s holding in </w:t>
      </w:r>
      <w:r w:rsidR="004A576D" w:rsidRPr="004A576D">
        <w:rPr>
          <w:i/>
          <w:iCs/>
        </w:rPr>
        <w:t>Purdue Pharma</w:t>
      </w:r>
      <w:r w:rsidR="004A576D">
        <w:t xml:space="preserve">, </w:t>
      </w:r>
      <w:r w:rsidR="008909B3">
        <w:t xml:space="preserve">a few </w:t>
      </w:r>
      <w:r w:rsidR="004A576D">
        <w:t>bankruptcy courts have approved cons</w:t>
      </w:r>
      <w:r w:rsidR="00AE6C4D">
        <w:t>ent-</w:t>
      </w:r>
      <w:r w:rsidR="004A576D">
        <w:t xml:space="preserve">release </w:t>
      </w:r>
      <w:r w:rsidR="00AE6C4D">
        <w:t>provisions</w:t>
      </w:r>
      <w:r w:rsidR="004A576D">
        <w:t xml:space="preserve"> </w:t>
      </w:r>
      <w:r w:rsidR="00AE6C4D">
        <w:t>for non-debtor liabilities that require</w:t>
      </w:r>
      <w:r w:rsidR="004A576D">
        <w:t xml:space="preserve"> an </w:t>
      </w:r>
      <w:r w:rsidR="00AE6C4D">
        <w:t xml:space="preserve">affirmative </w:t>
      </w:r>
      <w:r w:rsidR="004A576D">
        <w:t>“opt</w:t>
      </w:r>
      <w:r w:rsidR="00AE6C4D">
        <w:t>-in” provision, while</w:t>
      </w:r>
      <w:r w:rsidR="008909B3">
        <w:t xml:space="preserve"> most</w:t>
      </w:r>
      <w:r w:rsidR="00AE6C4D">
        <w:t xml:space="preserve"> others permit an “opt-out” provision.  </w:t>
      </w:r>
      <w:r w:rsidR="008908E3">
        <w:t xml:space="preserve">How important </w:t>
      </w:r>
      <w:r w:rsidR="00056846">
        <w:t xml:space="preserve">is it that </w:t>
      </w:r>
      <w:r w:rsidR="002C70F3">
        <w:t>the</w:t>
      </w:r>
      <w:r w:rsidR="00056846">
        <w:t xml:space="preserve"> opt-out release provision </w:t>
      </w:r>
      <w:r w:rsidR="002C70F3">
        <w:t xml:space="preserve">is written in plain-English, </w:t>
      </w:r>
      <w:r w:rsidR="004F69B5">
        <w:t>conspicuous</w:t>
      </w:r>
      <w:r w:rsidR="002C70F3">
        <w:t>,</w:t>
      </w:r>
      <w:r w:rsidR="004F69B5">
        <w:t xml:space="preserve"> and </w:t>
      </w:r>
      <w:r w:rsidR="00AE6C4D">
        <w:t xml:space="preserve">sufficiently </w:t>
      </w:r>
      <w:r w:rsidR="002C70F3">
        <w:t>understandable</w:t>
      </w:r>
      <w:r w:rsidR="00AE6C4D">
        <w:t xml:space="preserve"> to make an informed decision?</w:t>
      </w:r>
    </w:p>
    <w:p w14:paraId="5DFBE1AD" w14:textId="5D40A4B9" w:rsidR="00384E5C" w:rsidRPr="00F04A91" w:rsidRDefault="00501431" w:rsidP="007C5F14">
      <w:pPr>
        <w:pStyle w:val="ListParagraph"/>
        <w:numPr>
          <w:ilvl w:val="0"/>
          <w:numId w:val="4"/>
        </w:numPr>
      </w:pPr>
      <w:r w:rsidRPr="0021006B">
        <w:rPr>
          <w:b/>
          <w:bCs/>
        </w:rPr>
        <w:t xml:space="preserve">Hon. Jerold </w:t>
      </w:r>
      <w:r w:rsidR="0021006B" w:rsidRPr="0021006B">
        <w:rPr>
          <w:b/>
          <w:bCs/>
        </w:rPr>
        <w:t>Poslusny</w:t>
      </w:r>
      <w:r w:rsidR="0021006B">
        <w:t xml:space="preserve"> -- </w:t>
      </w:r>
      <w:r w:rsidR="00F04A91" w:rsidRPr="00F04A91">
        <w:t xml:space="preserve">A </w:t>
      </w:r>
      <w:r w:rsidR="00F04A91">
        <w:t>d</w:t>
      </w:r>
      <w:r w:rsidR="00F04A91" w:rsidRPr="00F04A91">
        <w:t>ebtor can buy back its insurance policies</w:t>
      </w:r>
      <w:r w:rsidR="00F04A91">
        <w:t xml:space="preserve"> covering personal-injury claims under a Bankruptcy Code provision that is different from the provision addressed in </w:t>
      </w:r>
      <w:r w:rsidR="00F04A91" w:rsidRPr="00F04A91">
        <w:rPr>
          <w:i/>
          <w:iCs/>
        </w:rPr>
        <w:t>Pharma Purdue</w:t>
      </w:r>
      <w:r w:rsidR="00A47981">
        <w:rPr>
          <w:i/>
          <w:iCs/>
        </w:rPr>
        <w:t xml:space="preserve"> </w:t>
      </w:r>
      <w:r w:rsidR="00A47981">
        <w:t xml:space="preserve">and not covered </w:t>
      </w:r>
      <w:r w:rsidR="00046916">
        <w:t>under its analysis</w:t>
      </w:r>
      <w:r w:rsidR="00F04A91">
        <w:t xml:space="preserve">.  </w:t>
      </w:r>
      <w:r w:rsidR="00ED4694">
        <w:t xml:space="preserve">Does </w:t>
      </w:r>
      <w:r w:rsidR="00ED4694" w:rsidRPr="00ED4694">
        <w:rPr>
          <w:i/>
          <w:iCs/>
        </w:rPr>
        <w:t>Purdue Pharma</w:t>
      </w:r>
      <w:r w:rsidR="00ED4694">
        <w:t xml:space="preserve"> prohibit a </w:t>
      </w:r>
      <w:r w:rsidR="00937803">
        <w:t>debtor from</w:t>
      </w:r>
      <w:r w:rsidR="00ED4694">
        <w:t xml:space="preserve"> buying back insurance policies as a way to release the nondebtor</w:t>
      </w:r>
      <w:r w:rsidR="00AF4D84">
        <w:t xml:space="preserve"> insurance company from liabilities?</w:t>
      </w:r>
      <w:r w:rsidR="00ED4694">
        <w:t xml:space="preserve"> </w:t>
      </w:r>
    </w:p>
    <w:p w14:paraId="7869CB6B" w14:textId="7D6AAD9D" w:rsidR="00384E5C" w:rsidRDefault="00D64B4C" w:rsidP="007C5F14">
      <w:pPr>
        <w:pStyle w:val="ListParagraph"/>
        <w:numPr>
          <w:ilvl w:val="0"/>
          <w:numId w:val="4"/>
        </w:numPr>
      </w:pPr>
      <w:r w:rsidRPr="00D64B4C">
        <w:rPr>
          <w:b/>
          <w:bCs/>
        </w:rPr>
        <w:lastRenderedPageBreak/>
        <w:t>Hon. Jerold Poslusny</w:t>
      </w:r>
      <w:r>
        <w:t xml:space="preserve"> -- </w:t>
      </w:r>
      <w:r w:rsidR="00FC1072">
        <w:t>Official</w:t>
      </w:r>
      <w:r w:rsidR="00960009">
        <w:t xml:space="preserve"> Forms cannot be revised</w:t>
      </w:r>
      <w:r w:rsidR="00FC1072">
        <w:t>, with some exceptions</w:t>
      </w:r>
      <w:r w:rsidR="007115F0">
        <w:t xml:space="preserve">. </w:t>
      </w:r>
      <w:r w:rsidR="009613A0">
        <w:t>One exception is</w:t>
      </w:r>
      <w:r w:rsidR="0021237B">
        <w:t xml:space="preserve"> a</w:t>
      </w:r>
      <w:r w:rsidR="00384E5C">
        <w:t xml:space="preserve"> proof-of-claim form</w:t>
      </w:r>
      <w:r w:rsidR="0021237B">
        <w:t>, which</w:t>
      </w:r>
      <w:r w:rsidR="00384E5C">
        <w:t xml:space="preserve"> </w:t>
      </w:r>
      <w:r w:rsidR="001A53A4">
        <w:t>can be revised</w:t>
      </w:r>
      <w:r w:rsidR="00AF4D84">
        <w:t>,</w:t>
      </w:r>
      <w:r w:rsidR="001A53A4">
        <w:t xml:space="preserve"> </w:t>
      </w:r>
      <w:r w:rsidR="009613A0">
        <w:t xml:space="preserve">but only if </w:t>
      </w:r>
      <w:r w:rsidR="001A53A4">
        <w:t>it “</w:t>
      </w:r>
      <w:r w:rsidR="00384E5C">
        <w:t>conform</w:t>
      </w:r>
      <w:r w:rsidR="001A53A4">
        <w:t>s</w:t>
      </w:r>
      <w:r w:rsidR="00384E5C">
        <w:t xml:space="preserve"> substantially</w:t>
      </w:r>
      <w:r w:rsidR="001A53A4">
        <w:t>”</w:t>
      </w:r>
      <w:r w:rsidR="00384E5C">
        <w:t xml:space="preserve"> to </w:t>
      </w:r>
      <w:r w:rsidR="00050101">
        <w:t xml:space="preserve">the </w:t>
      </w:r>
      <w:r w:rsidR="00384E5C">
        <w:t>Official Form 410</w:t>
      </w:r>
      <w:r w:rsidR="00E54F0A" w:rsidRPr="00E54F0A">
        <w:t xml:space="preserve"> </w:t>
      </w:r>
      <w:r w:rsidR="00E54F0A">
        <w:t>proof-of-claim</w:t>
      </w:r>
      <w:r w:rsidR="00384E5C">
        <w:t xml:space="preserve">. </w:t>
      </w:r>
      <w:r w:rsidR="000C7802">
        <w:t xml:space="preserve">What </w:t>
      </w:r>
      <w:r w:rsidR="00C322FC">
        <w:t xml:space="preserve">factors </w:t>
      </w:r>
      <w:r w:rsidR="000C7802">
        <w:t>should</w:t>
      </w:r>
      <w:r w:rsidR="00384E5C">
        <w:t xml:space="preserve"> </w:t>
      </w:r>
      <w:r w:rsidR="000C7802">
        <w:t>be consider</w:t>
      </w:r>
      <w:r w:rsidR="00C322FC">
        <w:t>ed</w:t>
      </w:r>
      <w:r w:rsidR="000C7802">
        <w:t xml:space="preserve"> when determining whether </w:t>
      </w:r>
      <w:r w:rsidR="00384E5C">
        <w:t xml:space="preserve">adding a few questions </w:t>
      </w:r>
      <w:r w:rsidR="00233EDB">
        <w:t>to the proof-of-claim Official Form</w:t>
      </w:r>
      <w:r w:rsidR="00233EDB" w:rsidRPr="000C7802">
        <w:t xml:space="preserve"> </w:t>
      </w:r>
      <w:r w:rsidR="00384E5C">
        <w:t>to provide more details for personal-injury claims</w:t>
      </w:r>
      <w:r w:rsidR="001A53A4">
        <w:t xml:space="preserve"> </w:t>
      </w:r>
      <w:r w:rsidR="000C7802">
        <w:t>would</w:t>
      </w:r>
      <w:r w:rsidR="00C02AC3">
        <w:t xml:space="preserve"> comply with the</w:t>
      </w:r>
      <w:r w:rsidR="000C7802">
        <w:t xml:space="preserve"> “substantially conform”</w:t>
      </w:r>
      <w:r w:rsidR="00C02AC3">
        <w:t xml:space="preserve"> requirement</w:t>
      </w:r>
      <w:r w:rsidR="00384E5C">
        <w:t>?</w:t>
      </w:r>
      <w:r w:rsidR="00E54F0A">
        <w:t xml:space="preserve"> </w:t>
      </w:r>
    </w:p>
    <w:p w14:paraId="449E2593" w14:textId="02C1B4AA" w:rsidR="0011527D" w:rsidRPr="005C3E60" w:rsidRDefault="00B36923" w:rsidP="0011527D">
      <w:pPr>
        <w:pStyle w:val="ListParagraph"/>
        <w:numPr>
          <w:ilvl w:val="0"/>
          <w:numId w:val="4"/>
        </w:numPr>
        <w:rPr>
          <w:b/>
          <w:bCs/>
        </w:rPr>
      </w:pPr>
      <w:r w:rsidRPr="00D64B4C">
        <w:rPr>
          <w:b/>
          <w:bCs/>
        </w:rPr>
        <w:t>Hon. Judith Fitzgerald</w:t>
      </w:r>
      <w:r>
        <w:t xml:space="preserve"> -- </w:t>
      </w:r>
      <w:r w:rsidR="005C3E60">
        <w:t>Question 8 on the proof</w:t>
      </w:r>
      <w:r w:rsidR="00384E5C">
        <w:t>-</w:t>
      </w:r>
      <w:r w:rsidR="005C3E60">
        <w:t>of</w:t>
      </w:r>
      <w:r w:rsidR="00384E5C">
        <w:t>-</w:t>
      </w:r>
      <w:r w:rsidR="005C3E60">
        <w:t xml:space="preserve">claim form asks only whether a personal-injury claim is alleged. </w:t>
      </w:r>
      <w:r w:rsidR="00F726DD">
        <w:t>What factors should be considered when determining whether</w:t>
      </w:r>
      <w:r w:rsidR="005C3E60">
        <w:t xml:space="preserve"> the extent of burdens imposed on a claimant </w:t>
      </w:r>
      <w:r w:rsidR="00F726DD">
        <w:t xml:space="preserve">to </w:t>
      </w:r>
      <w:r w:rsidR="004B072B">
        <w:t>answer</w:t>
      </w:r>
      <w:r w:rsidR="00F726DD">
        <w:t xml:space="preserve"> additional </w:t>
      </w:r>
      <w:r w:rsidR="004B072B">
        <w:t>questions and</w:t>
      </w:r>
      <w:r w:rsidR="00F726DD">
        <w:t xml:space="preserve"> submi</w:t>
      </w:r>
      <w:r w:rsidR="004B072B">
        <w:t xml:space="preserve">t </w:t>
      </w:r>
      <w:r w:rsidR="00F726DD">
        <w:t>attachments of medical records</w:t>
      </w:r>
      <w:r w:rsidR="00657610">
        <w:t xml:space="preserve"> would comply with the “substantially conform” </w:t>
      </w:r>
      <w:r w:rsidR="00526677">
        <w:t>restriction</w:t>
      </w:r>
      <w:r w:rsidR="00657610">
        <w:t xml:space="preserve">? </w:t>
      </w:r>
      <w:r w:rsidR="00F726DD">
        <w:t xml:space="preserve"> </w:t>
      </w:r>
    </w:p>
    <w:p w14:paraId="1C3C5B65" w14:textId="4CE97AC2" w:rsidR="005C3E60" w:rsidRPr="005C3E60" w:rsidRDefault="00D64B4C" w:rsidP="0011527D">
      <w:pPr>
        <w:pStyle w:val="ListParagraph"/>
        <w:numPr>
          <w:ilvl w:val="0"/>
          <w:numId w:val="4"/>
        </w:numPr>
        <w:rPr>
          <w:b/>
          <w:bCs/>
        </w:rPr>
      </w:pPr>
      <w:r w:rsidRPr="00D64B4C">
        <w:rPr>
          <w:b/>
          <w:bCs/>
        </w:rPr>
        <w:t>Hon. Judith Fitzgerald</w:t>
      </w:r>
      <w:r>
        <w:t xml:space="preserve"> -- </w:t>
      </w:r>
      <w:r w:rsidR="00202311">
        <w:t xml:space="preserve">In many states only the attorney general may file a </w:t>
      </w:r>
      <w:r w:rsidR="00202311" w:rsidRPr="00202311">
        <w:rPr>
          <w:i/>
          <w:iCs/>
        </w:rPr>
        <w:t>parens patriae</w:t>
      </w:r>
      <w:r w:rsidR="00202311">
        <w:t xml:space="preserve"> claim</w:t>
      </w:r>
      <w:r w:rsidR="00202311" w:rsidRPr="00202311">
        <w:t xml:space="preserve"> </w:t>
      </w:r>
      <w:r w:rsidR="00202311">
        <w:t xml:space="preserve">on behalf of its constituents.  </w:t>
      </w:r>
      <w:r w:rsidR="005C3E60">
        <w:t xml:space="preserve">A municipality may or may not have authority to file a </w:t>
      </w:r>
      <w:r w:rsidR="005C3E60" w:rsidRPr="005C3E60">
        <w:rPr>
          <w:i/>
          <w:iCs/>
        </w:rPr>
        <w:t>parens patriae</w:t>
      </w:r>
      <w:r w:rsidR="005C3E60">
        <w:t xml:space="preserve"> claim </w:t>
      </w:r>
      <w:r w:rsidR="004E403E">
        <w:t>based on state law</w:t>
      </w:r>
      <w:r w:rsidR="005C3E60">
        <w:t xml:space="preserve">. </w:t>
      </w:r>
      <w:r w:rsidR="00D964D1">
        <w:t xml:space="preserve"> </w:t>
      </w:r>
      <w:r w:rsidR="005C3E60">
        <w:t xml:space="preserve">Is the name of the municipality on the proof-of-claim form sufficient to inform </w:t>
      </w:r>
      <w:r w:rsidR="00D964D1">
        <w:t>the state attorney general’s office</w:t>
      </w:r>
      <w:r w:rsidR="005C3E60">
        <w:t xml:space="preserve"> that the</w:t>
      </w:r>
      <w:r w:rsidR="00D964D1">
        <w:t xml:space="preserve"> municipality is</w:t>
      </w:r>
      <w:r w:rsidR="005C3E60">
        <w:t xml:space="preserve"> filing a claim on behalf of their constituents or should the form be revised to add </w:t>
      </w:r>
      <w:r w:rsidR="00F31B2B">
        <w:t xml:space="preserve">a </w:t>
      </w:r>
      <w:r w:rsidR="005C3E60" w:rsidRPr="005C3E60">
        <w:rPr>
          <w:i/>
          <w:iCs/>
        </w:rPr>
        <w:t>parens patriae</w:t>
      </w:r>
      <w:r w:rsidR="005C3E60">
        <w:t xml:space="preserve"> checkbox</w:t>
      </w:r>
      <w:r w:rsidR="00F675B5">
        <w:t xml:space="preserve"> </w:t>
      </w:r>
      <w:r w:rsidR="0074140F">
        <w:t xml:space="preserve">to </w:t>
      </w:r>
      <w:r w:rsidR="008352AF">
        <w:t xml:space="preserve">state that the claim is filed on the citizens’ behalf and </w:t>
      </w:r>
      <w:r w:rsidR="0074140F">
        <w:t>alert the state attorney general’s office</w:t>
      </w:r>
      <w:r w:rsidR="005C3E60">
        <w:t>?</w:t>
      </w:r>
    </w:p>
    <w:p w14:paraId="23914985" w14:textId="460B53C3" w:rsidR="0011527D" w:rsidRDefault="0011527D" w:rsidP="0011527D">
      <w:pPr>
        <w:rPr>
          <w:b/>
          <w:bCs/>
        </w:rPr>
      </w:pPr>
      <w:r>
        <w:rPr>
          <w:b/>
          <w:bCs/>
        </w:rPr>
        <w:t>Panel 3</w:t>
      </w:r>
    </w:p>
    <w:p w14:paraId="77E807EF" w14:textId="327C440B" w:rsidR="00A76FC7" w:rsidRDefault="00CC0E96" w:rsidP="0011527D">
      <w:pPr>
        <w:rPr>
          <w:b/>
          <w:bCs/>
        </w:rPr>
      </w:pPr>
      <w:r>
        <w:rPr>
          <w:b/>
          <w:bCs/>
        </w:rPr>
        <w:t xml:space="preserve">Moderator – </w:t>
      </w:r>
      <w:r w:rsidR="00E40D56">
        <w:rPr>
          <w:b/>
          <w:bCs/>
        </w:rPr>
        <w:t xml:space="preserve"> </w:t>
      </w:r>
      <w:r w:rsidR="00E40D56" w:rsidRPr="00020D7D">
        <w:t xml:space="preserve">There </w:t>
      </w:r>
      <w:r w:rsidR="00020D7D">
        <w:t xml:space="preserve">are </w:t>
      </w:r>
      <w:r w:rsidR="00020D7D" w:rsidRPr="00020D7D">
        <w:t>three</w:t>
      </w:r>
      <w:r w:rsidR="00E40D56" w:rsidRPr="00020D7D">
        <w:t xml:space="preserve"> </w:t>
      </w:r>
      <w:r w:rsidR="00020D7D" w:rsidRPr="00020D7D">
        <w:t>categories of p</w:t>
      </w:r>
      <w:r w:rsidR="00E40D56" w:rsidRPr="00020D7D">
        <w:t>laintiff</w:t>
      </w:r>
      <w:r w:rsidR="00252FDD">
        <w:t>-</w:t>
      </w:r>
      <w:r w:rsidR="00E40D56" w:rsidRPr="00E40D56">
        <w:t>tort lawyers in a</w:t>
      </w:r>
      <w:r w:rsidR="00020D7D">
        <w:t xml:space="preserve"> </w:t>
      </w:r>
      <w:r w:rsidR="00E40D56" w:rsidRPr="00E40D56">
        <w:t>mass-tort MDL</w:t>
      </w:r>
      <w:r w:rsidR="00020D7D">
        <w:t xml:space="preserve"> who </w:t>
      </w:r>
      <w:r w:rsidR="007F02B8">
        <w:t xml:space="preserve">have invested money or their time in the </w:t>
      </w:r>
      <w:r w:rsidR="00252FDD">
        <w:t xml:space="preserve">MDL </w:t>
      </w:r>
      <w:r w:rsidR="007F02B8">
        <w:t xml:space="preserve">litigation before it moves into bankruptcy, including: (1) </w:t>
      </w:r>
      <w:r w:rsidR="00AF4336">
        <w:t>hundreds of l</w:t>
      </w:r>
      <w:r w:rsidR="007F02B8">
        <w:t xml:space="preserve">awyers </w:t>
      </w:r>
      <w:r w:rsidR="00AF4336">
        <w:t>retained by individual clients alleging personal-injury claims; (2)</w:t>
      </w:r>
      <w:r w:rsidR="007F02B8">
        <w:t xml:space="preserve"> </w:t>
      </w:r>
      <w:r w:rsidR="00226576">
        <w:t xml:space="preserve">large number of lawyers assigned </w:t>
      </w:r>
      <w:r w:rsidR="009B1D1B">
        <w:t xml:space="preserve">common-benefit </w:t>
      </w:r>
      <w:r w:rsidR="00226576">
        <w:t xml:space="preserve">litigation work payable from a fund established by the </w:t>
      </w:r>
      <w:r w:rsidR="00A76FC7">
        <w:t>district</w:t>
      </w:r>
      <w:r w:rsidR="002060F0">
        <w:t>-</w:t>
      </w:r>
      <w:r w:rsidR="00226576">
        <w:t>court</w:t>
      </w:r>
      <w:r w:rsidR="00A76FC7">
        <w:t xml:space="preserve"> judge</w:t>
      </w:r>
      <w:r w:rsidR="00226576">
        <w:t>; and (3)</w:t>
      </w:r>
      <w:r w:rsidR="007F02B8">
        <w:t xml:space="preserve"> </w:t>
      </w:r>
      <w:r w:rsidR="00D01A20">
        <w:t xml:space="preserve">lawyers on the plaintiff steering committee who contributed millions of dollars upfront to </w:t>
      </w:r>
      <w:r w:rsidR="00587481">
        <w:t>finance</w:t>
      </w:r>
      <w:r w:rsidR="00D01A20">
        <w:t xml:space="preserve"> the litigation.</w:t>
      </w:r>
      <w:r w:rsidR="00A76FC7">
        <w:t xml:space="preserve">  </w:t>
      </w:r>
      <w:r w:rsidR="00EA50BA">
        <w:t>When the mass-tort MDL moves into bankruptcy</w:t>
      </w:r>
      <w:r w:rsidR="00C654C1">
        <w:t xml:space="preserve">, a new set of bankruptcy lawyers takes control in developing a Chapter 11 plan of reorganization. </w:t>
      </w:r>
      <w:r w:rsidR="00B36D6C">
        <w:t xml:space="preserve"> </w:t>
      </w:r>
      <w:r w:rsidR="000918DB">
        <w:t xml:space="preserve">Questions are raised about the </w:t>
      </w:r>
      <w:r w:rsidR="008E663C">
        <w:t>legal force</w:t>
      </w:r>
      <w:r w:rsidR="000918DB">
        <w:t xml:space="preserve"> and effect of contingency-fee agreements between</w:t>
      </w:r>
      <w:r w:rsidR="00730005">
        <w:t xml:space="preserve"> the lawyers and </w:t>
      </w:r>
      <w:r w:rsidR="005A730D">
        <w:t xml:space="preserve">their </w:t>
      </w:r>
      <w:r w:rsidR="00730005">
        <w:t>clients</w:t>
      </w:r>
      <w:r w:rsidR="00CA1B65">
        <w:t>.</w:t>
      </w:r>
      <w:r w:rsidR="00541B40">
        <w:t xml:space="preserve"> </w:t>
      </w:r>
      <w:r w:rsidR="00262E24">
        <w:t xml:space="preserve"> </w:t>
      </w:r>
      <w:r w:rsidR="006159C6">
        <w:t>Putting a</w:t>
      </w:r>
      <w:r w:rsidR="00262E24">
        <w:t xml:space="preserve">side the </w:t>
      </w:r>
      <w:r w:rsidR="00FB6ACE">
        <w:t xml:space="preserve">legal issue, how are these </w:t>
      </w:r>
      <w:r w:rsidR="00AA4E6D">
        <w:t>fees for prepetition work and contributions handled in bankruptcy</w:t>
      </w:r>
      <w:r w:rsidR="002B7EC3">
        <w:t xml:space="preserve"> as a practical matter</w:t>
      </w:r>
      <w:r w:rsidR="00AA4E6D">
        <w:t>?</w:t>
      </w:r>
    </w:p>
    <w:p w14:paraId="0757FAB4" w14:textId="057378FA" w:rsidR="00CC0E96" w:rsidRPr="00CC0E96" w:rsidRDefault="00CC0E96" w:rsidP="0011527D">
      <w:r>
        <w:rPr>
          <w:b/>
          <w:bCs/>
        </w:rPr>
        <w:t xml:space="preserve">Speakers </w:t>
      </w:r>
      <w:r w:rsidR="00387020">
        <w:rPr>
          <w:b/>
          <w:bCs/>
        </w:rPr>
        <w:t>–</w:t>
      </w:r>
      <w:r>
        <w:rPr>
          <w:b/>
          <w:bCs/>
        </w:rPr>
        <w:t xml:space="preserve"> </w:t>
      </w:r>
      <w:bookmarkStart w:id="0" w:name="_Hlk210464589"/>
      <w:r w:rsidR="00387020">
        <w:t>1</w:t>
      </w:r>
      <w:r w:rsidR="002E3878">
        <w:t>2</w:t>
      </w:r>
      <w:r w:rsidR="00387020">
        <w:t xml:space="preserve"> minutes maximum for each presentation</w:t>
      </w:r>
      <w:bookmarkEnd w:id="0"/>
    </w:p>
    <w:p w14:paraId="424B610B" w14:textId="34FF724A" w:rsidR="00DE52A6" w:rsidRDefault="00DE52A6" w:rsidP="00DE52A6">
      <w:pPr>
        <w:pStyle w:val="ListParagraph"/>
        <w:numPr>
          <w:ilvl w:val="0"/>
          <w:numId w:val="5"/>
        </w:numPr>
      </w:pPr>
      <w:r w:rsidRPr="006465FB">
        <w:rPr>
          <w:b/>
          <w:bCs/>
        </w:rPr>
        <w:t>Michael Dockterman</w:t>
      </w:r>
      <w:r>
        <w:t xml:space="preserve"> </w:t>
      </w:r>
      <w:r w:rsidR="00B707F4">
        <w:t>– Hundreds of p</w:t>
      </w:r>
      <w:r>
        <w:t xml:space="preserve">laintiff lawyers in a mass-tort MDL are compensated based on retention contracts entered into with their clients containing contingency-fee agreements.  If the MDL moves into bankruptcy, </w:t>
      </w:r>
      <w:r w:rsidR="00863B1F">
        <w:t xml:space="preserve">what is the legal force and effect </w:t>
      </w:r>
      <w:r w:rsidR="00F8137A">
        <w:t xml:space="preserve">of these </w:t>
      </w:r>
      <w:r w:rsidR="00B744D5">
        <w:t xml:space="preserve">prepetition </w:t>
      </w:r>
      <w:r w:rsidR="00F8137A">
        <w:t xml:space="preserve">agreements </w:t>
      </w:r>
      <w:r w:rsidR="00B63A82">
        <w:t>in bankruptcy</w:t>
      </w:r>
      <w:r>
        <w:t xml:space="preserve">? </w:t>
      </w:r>
      <w:bookmarkStart w:id="1" w:name="_Hlk211162313"/>
      <w:r w:rsidR="00AC173D">
        <w:t xml:space="preserve">How are these </w:t>
      </w:r>
      <w:r w:rsidR="00AE5591">
        <w:t xml:space="preserve">contingency fees </w:t>
      </w:r>
      <w:r w:rsidR="00B744D5">
        <w:t>calculated and paid?</w:t>
      </w:r>
    </w:p>
    <w:bookmarkEnd w:id="1"/>
    <w:p w14:paraId="286E15E6" w14:textId="3FD6CCB4" w:rsidR="00B37DD8" w:rsidRDefault="00FC2BA0" w:rsidP="00B37DD8">
      <w:pPr>
        <w:pStyle w:val="ListParagraph"/>
        <w:numPr>
          <w:ilvl w:val="0"/>
          <w:numId w:val="5"/>
        </w:numPr>
      </w:pPr>
      <w:r>
        <w:rPr>
          <w:b/>
          <w:bCs/>
        </w:rPr>
        <w:t xml:space="preserve">David Molton </w:t>
      </w:r>
      <w:r>
        <w:t xml:space="preserve">– </w:t>
      </w:r>
      <w:r w:rsidR="005E02BF">
        <w:t>Under agreements entered into by all plaintiff lawyers</w:t>
      </w:r>
      <w:r w:rsidR="00771092">
        <w:t xml:space="preserve"> in a mass-tort MDL</w:t>
      </w:r>
      <w:r w:rsidR="005E02BF">
        <w:t xml:space="preserve">, </w:t>
      </w:r>
      <w:r w:rsidR="00F93B27">
        <w:t xml:space="preserve">the work performed by </w:t>
      </w:r>
      <w:r w:rsidR="00167BE8">
        <w:t>plaintiff</w:t>
      </w:r>
      <w:r>
        <w:t xml:space="preserve"> lawyers </w:t>
      </w:r>
      <w:r w:rsidR="00167BE8">
        <w:t xml:space="preserve">in </w:t>
      </w:r>
      <w:r w:rsidR="00771092">
        <w:t>the</w:t>
      </w:r>
      <w:r w:rsidR="00167BE8">
        <w:t xml:space="preserve"> MDL </w:t>
      </w:r>
      <w:r w:rsidR="00973A0E">
        <w:t xml:space="preserve">is compensated </w:t>
      </w:r>
      <w:r>
        <w:t xml:space="preserve">on the expectation of being paid from a common-benefit fund established by the district court drawn from </w:t>
      </w:r>
      <w:r w:rsidR="00167BE8">
        <w:t xml:space="preserve">contingency </w:t>
      </w:r>
      <w:r>
        <w:t xml:space="preserve">fees of lawyers, </w:t>
      </w:r>
      <w:r w:rsidRPr="004D7257">
        <w:rPr>
          <w:i/>
          <w:iCs/>
        </w:rPr>
        <w:t>e.</w:t>
      </w:r>
      <w:r>
        <w:rPr>
          <w:i/>
          <w:iCs/>
        </w:rPr>
        <w:t>g.</w:t>
      </w:r>
      <w:r w:rsidRPr="004D7257">
        <w:rPr>
          <w:i/>
          <w:iCs/>
        </w:rPr>
        <w:t>,</w:t>
      </w:r>
      <w:r>
        <w:t xml:space="preserve"> 8% of the settlement amount. If the MDL moves into bankruptcy, are the </w:t>
      </w:r>
      <w:r w:rsidR="00E22754">
        <w:t xml:space="preserve">MDL </w:t>
      </w:r>
      <w:r>
        <w:t xml:space="preserve">common-benefit lawyers </w:t>
      </w:r>
      <w:r w:rsidR="00973A0E">
        <w:t>entitled to compensation</w:t>
      </w:r>
      <w:r>
        <w:t xml:space="preserve"> for their </w:t>
      </w:r>
      <w:r w:rsidR="00973A0E">
        <w:t xml:space="preserve">prepetition MDL </w:t>
      </w:r>
      <w:r>
        <w:t xml:space="preserve">work from </w:t>
      </w:r>
      <w:r w:rsidR="00973A0E">
        <w:t>contingency</w:t>
      </w:r>
      <w:r>
        <w:t xml:space="preserve"> fees paid to the </w:t>
      </w:r>
      <w:r w:rsidR="00973A0E">
        <w:t xml:space="preserve">plaintiff </w:t>
      </w:r>
      <w:r>
        <w:t xml:space="preserve">lawyers? </w:t>
      </w:r>
      <w:r w:rsidR="006B4CC6">
        <w:t xml:space="preserve">Do </w:t>
      </w:r>
      <w:r w:rsidR="006B4CC6">
        <w:lastRenderedPageBreak/>
        <w:t xml:space="preserve">you have any suggestions </w:t>
      </w:r>
      <w:r w:rsidR="00B45D80">
        <w:t>for developing</w:t>
      </w:r>
      <w:r w:rsidR="006B4CC6">
        <w:t xml:space="preserve"> best practices that make the process more transparent?</w:t>
      </w:r>
    </w:p>
    <w:p w14:paraId="01324F48" w14:textId="73CF0066" w:rsidR="0011527D" w:rsidRDefault="000C279F" w:rsidP="00B710C4">
      <w:pPr>
        <w:pStyle w:val="ListParagraph"/>
        <w:numPr>
          <w:ilvl w:val="0"/>
          <w:numId w:val="5"/>
        </w:numPr>
      </w:pPr>
      <w:r w:rsidRPr="00692E0C">
        <w:rPr>
          <w:b/>
          <w:bCs/>
        </w:rPr>
        <w:t>Brad Honnold</w:t>
      </w:r>
      <w:r>
        <w:t xml:space="preserve"> </w:t>
      </w:r>
      <w:r w:rsidR="007B711F">
        <w:t>–</w:t>
      </w:r>
      <w:r>
        <w:t xml:space="preserve"> </w:t>
      </w:r>
      <w:r w:rsidR="007B711F">
        <w:t>Under agreement</w:t>
      </w:r>
      <w:r w:rsidR="00962D3B">
        <w:t>s</w:t>
      </w:r>
      <w:r w:rsidR="007B711F">
        <w:t xml:space="preserve"> entered into by all plaintiff lawyers</w:t>
      </w:r>
      <w:r w:rsidR="00962D3B" w:rsidRPr="00962D3B">
        <w:t xml:space="preserve"> </w:t>
      </w:r>
      <w:r w:rsidR="00962D3B">
        <w:t>in a mass-tort MDL</w:t>
      </w:r>
      <w:r w:rsidR="007B711F">
        <w:t>, m</w:t>
      </w:r>
      <w:r w:rsidR="0090625C" w:rsidRPr="006A1163">
        <w:t xml:space="preserve">embers of the plaintiff steering committee </w:t>
      </w:r>
      <w:r w:rsidR="006A1163">
        <w:t xml:space="preserve">in </w:t>
      </w:r>
      <w:r w:rsidR="00962D3B">
        <w:t>the</w:t>
      </w:r>
      <w:r w:rsidR="006A1163">
        <w:t xml:space="preserve"> MDL typically contribute tens of millions of dollars upfront to </w:t>
      </w:r>
      <w:r w:rsidR="000439EA">
        <w:t>finance immediate</w:t>
      </w:r>
      <w:r w:rsidR="006A1163">
        <w:t xml:space="preserve"> </w:t>
      </w:r>
      <w:r w:rsidR="003D449A">
        <w:t xml:space="preserve">litigation </w:t>
      </w:r>
      <w:r w:rsidR="006A1163">
        <w:t>expenses</w:t>
      </w:r>
      <w:r w:rsidR="00DC7958">
        <w:t xml:space="preserve">. </w:t>
      </w:r>
      <w:r w:rsidR="0012336F">
        <w:t>They expect to be reimbursed</w:t>
      </w:r>
      <w:r w:rsidR="006A1163">
        <w:t xml:space="preserve"> </w:t>
      </w:r>
      <w:r w:rsidR="00F53701">
        <w:t xml:space="preserve">from </w:t>
      </w:r>
      <w:r w:rsidR="0073607F">
        <w:t xml:space="preserve">a common-benefit fund established by the district court </w:t>
      </w:r>
      <w:r w:rsidR="00A83F94">
        <w:t>drawn from</w:t>
      </w:r>
      <w:r w:rsidR="0073607F">
        <w:t xml:space="preserve"> </w:t>
      </w:r>
      <w:r w:rsidR="007B711F">
        <w:t xml:space="preserve">contingency </w:t>
      </w:r>
      <w:r w:rsidR="00C61C6F">
        <w:t>fees of l</w:t>
      </w:r>
      <w:r w:rsidR="00BB6F91">
        <w:t>a</w:t>
      </w:r>
      <w:r w:rsidR="00C61C6F">
        <w:t>wyers</w:t>
      </w:r>
      <w:r w:rsidR="004D7257">
        <w:t xml:space="preserve">, </w:t>
      </w:r>
      <w:r w:rsidR="004D7257" w:rsidRPr="00692E0C">
        <w:rPr>
          <w:i/>
          <w:iCs/>
        </w:rPr>
        <w:t>e.</w:t>
      </w:r>
      <w:r w:rsidR="00B456CE" w:rsidRPr="00692E0C">
        <w:rPr>
          <w:i/>
          <w:iCs/>
        </w:rPr>
        <w:t>g.</w:t>
      </w:r>
      <w:r w:rsidR="004D7257" w:rsidRPr="00692E0C">
        <w:rPr>
          <w:i/>
          <w:iCs/>
        </w:rPr>
        <w:t>,</w:t>
      </w:r>
      <w:r w:rsidR="004D7257">
        <w:t xml:space="preserve"> up to 2% of the settlement amount</w:t>
      </w:r>
      <w:r w:rsidR="00BB6F91">
        <w:t xml:space="preserve">. </w:t>
      </w:r>
      <w:bookmarkStart w:id="2" w:name="_Hlk210306054"/>
      <w:r w:rsidR="00443A5D">
        <w:t xml:space="preserve">If the MDL moves into </w:t>
      </w:r>
      <w:r w:rsidR="00A01393">
        <w:t>bankruptcy,</w:t>
      </w:r>
      <w:r w:rsidR="00443A5D">
        <w:t xml:space="preserve"> are the </w:t>
      </w:r>
      <w:r w:rsidR="000E36F1">
        <w:t xml:space="preserve">steering committee members </w:t>
      </w:r>
      <w:r w:rsidR="0067682E">
        <w:t>entitled</w:t>
      </w:r>
      <w:r w:rsidR="00056AA4">
        <w:t xml:space="preserve"> to</w:t>
      </w:r>
      <w:r w:rsidR="000E36F1">
        <w:t xml:space="preserve"> </w:t>
      </w:r>
      <w:r w:rsidR="0074029F">
        <w:t>reimburse</w:t>
      </w:r>
      <w:r w:rsidR="00056AA4">
        <w:t>ment</w:t>
      </w:r>
      <w:r w:rsidR="0074029F">
        <w:t xml:space="preserve"> for</w:t>
      </w:r>
      <w:r w:rsidR="000E36F1">
        <w:t xml:space="preserve"> their contributions</w:t>
      </w:r>
      <w:r w:rsidR="005B6019">
        <w:t xml:space="preserve"> from the </w:t>
      </w:r>
      <w:r w:rsidR="00DE52A6">
        <w:t>fees paid to the lawyers</w:t>
      </w:r>
      <w:r w:rsidR="000E36F1">
        <w:t>?</w:t>
      </w:r>
      <w:r w:rsidR="00F53701">
        <w:t xml:space="preserve"> </w:t>
      </w:r>
      <w:r w:rsidR="00692E0C">
        <w:t>How are these fees calculated and paid?</w:t>
      </w:r>
    </w:p>
    <w:p w14:paraId="7E86A700" w14:textId="1B026229" w:rsidR="002E3878" w:rsidRDefault="00E06792" w:rsidP="00B710C4">
      <w:pPr>
        <w:pStyle w:val="ListParagraph"/>
        <w:numPr>
          <w:ilvl w:val="0"/>
          <w:numId w:val="5"/>
        </w:numPr>
      </w:pPr>
      <w:r>
        <w:rPr>
          <w:b/>
          <w:bCs/>
        </w:rPr>
        <w:t xml:space="preserve">Anne Andrews </w:t>
      </w:r>
      <w:r w:rsidR="009F03E4">
        <w:t>–</w:t>
      </w:r>
      <w:r>
        <w:t xml:space="preserve"> </w:t>
      </w:r>
      <w:r w:rsidR="009F03E4">
        <w:t xml:space="preserve">You have extensive experience with </w:t>
      </w:r>
      <w:r w:rsidR="00021B84">
        <w:t>mass</w:t>
      </w:r>
      <w:r w:rsidR="009F03E4">
        <w:t xml:space="preserve">-tort MDLs </w:t>
      </w:r>
      <w:r w:rsidR="00021B84">
        <w:t xml:space="preserve">and mass-tort bankruptcies.  How have the </w:t>
      </w:r>
      <w:r w:rsidR="00EE27B2">
        <w:t>prep</w:t>
      </w:r>
      <w:r w:rsidR="001034C9">
        <w:t xml:space="preserve">etition MDL </w:t>
      </w:r>
      <w:r w:rsidR="00021B84">
        <w:t>contingency fees and common</w:t>
      </w:r>
      <w:r w:rsidR="001128E5">
        <w:t>-</w:t>
      </w:r>
      <w:r w:rsidR="00021B84">
        <w:t xml:space="preserve">benefit fees been handled in your cases?  Have some </w:t>
      </w:r>
      <w:r w:rsidR="00C36916">
        <w:t xml:space="preserve">groups of lawyers been </w:t>
      </w:r>
      <w:r w:rsidR="001128E5">
        <w:t xml:space="preserve">treated </w:t>
      </w:r>
      <w:r w:rsidR="001B36DC">
        <w:t xml:space="preserve">unfairly </w:t>
      </w:r>
      <w:r w:rsidR="00C36916">
        <w:t>in the distribution of fees</w:t>
      </w:r>
      <w:r w:rsidR="006B55D9">
        <w:t xml:space="preserve">, </w:t>
      </w:r>
      <w:r w:rsidR="001B36DC">
        <w:t>particularly</w:t>
      </w:r>
      <w:r w:rsidR="006B55D9">
        <w:t xml:space="preserve"> common-benefit lawyers</w:t>
      </w:r>
      <w:r w:rsidR="001B36DC">
        <w:t xml:space="preserve"> whose compensation is based on subjective judgments as to the value of the work performed?</w:t>
      </w:r>
      <w:r w:rsidR="00C36916">
        <w:t xml:space="preserve">  </w:t>
      </w:r>
      <w:r w:rsidR="000439EA">
        <w:t xml:space="preserve">Do you have any suggestions for developing best practices that make the process more transparent? </w:t>
      </w:r>
    </w:p>
    <w:bookmarkEnd w:id="2"/>
    <w:p w14:paraId="0CA2E645" w14:textId="7C108384" w:rsidR="00314856" w:rsidRDefault="000E3230" w:rsidP="00B710C4">
      <w:pPr>
        <w:pStyle w:val="ListParagraph"/>
        <w:numPr>
          <w:ilvl w:val="0"/>
          <w:numId w:val="5"/>
        </w:numPr>
      </w:pPr>
      <w:r w:rsidRPr="000E3230">
        <w:rPr>
          <w:b/>
          <w:bCs/>
        </w:rPr>
        <w:t>Hon. Michael Kaplan</w:t>
      </w:r>
      <w:r>
        <w:t xml:space="preserve"> </w:t>
      </w:r>
      <w:r w:rsidR="001D1147">
        <w:t>–</w:t>
      </w:r>
      <w:r>
        <w:t xml:space="preserve"> </w:t>
      </w:r>
      <w:r w:rsidR="001D1147">
        <w:t>Prepetition c</w:t>
      </w:r>
      <w:r w:rsidR="00314856">
        <w:t>ontingency</w:t>
      </w:r>
      <w:r w:rsidR="00444C9A">
        <w:t>-</w:t>
      </w:r>
      <w:r w:rsidR="00314856">
        <w:t xml:space="preserve">fee agreements between tort </w:t>
      </w:r>
      <w:r w:rsidR="00615DA7">
        <w:t>claimants</w:t>
      </w:r>
      <w:r w:rsidR="00314856">
        <w:t xml:space="preserve"> and their retained lawyer</w:t>
      </w:r>
      <w:r w:rsidR="006E209E">
        <w:t>s</w:t>
      </w:r>
      <w:r w:rsidR="00314856">
        <w:t xml:space="preserve"> can vary</w:t>
      </w:r>
      <w:r w:rsidR="00615DA7">
        <w:t>, often between</w:t>
      </w:r>
      <w:r w:rsidR="00314856">
        <w:t xml:space="preserve"> 25% </w:t>
      </w:r>
      <w:r w:rsidR="00615DA7">
        <w:t>to 40%</w:t>
      </w:r>
      <w:r w:rsidR="001D1147">
        <w:t xml:space="preserve">. </w:t>
      </w:r>
      <w:r w:rsidR="008E1CF3">
        <w:t>Does the court have any role in reviewing the contingency fees</w:t>
      </w:r>
      <w:r w:rsidR="002C7F2F">
        <w:t xml:space="preserve"> and the common-benefit fees that are paid from the contingency fees? </w:t>
      </w:r>
      <w:r w:rsidR="006C078B">
        <w:t xml:space="preserve"> </w:t>
      </w:r>
      <w:r w:rsidR="00420F8E">
        <w:t>What if</w:t>
      </w:r>
      <w:r w:rsidR="00D76CCA">
        <w:t xml:space="preserve"> the </w:t>
      </w:r>
      <w:r w:rsidR="00B967F8">
        <w:t>prepetition</w:t>
      </w:r>
      <w:r w:rsidR="00420F8E">
        <w:t>-</w:t>
      </w:r>
      <w:r w:rsidR="00D76CCA">
        <w:t xml:space="preserve">tort lawyers </w:t>
      </w:r>
      <w:r w:rsidR="00B967F8">
        <w:t>continue to provide representation services post-petition?</w:t>
      </w:r>
    </w:p>
    <w:p w14:paraId="1DA790EC" w14:textId="74217D73" w:rsidR="00331E77" w:rsidRDefault="00331E77" w:rsidP="00B710C4">
      <w:pPr>
        <w:pStyle w:val="ListParagraph"/>
        <w:numPr>
          <w:ilvl w:val="0"/>
          <w:numId w:val="5"/>
        </w:numPr>
      </w:pPr>
      <w:r w:rsidRPr="008D74A0">
        <w:rPr>
          <w:b/>
          <w:bCs/>
        </w:rPr>
        <w:t xml:space="preserve">Hon. </w:t>
      </w:r>
      <w:r w:rsidR="008D74A0" w:rsidRPr="008D74A0">
        <w:rPr>
          <w:b/>
          <w:bCs/>
        </w:rPr>
        <w:t>Philip Calabrese</w:t>
      </w:r>
      <w:r w:rsidR="008D74A0">
        <w:t xml:space="preserve"> -- </w:t>
      </w:r>
      <w:r w:rsidR="00652E9A">
        <w:t>L</w:t>
      </w:r>
      <w:r w:rsidR="009B7A0B">
        <w:t xml:space="preserve">awyers with individually retained clients </w:t>
      </w:r>
      <w:r w:rsidR="00E063EC">
        <w:t xml:space="preserve">may have </w:t>
      </w:r>
      <w:r w:rsidR="009B7A0B">
        <w:t xml:space="preserve">contracted a </w:t>
      </w:r>
      <w:r w:rsidR="00E063EC">
        <w:t xml:space="preserve">prepetition </w:t>
      </w:r>
      <w:r w:rsidR="00776F05">
        <w:t>40</w:t>
      </w:r>
      <w:r w:rsidR="009B7A0B">
        <w:t xml:space="preserve">% contingency </w:t>
      </w:r>
      <w:r w:rsidR="00E063EC">
        <w:t xml:space="preserve">fee </w:t>
      </w:r>
      <w:r w:rsidR="009B7A0B">
        <w:t xml:space="preserve">and lawyers </w:t>
      </w:r>
      <w:r w:rsidR="00E063EC">
        <w:t>performing</w:t>
      </w:r>
      <w:r w:rsidR="009B7A0B">
        <w:t xml:space="preserve"> </w:t>
      </w:r>
      <w:r w:rsidR="00E063EC">
        <w:t>common-benefit</w:t>
      </w:r>
      <w:r w:rsidR="009B7A0B">
        <w:t xml:space="preserve"> work</w:t>
      </w:r>
      <w:r w:rsidR="00AA6167">
        <w:t xml:space="preserve"> in the MDL</w:t>
      </w:r>
      <w:r w:rsidR="009B7A0B">
        <w:t xml:space="preserve"> would be entitled to</w:t>
      </w:r>
      <w:r w:rsidR="008A4B18">
        <w:t xml:space="preserve"> roughly</w:t>
      </w:r>
      <w:r w:rsidR="009B7A0B">
        <w:t xml:space="preserve"> </w:t>
      </w:r>
      <w:r w:rsidR="00776F05">
        <w:t>20%-</w:t>
      </w:r>
      <w:r w:rsidR="00E90274">
        <w:t>25%</w:t>
      </w:r>
      <w:r w:rsidR="00E063EC">
        <w:t xml:space="preserve"> of the lawyers</w:t>
      </w:r>
      <w:r w:rsidR="00AA6167">
        <w:t>’</w:t>
      </w:r>
      <w:r w:rsidR="00E063EC">
        <w:t xml:space="preserve"> contingency fees </w:t>
      </w:r>
      <w:r w:rsidR="00924742">
        <w:t xml:space="preserve">in accordance with agreements between the lawyers. </w:t>
      </w:r>
      <w:r w:rsidR="006A06B4">
        <w:t xml:space="preserve">What role, if any, should a judge play </w:t>
      </w:r>
      <w:r w:rsidR="001D4EBB">
        <w:t xml:space="preserve">in reviewing the fairness of </w:t>
      </w:r>
      <w:r w:rsidR="001A2260">
        <w:t>compensating</w:t>
      </w:r>
      <w:r w:rsidR="007265EC">
        <w:t xml:space="preserve"> the three categories </w:t>
      </w:r>
      <w:r w:rsidR="00EE0C89">
        <w:t>of prepetition</w:t>
      </w:r>
      <w:r w:rsidR="007265EC">
        <w:t xml:space="preserve">-plaintiff lawyers?  What if </w:t>
      </w:r>
      <w:r w:rsidR="005F065F">
        <w:t>a</w:t>
      </w:r>
      <w:r w:rsidR="00EE0C89">
        <w:t xml:space="preserve"> </w:t>
      </w:r>
      <w:r w:rsidR="005F065F">
        <w:t xml:space="preserve">“class” of </w:t>
      </w:r>
      <w:r w:rsidR="00EE0C89">
        <w:t>lawyers w</w:t>
      </w:r>
      <w:r w:rsidR="005F065F">
        <w:t>as</w:t>
      </w:r>
      <w:r w:rsidR="00EE0C89">
        <w:t xml:space="preserve"> </w:t>
      </w:r>
      <w:r w:rsidR="00606CE0">
        <w:t>“</w:t>
      </w:r>
      <w:r w:rsidR="00EE0C89">
        <w:t>overcompensated</w:t>
      </w:r>
      <w:r w:rsidR="00606CE0">
        <w:t>”</w:t>
      </w:r>
      <w:r w:rsidR="00EE0C89">
        <w:t xml:space="preserve"> to ensure their votes on a proposed plan of reorganization?</w:t>
      </w:r>
    </w:p>
    <w:p w14:paraId="7616FCA0" w14:textId="6417E7DC" w:rsidR="0011527D" w:rsidRPr="001B2179" w:rsidRDefault="006465FB" w:rsidP="0011527D">
      <w:pPr>
        <w:pStyle w:val="ListParagraph"/>
        <w:numPr>
          <w:ilvl w:val="0"/>
          <w:numId w:val="5"/>
        </w:numPr>
        <w:rPr>
          <w:b/>
          <w:bCs/>
        </w:rPr>
      </w:pPr>
      <w:r w:rsidRPr="006465FB">
        <w:rPr>
          <w:b/>
          <w:bCs/>
        </w:rPr>
        <w:t>Kathryn Harrison</w:t>
      </w:r>
      <w:r>
        <w:t xml:space="preserve"> -- </w:t>
      </w:r>
      <w:r w:rsidR="005909DB">
        <w:t xml:space="preserve">Appointing mass-tort MDL lead counsel to an official committee in bankruptcy is prohibited </w:t>
      </w:r>
      <w:r w:rsidR="00053A1D">
        <w:t>n</w:t>
      </w:r>
      <w:r w:rsidR="005909DB">
        <w:t xml:space="preserve">either by the Bankruptcy Code nor the United Staes Trustee Manual.  </w:t>
      </w:r>
      <w:r w:rsidR="001C4FC3">
        <w:t>W</w:t>
      </w:r>
      <w:r w:rsidR="00DE358F">
        <w:t xml:space="preserve">hat are your views on </w:t>
      </w:r>
      <w:r w:rsidR="00C73C1F">
        <w:t>appointing an</w:t>
      </w:r>
      <w:r w:rsidR="001B2179">
        <w:t xml:space="preserve"> MDL</w:t>
      </w:r>
      <w:r w:rsidR="009802AA">
        <w:t xml:space="preserve"> lead</w:t>
      </w:r>
      <w:r w:rsidR="00DE358F">
        <w:t xml:space="preserve"> counsel </w:t>
      </w:r>
      <w:r w:rsidR="00C73C1F">
        <w:t>to</w:t>
      </w:r>
      <w:r w:rsidR="00DE358F">
        <w:t xml:space="preserve"> an official committee </w:t>
      </w:r>
      <w:r w:rsidR="001B2179">
        <w:t xml:space="preserve">based on their </w:t>
      </w:r>
      <w:r w:rsidR="001464F0">
        <w:t xml:space="preserve">knowledge and experience working with all plaintiff </w:t>
      </w:r>
      <w:r w:rsidR="007F0614">
        <w:t>lawyers in</w:t>
      </w:r>
      <w:r w:rsidR="001464F0">
        <w:t xml:space="preserve"> the MDL?</w:t>
      </w:r>
    </w:p>
    <w:p w14:paraId="2550B69B" w14:textId="6F2D513D" w:rsidR="0011527D" w:rsidRDefault="0011527D" w:rsidP="0011527D">
      <w:pPr>
        <w:rPr>
          <w:b/>
          <w:bCs/>
        </w:rPr>
      </w:pPr>
      <w:r>
        <w:rPr>
          <w:b/>
          <w:bCs/>
        </w:rPr>
        <w:t>Panel 4</w:t>
      </w:r>
    </w:p>
    <w:p w14:paraId="12772CDA" w14:textId="789FA4B9" w:rsidR="00603BBB" w:rsidRDefault="00603BBB" w:rsidP="0011527D">
      <w:r>
        <w:rPr>
          <w:b/>
          <w:bCs/>
        </w:rPr>
        <w:t>Moderator –</w:t>
      </w:r>
      <w:r w:rsidR="00C511F2" w:rsidRPr="00C511F2">
        <w:t>T</w:t>
      </w:r>
      <w:r w:rsidR="00834B2F" w:rsidRPr="00834B2F">
        <w:t xml:space="preserve">he Bankruptcy Code requires </w:t>
      </w:r>
      <w:r w:rsidR="002B71FE">
        <w:t xml:space="preserve">a sufficient number of </w:t>
      </w:r>
      <w:r w:rsidR="002745AF" w:rsidRPr="002745AF">
        <w:t xml:space="preserve">votes </w:t>
      </w:r>
      <w:r w:rsidR="0033178C">
        <w:t xml:space="preserve">consisting of </w:t>
      </w:r>
      <w:r w:rsidR="002745AF" w:rsidRPr="002745AF">
        <w:t>a</w:t>
      </w:r>
      <w:r w:rsidR="002745AF">
        <w:rPr>
          <w:b/>
          <w:bCs/>
        </w:rPr>
        <w:t xml:space="preserve"> </w:t>
      </w:r>
      <w:r w:rsidR="00834B2F" w:rsidRPr="00127B51">
        <w:t>minimum</w:t>
      </w:r>
      <w:r w:rsidR="009B2B92">
        <w:t>-</w:t>
      </w:r>
      <w:r w:rsidR="00127B51">
        <w:t xml:space="preserve">weighted </w:t>
      </w:r>
      <w:r w:rsidR="00127B51" w:rsidRPr="00127B51">
        <w:t xml:space="preserve">percentage of </w:t>
      </w:r>
      <w:r w:rsidR="007301BD">
        <w:t xml:space="preserve">the amounts of claims </w:t>
      </w:r>
      <w:r w:rsidR="00127B51">
        <w:t>to approve a Chapter 11 plan of reorganization</w:t>
      </w:r>
      <w:r w:rsidR="00C511F2">
        <w:t>.  But</w:t>
      </w:r>
      <w:r w:rsidR="00155C0B">
        <w:t xml:space="preserve"> every </w:t>
      </w:r>
      <w:r w:rsidR="007F0614">
        <w:t xml:space="preserve">personal-injury </w:t>
      </w:r>
      <w:r w:rsidR="00155C0B">
        <w:t>claim is</w:t>
      </w:r>
      <w:r w:rsidR="00303FD3">
        <w:t xml:space="preserve"> commonly</w:t>
      </w:r>
      <w:r w:rsidR="00155C0B">
        <w:t xml:space="preserve"> </w:t>
      </w:r>
      <w:r w:rsidR="00CB7A63">
        <w:t>assigned</w:t>
      </w:r>
      <w:r w:rsidR="007F0614">
        <w:t xml:space="preserve"> </w:t>
      </w:r>
      <w:r w:rsidR="00155C0B">
        <w:t>a uniform $1 value</w:t>
      </w:r>
      <w:r w:rsidR="003C3F1C">
        <w:t xml:space="preserve">, which effectively dilutes the voting power of </w:t>
      </w:r>
      <w:r w:rsidR="005363EA">
        <w:t xml:space="preserve">some </w:t>
      </w:r>
      <w:r w:rsidR="003C3F1C">
        <w:t xml:space="preserve">claimants with </w:t>
      </w:r>
      <w:r w:rsidR="005363EA">
        <w:t>relatively mor</w:t>
      </w:r>
      <w:r w:rsidR="00C511F2">
        <w:t>e</w:t>
      </w:r>
      <w:r w:rsidR="005363EA">
        <w:t xml:space="preserve"> severe injuries</w:t>
      </w:r>
      <w:r w:rsidR="00B02D7C">
        <w:t xml:space="preserve">, while strengthening the voting power of other claimants.  </w:t>
      </w:r>
      <w:r w:rsidR="00585C3F">
        <w:t xml:space="preserve">Settlement negotiations in a mass-tort MDL rely </w:t>
      </w:r>
      <w:r w:rsidR="00407BAB">
        <w:t>heavily</w:t>
      </w:r>
      <w:r w:rsidR="00585C3F">
        <w:t xml:space="preserve"> on </w:t>
      </w:r>
      <w:r w:rsidR="00407BAB">
        <w:t>the expertise of claims administrators in estimating the values of tort claims.</w:t>
      </w:r>
      <w:r w:rsidR="00EA35D4">
        <w:t xml:space="preserve"> Alth</w:t>
      </w:r>
      <w:r w:rsidR="00626829">
        <w:t>o</w:t>
      </w:r>
      <w:r w:rsidR="00EA35D4">
        <w:t xml:space="preserve">ugh such estimates are imprecise, they </w:t>
      </w:r>
      <w:r w:rsidR="00823332">
        <w:t>are</w:t>
      </w:r>
      <w:r w:rsidR="000935E2">
        <w:t xml:space="preserve"> significantly better than applying a uniform $1 value</w:t>
      </w:r>
      <w:r w:rsidR="00F03369">
        <w:t xml:space="preserve"> and raise the question why they are not applied in bankruptcy cases</w:t>
      </w:r>
      <w:r w:rsidR="000935E2">
        <w:t>.</w:t>
      </w:r>
      <w:r w:rsidR="00626829">
        <w:t xml:space="preserve"> </w:t>
      </w:r>
    </w:p>
    <w:p w14:paraId="3646177C" w14:textId="242E7F98" w:rsidR="00603BBB" w:rsidRDefault="00603BBB" w:rsidP="0011527D">
      <w:pPr>
        <w:rPr>
          <w:b/>
          <w:bCs/>
        </w:rPr>
      </w:pPr>
      <w:r>
        <w:rPr>
          <w:b/>
          <w:bCs/>
        </w:rPr>
        <w:lastRenderedPageBreak/>
        <w:t xml:space="preserve">Speakers -- </w:t>
      </w:r>
      <w:r>
        <w:t>14 minutes maximum for each presentation</w:t>
      </w:r>
    </w:p>
    <w:p w14:paraId="6271E542" w14:textId="19EB59AC" w:rsidR="00BB78A1" w:rsidRDefault="00314BAD" w:rsidP="00BB78A1">
      <w:pPr>
        <w:pStyle w:val="ListParagraph"/>
        <w:numPr>
          <w:ilvl w:val="0"/>
          <w:numId w:val="7"/>
        </w:numPr>
      </w:pPr>
      <w:r w:rsidRPr="0068561F">
        <w:rPr>
          <w:b/>
          <w:bCs/>
        </w:rPr>
        <w:t>Hon. Robert</w:t>
      </w:r>
      <w:r w:rsidR="0068561F" w:rsidRPr="0068561F">
        <w:rPr>
          <w:b/>
          <w:bCs/>
        </w:rPr>
        <w:t xml:space="preserve"> Summerhays</w:t>
      </w:r>
      <w:r w:rsidR="0068561F">
        <w:t xml:space="preserve"> -- </w:t>
      </w:r>
      <w:r w:rsidR="00237BE0" w:rsidRPr="00237BE0">
        <w:t>Under the Bankruptcy Code, a vote of the majority of creditors whose claims consist of at least 67% of the total amount of claims, including personal-injury claims, is required to approve a proposed Chapter 11 plan of reorganization.</w:t>
      </w:r>
      <w:r w:rsidR="004D0639">
        <w:t xml:space="preserve">  Can you please explain the rationale and history why e</w:t>
      </w:r>
      <w:r w:rsidR="00BB78A1" w:rsidRPr="00BB78A1">
        <w:t xml:space="preserve">very personal-injury claim in a mass-tort bankruptcy is routinely valued at one dollar for eligibility purposes to vote on a Chapter 11 plan of reorganization, which </w:t>
      </w:r>
      <w:r w:rsidR="00621492">
        <w:t>seems</w:t>
      </w:r>
      <w:r w:rsidR="003C6666">
        <w:t xml:space="preserve"> inconsistent</w:t>
      </w:r>
      <w:r w:rsidR="00BB78A1" w:rsidRPr="00BB78A1">
        <w:t xml:space="preserve"> </w:t>
      </w:r>
      <w:r w:rsidR="009A789D">
        <w:t xml:space="preserve">with </w:t>
      </w:r>
      <w:r w:rsidR="00BB78A1" w:rsidRPr="00BB78A1">
        <w:t>legislative intent</w:t>
      </w:r>
      <w:r w:rsidR="004D0639">
        <w:t>?</w:t>
      </w:r>
    </w:p>
    <w:p w14:paraId="56372A1A" w14:textId="636B575B" w:rsidR="004D0639" w:rsidRDefault="0068561F" w:rsidP="00BB78A1">
      <w:pPr>
        <w:pStyle w:val="ListParagraph"/>
        <w:numPr>
          <w:ilvl w:val="0"/>
          <w:numId w:val="7"/>
        </w:numPr>
      </w:pPr>
      <w:r w:rsidRPr="0068561F">
        <w:rPr>
          <w:b/>
          <w:bCs/>
        </w:rPr>
        <w:t>Francis Citera</w:t>
      </w:r>
      <w:r>
        <w:t xml:space="preserve"> -- </w:t>
      </w:r>
      <w:r w:rsidR="00016F0D">
        <w:t xml:space="preserve">If </w:t>
      </w:r>
      <w:r w:rsidR="00953906">
        <w:t xml:space="preserve">all </w:t>
      </w:r>
      <w:r w:rsidR="002F4AC6">
        <w:t xml:space="preserve">personal-injury claims </w:t>
      </w:r>
      <w:r w:rsidR="00953906">
        <w:t>are assigned a</w:t>
      </w:r>
      <w:r w:rsidR="00F510DC">
        <w:t xml:space="preserve"> uniform</w:t>
      </w:r>
      <w:r w:rsidR="00953906">
        <w:t xml:space="preserve"> $1 value, </w:t>
      </w:r>
      <w:r w:rsidR="00824047">
        <w:t xml:space="preserve">the voting power of claimants </w:t>
      </w:r>
      <w:r w:rsidR="00F8278C">
        <w:t>alleging</w:t>
      </w:r>
      <w:r w:rsidR="00824047">
        <w:t xml:space="preserve"> serious harm </w:t>
      </w:r>
      <w:r w:rsidR="00F510DC">
        <w:t xml:space="preserve">will always be diluted and the leverage power of </w:t>
      </w:r>
      <w:r w:rsidR="00F8278C">
        <w:t>those alleging</w:t>
      </w:r>
      <w:r w:rsidR="00321F56">
        <w:t xml:space="preserve"> weaker claims will always be strengthened in negotiating for favorable terms</w:t>
      </w:r>
      <w:r w:rsidR="006A5F8D">
        <w:t xml:space="preserve">. </w:t>
      </w:r>
      <w:r w:rsidR="00321F56">
        <w:t xml:space="preserve"> </w:t>
      </w:r>
      <w:r w:rsidR="00B55E8B">
        <w:t xml:space="preserve">If </w:t>
      </w:r>
      <w:r w:rsidR="0078236D">
        <w:t xml:space="preserve">experts estimate </w:t>
      </w:r>
      <w:r w:rsidR="00B55E8B">
        <w:t xml:space="preserve">the </w:t>
      </w:r>
      <w:r w:rsidR="00321F56">
        <w:t>values for individual c</w:t>
      </w:r>
      <w:r w:rsidR="006A5F8D">
        <w:t>l</w:t>
      </w:r>
      <w:r w:rsidR="00321F56">
        <w:t>aims</w:t>
      </w:r>
      <w:r w:rsidR="001637DB">
        <w:t xml:space="preserve">, the results will </w:t>
      </w:r>
      <w:r w:rsidR="00321F56">
        <w:t xml:space="preserve">always strengthen the stronger claims and </w:t>
      </w:r>
      <w:r w:rsidR="001641BE">
        <w:t xml:space="preserve">reduce the </w:t>
      </w:r>
      <w:r w:rsidR="00F45D4E">
        <w:t>leverage</w:t>
      </w:r>
      <w:r w:rsidR="001641BE">
        <w:t xml:space="preserve"> power </w:t>
      </w:r>
      <w:r w:rsidR="00F45D4E">
        <w:t>of</w:t>
      </w:r>
      <w:r w:rsidR="006A5F8D">
        <w:t xml:space="preserve"> weaker claims. </w:t>
      </w:r>
      <w:r w:rsidR="00321F56">
        <w:t xml:space="preserve"> </w:t>
      </w:r>
      <w:r w:rsidR="006A5F8D">
        <w:t>No system provides precise valuations, but which is less unfair and more consistent with the statute</w:t>
      </w:r>
      <w:r w:rsidR="0059312D">
        <w:t xml:space="preserve">, which appears </w:t>
      </w:r>
      <w:r w:rsidR="00A93A8E">
        <w:t>to recognize greater weight for stronger clai</w:t>
      </w:r>
      <w:r w:rsidR="00110C64">
        <w:t>m</w:t>
      </w:r>
      <w:r w:rsidR="00A93A8E">
        <w:t>s</w:t>
      </w:r>
      <w:r w:rsidR="006A5F8D">
        <w:t xml:space="preserve">? </w:t>
      </w:r>
      <w:r w:rsidR="00F510DC">
        <w:t xml:space="preserve"> </w:t>
      </w:r>
      <w:r w:rsidR="0062676B">
        <w:t xml:space="preserve">  </w:t>
      </w:r>
      <w:r w:rsidR="00594A06" w:rsidRPr="00594A06">
        <w:rPr>
          <w:rFonts w:cs="Times New Roman"/>
          <w:color w:val="222222"/>
          <w:shd w:val="clear" w:color="auto" w:fill="FFFFFF"/>
        </w:rPr>
        <w:t>Does recognizing different "classes of claims"</w:t>
      </w:r>
      <w:r w:rsidR="00F40915">
        <w:rPr>
          <w:rFonts w:cs="Times New Roman"/>
          <w:color w:val="222222"/>
          <w:shd w:val="clear" w:color="auto" w:fill="FFFFFF"/>
        </w:rPr>
        <w:t xml:space="preserve"> among the personal-injury claimants</w:t>
      </w:r>
      <w:r w:rsidR="00594A06" w:rsidRPr="00594A06">
        <w:rPr>
          <w:rFonts w:cs="Times New Roman"/>
          <w:color w:val="222222"/>
          <w:shd w:val="clear" w:color="auto" w:fill="FFFFFF"/>
        </w:rPr>
        <w:t xml:space="preserve"> mitigate the potential problems?</w:t>
      </w:r>
    </w:p>
    <w:p w14:paraId="310730A8" w14:textId="0B8C8F91" w:rsidR="007D042C" w:rsidRPr="00DF0D43" w:rsidRDefault="00A17BF3" w:rsidP="00BB78A1">
      <w:pPr>
        <w:pStyle w:val="ListParagraph"/>
        <w:numPr>
          <w:ilvl w:val="0"/>
          <w:numId w:val="7"/>
        </w:numPr>
      </w:pPr>
      <w:r w:rsidRPr="00FB1954">
        <w:rPr>
          <w:b/>
          <w:bCs/>
        </w:rPr>
        <w:t>Greg Ru</w:t>
      </w:r>
      <w:r w:rsidR="00FB1954" w:rsidRPr="00FB1954">
        <w:rPr>
          <w:b/>
          <w:bCs/>
        </w:rPr>
        <w:t>ehlman</w:t>
      </w:r>
      <w:r w:rsidR="00FB1954">
        <w:t xml:space="preserve"> </w:t>
      </w:r>
      <w:r w:rsidR="00772330">
        <w:t>–</w:t>
      </w:r>
      <w:r w:rsidR="00FB1954">
        <w:t xml:space="preserve"> </w:t>
      </w:r>
      <w:r w:rsidR="00591C29">
        <w:t>I</w:t>
      </w:r>
      <w:r w:rsidR="006E4C2B">
        <w:t>n</w:t>
      </w:r>
      <w:r w:rsidR="00713BE6">
        <w:t xml:space="preserve"> settlement negotiations in</w:t>
      </w:r>
      <w:r w:rsidR="006E4C2B">
        <w:t xml:space="preserve"> a</w:t>
      </w:r>
      <w:r w:rsidR="00591C29">
        <w:t xml:space="preserve"> mass-tort MDL, do experts provide estimates of </w:t>
      </w:r>
      <w:r w:rsidR="00713BE6">
        <w:t xml:space="preserve">the value of </w:t>
      </w:r>
      <w:r w:rsidR="00591C29">
        <w:t xml:space="preserve">categories of injuries or </w:t>
      </w:r>
      <w:r w:rsidR="00713BE6">
        <w:t>estimates of the value of the claim per individual claimant?</w:t>
      </w:r>
      <w:r w:rsidR="00591C29">
        <w:t xml:space="preserve"> </w:t>
      </w:r>
      <w:r w:rsidR="00B64EB2">
        <w:t xml:space="preserve">Would either or both be more accurate if applied in bankruptcy for voting purposes and comply better with the </w:t>
      </w:r>
      <w:r w:rsidR="003258FC">
        <w:t>Bankruptcy Code</w:t>
      </w:r>
      <w:r w:rsidR="00F8019E">
        <w:t xml:space="preserve"> than assigning a $1 value to every claim</w:t>
      </w:r>
      <w:r w:rsidR="00B64EB2">
        <w:t>?</w:t>
      </w:r>
    </w:p>
    <w:p w14:paraId="2E37F333" w14:textId="312AE85F" w:rsidR="00D441E5" w:rsidRDefault="0068561F" w:rsidP="00BB78A1">
      <w:pPr>
        <w:pStyle w:val="ListParagraph"/>
        <w:numPr>
          <w:ilvl w:val="0"/>
          <w:numId w:val="7"/>
        </w:numPr>
      </w:pPr>
      <w:r w:rsidRPr="0068561F">
        <w:rPr>
          <w:b/>
          <w:bCs/>
        </w:rPr>
        <w:t>Kevin Davis</w:t>
      </w:r>
      <w:r>
        <w:t xml:space="preserve"> </w:t>
      </w:r>
      <w:r w:rsidR="00183BB5">
        <w:t>–</w:t>
      </w:r>
      <w:r>
        <w:t xml:space="preserve"> </w:t>
      </w:r>
      <w:r w:rsidR="00CC1038">
        <w:t>Estimating</w:t>
      </w:r>
      <w:r w:rsidR="00183BB5">
        <w:t xml:space="preserve"> the value of individual </w:t>
      </w:r>
      <w:r w:rsidR="00CC1038">
        <w:t xml:space="preserve">personal-injury claims is imprecise, especially </w:t>
      </w:r>
      <w:r w:rsidR="00BC30CE">
        <w:t xml:space="preserve">early </w:t>
      </w:r>
      <w:r w:rsidR="003314DA">
        <w:t>when voting for a plan of reorganization</w:t>
      </w:r>
      <w:r w:rsidR="00BC30CE">
        <w:t>. Nonetheless, w</w:t>
      </w:r>
      <w:r w:rsidR="00332767">
        <w:t xml:space="preserve">ould applying </w:t>
      </w:r>
      <w:r w:rsidR="00FB2C00">
        <w:t>a multiplier</w:t>
      </w:r>
      <w:r w:rsidR="00174657">
        <w:t xml:space="preserve"> </w:t>
      </w:r>
      <w:r w:rsidR="00FB2C00">
        <w:t>to</w:t>
      </w:r>
      <w:r w:rsidR="00753F71">
        <w:t xml:space="preserve"> </w:t>
      </w:r>
      <w:r w:rsidR="00411CB2">
        <w:t xml:space="preserve">claims </w:t>
      </w:r>
      <w:r w:rsidR="00753F71">
        <w:t xml:space="preserve">with a higher value because of the seriousness of the harm </w:t>
      </w:r>
      <w:r w:rsidR="00174657">
        <w:t xml:space="preserve">provide a more accurate </w:t>
      </w:r>
      <w:r w:rsidR="002C410B">
        <w:t xml:space="preserve">measurement than a </w:t>
      </w:r>
      <w:r w:rsidR="00124739">
        <w:t>uniform</w:t>
      </w:r>
      <w:r w:rsidR="002C410B">
        <w:t xml:space="preserve"> $1 valuation</w:t>
      </w:r>
      <w:r w:rsidR="00753F71">
        <w:t>, consistent with legislative intent</w:t>
      </w:r>
      <w:r w:rsidR="002C410B">
        <w:t>?</w:t>
      </w:r>
    </w:p>
    <w:p w14:paraId="105D3C25" w14:textId="20712638" w:rsidR="00CD52CF" w:rsidRDefault="0068561F" w:rsidP="00BB78A1">
      <w:pPr>
        <w:pStyle w:val="ListParagraph"/>
        <w:numPr>
          <w:ilvl w:val="0"/>
          <w:numId w:val="7"/>
        </w:numPr>
      </w:pPr>
      <w:r w:rsidRPr="0068561F">
        <w:rPr>
          <w:b/>
          <w:bCs/>
        </w:rPr>
        <w:t>Jen Alpert</w:t>
      </w:r>
      <w:r>
        <w:t xml:space="preserve"> -- </w:t>
      </w:r>
      <w:r w:rsidR="009A09B2">
        <w:t xml:space="preserve">Mass-tort lawyers </w:t>
      </w:r>
      <w:r w:rsidR="009F2662">
        <w:t>work with</w:t>
      </w:r>
      <w:r w:rsidR="009A09B2">
        <w:t xml:space="preserve"> claims administrators and other experts to </w:t>
      </w:r>
      <w:r w:rsidR="00257545">
        <w:t xml:space="preserve">provide them with reliable estimates of the potential values of personal-injury claims, </w:t>
      </w:r>
      <w:r w:rsidR="009F2662">
        <w:t xml:space="preserve">which they rely on </w:t>
      </w:r>
      <w:r w:rsidR="002464B2">
        <w:t xml:space="preserve">heavily </w:t>
      </w:r>
      <w:r w:rsidR="009F2662">
        <w:t>during their settlement negotiations.</w:t>
      </w:r>
      <w:r w:rsidR="00257545">
        <w:t xml:space="preserve"> </w:t>
      </w:r>
      <w:r w:rsidR="0032018D">
        <w:t xml:space="preserve">If you are asked to provide the same type of estimates when the MDL moves into bankruptcy, </w:t>
      </w:r>
      <w:r w:rsidR="00030ACF">
        <w:t>can you</w:t>
      </w:r>
      <w:r w:rsidR="00496603">
        <w:t xml:space="preserve">?  </w:t>
      </w:r>
      <w:r w:rsidR="00924550">
        <w:t xml:space="preserve">In estimating the values of the personal-injury claims, </w:t>
      </w:r>
      <w:r w:rsidR="007E1C06">
        <w:t xml:space="preserve">would you </w:t>
      </w:r>
      <w:r w:rsidR="00F46BBA">
        <w:t>estimate</w:t>
      </w:r>
      <w:r w:rsidR="007E1C06">
        <w:t xml:space="preserve"> the average value of</w:t>
      </w:r>
      <w:r w:rsidR="00F46BBA">
        <w:t xml:space="preserve"> categories of </w:t>
      </w:r>
      <w:r w:rsidR="00E334F9">
        <w:t>harm</w:t>
      </w:r>
      <w:r w:rsidR="00811896">
        <w:t xml:space="preserve">, </w:t>
      </w:r>
      <w:r w:rsidR="00811896" w:rsidRPr="007E1C06">
        <w:rPr>
          <w:i/>
          <w:iCs/>
        </w:rPr>
        <w:t>e.g</w:t>
      </w:r>
      <w:r w:rsidR="00811896">
        <w:t xml:space="preserve">., different </w:t>
      </w:r>
      <w:r w:rsidR="007E1C06">
        <w:t>types</w:t>
      </w:r>
      <w:r w:rsidR="00811896">
        <w:t xml:space="preserve"> of cancers, </w:t>
      </w:r>
      <w:r w:rsidR="007E1C06">
        <w:t>or</w:t>
      </w:r>
      <w:r w:rsidR="00811896">
        <w:t xml:space="preserve"> claims on an individual</w:t>
      </w:r>
      <w:r w:rsidR="007E1C06">
        <w:t>-</w:t>
      </w:r>
      <w:r w:rsidR="00811896">
        <w:t>claimant basis?</w:t>
      </w:r>
    </w:p>
    <w:p w14:paraId="4775D4C3" w14:textId="5CC6716F" w:rsidR="002D5C38" w:rsidRDefault="00101115" w:rsidP="00BB78A1">
      <w:pPr>
        <w:pStyle w:val="ListParagraph"/>
        <w:numPr>
          <w:ilvl w:val="0"/>
          <w:numId w:val="7"/>
        </w:numPr>
      </w:pPr>
      <w:r w:rsidRPr="00101115">
        <w:rPr>
          <w:b/>
          <w:bCs/>
        </w:rPr>
        <w:t>Nicholas DeLuca</w:t>
      </w:r>
      <w:r>
        <w:t xml:space="preserve"> </w:t>
      </w:r>
      <w:r w:rsidR="006B2B31">
        <w:t>–</w:t>
      </w:r>
      <w:r>
        <w:t xml:space="preserve"> </w:t>
      </w:r>
      <w:r w:rsidR="006B2B31">
        <w:t>If the same estimates that the experts provide for purposes of settlement negotiations in a</w:t>
      </w:r>
      <w:r w:rsidR="009072AE">
        <w:t xml:space="preserve"> </w:t>
      </w:r>
      <w:r w:rsidR="006B2B31">
        <w:t>mass-tort MDL are pr</w:t>
      </w:r>
      <w:r w:rsidR="009072AE">
        <w:t>ov</w:t>
      </w:r>
      <w:r w:rsidR="006B2B31">
        <w:t>ided in bankruptcy for voting purposes, how</w:t>
      </w:r>
      <w:r w:rsidR="00432E00">
        <w:t xml:space="preserve"> reliable are </w:t>
      </w:r>
      <w:r w:rsidR="006B2B31">
        <w:t xml:space="preserve">the </w:t>
      </w:r>
      <w:r w:rsidR="00432E00">
        <w:t>estimates</w:t>
      </w:r>
      <w:r w:rsidR="006B2B31">
        <w:t>?</w:t>
      </w:r>
      <w:r w:rsidR="00432E00">
        <w:t xml:space="preserve">  </w:t>
      </w:r>
      <w:r w:rsidR="00B52DE7">
        <w:t xml:space="preserve">In estimating the value of tort claims, do you </w:t>
      </w:r>
      <w:r w:rsidR="00035A28">
        <w:t>calculate the average value of a</w:t>
      </w:r>
      <w:r w:rsidR="00904052">
        <w:t xml:space="preserve"> specific category of harm </w:t>
      </w:r>
      <w:r w:rsidR="00130CFB">
        <w:t xml:space="preserve">and </w:t>
      </w:r>
      <w:r w:rsidR="00663629">
        <w:t>refrain from</w:t>
      </w:r>
      <w:r w:rsidR="00130CFB">
        <w:t xml:space="preserve"> mak</w:t>
      </w:r>
      <w:r w:rsidR="00663629">
        <w:t>ing</w:t>
      </w:r>
      <w:r w:rsidR="00130CFB">
        <w:t xml:space="preserve"> a judgment</w:t>
      </w:r>
      <w:r w:rsidR="00ED3884">
        <w:t xml:space="preserve"> </w:t>
      </w:r>
      <w:r w:rsidR="00130CFB">
        <w:t>on</w:t>
      </w:r>
      <w:r w:rsidR="00ED3884">
        <w:t xml:space="preserve"> whether the individual claimant actually </w:t>
      </w:r>
      <w:r w:rsidR="00B532D7">
        <w:t xml:space="preserve">was harmed or the </w:t>
      </w:r>
      <w:r w:rsidR="00130CFB">
        <w:t>extent of the harm</w:t>
      </w:r>
      <w:r w:rsidR="00B532D7">
        <w:t xml:space="preserve">, or do you </w:t>
      </w:r>
      <w:r w:rsidR="00130CFB">
        <w:t>analyze</w:t>
      </w:r>
      <w:r w:rsidR="00B532D7">
        <w:t xml:space="preserve"> every claimant to assess the extent and type of harm</w:t>
      </w:r>
      <w:r w:rsidR="00130CFB">
        <w:t>, including</w:t>
      </w:r>
      <w:r w:rsidR="00663629">
        <w:t xml:space="preserve"> factors like age</w:t>
      </w:r>
      <w:r w:rsidR="00562E94">
        <w:t xml:space="preserve"> and</w:t>
      </w:r>
      <w:r w:rsidR="00663629">
        <w:t xml:space="preserve"> confounding morbidity factors? </w:t>
      </w:r>
      <w:r w:rsidR="00B532D7">
        <w:t xml:space="preserve">  </w:t>
      </w:r>
    </w:p>
    <w:p w14:paraId="4A232EFA" w14:textId="0C93716E" w:rsidR="00FA4359" w:rsidRPr="00BB78A1" w:rsidRDefault="00101115" w:rsidP="00BB78A1">
      <w:pPr>
        <w:pStyle w:val="ListParagraph"/>
        <w:numPr>
          <w:ilvl w:val="0"/>
          <w:numId w:val="7"/>
        </w:numPr>
      </w:pPr>
      <w:r w:rsidRPr="00101115">
        <w:rPr>
          <w:b/>
          <w:bCs/>
        </w:rPr>
        <w:lastRenderedPageBreak/>
        <w:t>Nicholas DeLuca</w:t>
      </w:r>
      <w:r>
        <w:t xml:space="preserve"> -- </w:t>
      </w:r>
      <w:r w:rsidR="00A35B30">
        <w:t xml:space="preserve">In some mass-tort MDLs that have moved into bankruptcy, experts have </w:t>
      </w:r>
      <w:r w:rsidR="00C75951">
        <w:t xml:space="preserve">already </w:t>
      </w:r>
      <w:r w:rsidR="00232419">
        <w:t>provided estimates of the personal-injury claims</w:t>
      </w:r>
      <w:r w:rsidR="00A070B5">
        <w:t xml:space="preserve"> filed in the MDL</w:t>
      </w:r>
      <w:r w:rsidR="00232419">
        <w:t xml:space="preserve">.  </w:t>
      </w:r>
      <w:r w:rsidR="00B8425F">
        <w:t xml:space="preserve">If </w:t>
      </w:r>
      <w:r w:rsidR="007F3565">
        <w:t>new claims to the bankruptcy</w:t>
      </w:r>
      <w:r w:rsidR="007F3565">
        <w:t xml:space="preserve"> are added as a result of the solicitation of </w:t>
      </w:r>
      <w:r w:rsidR="00B8425F">
        <w:t xml:space="preserve">proofs-of-claims forms, how much time </w:t>
      </w:r>
      <w:r w:rsidR="008903F3">
        <w:t>would be needed to estimate their value</w:t>
      </w:r>
      <w:r w:rsidR="00667A3C">
        <w:t xml:space="preserve"> based on categories of harms or on an individual basis</w:t>
      </w:r>
      <w:r w:rsidR="008903F3">
        <w:t>?</w:t>
      </w:r>
      <w:r w:rsidR="00B8425F">
        <w:t xml:space="preserve"> </w:t>
      </w:r>
    </w:p>
    <w:p w14:paraId="4A6EBAC7" w14:textId="7C81C411" w:rsidR="0011527D" w:rsidRDefault="0011527D" w:rsidP="0011527D">
      <w:pPr>
        <w:rPr>
          <w:b/>
          <w:bCs/>
        </w:rPr>
      </w:pPr>
      <w:r>
        <w:rPr>
          <w:b/>
          <w:bCs/>
        </w:rPr>
        <w:t>Panel 5</w:t>
      </w:r>
    </w:p>
    <w:p w14:paraId="3FE3D635" w14:textId="19BB0AD3" w:rsidR="00AC05C9" w:rsidRPr="00944EB4" w:rsidRDefault="00AC05C9" w:rsidP="0011527D">
      <w:r>
        <w:rPr>
          <w:b/>
          <w:bCs/>
        </w:rPr>
        <w:t>Mode</w:t>
      </w:r>
      <w:r w:rsidR="00E11CCD">
        <w:rPr>
          <w:b/>
          <w:bCs/>
        </w:rPr>
        <w:t>rator –</w:t>
      </w:r>
      <w:r w:rsidR="00DB1A1C">
        <w:rPr>
          <w:b/>
          <w:bCs/>
        </w:rPr>
        <w:t xml:space="preserve"> </w:t>
      </w:r>
      <w:r w:rsidR="00FF1895" w:rsidRPr="001A06F3">
        <w:t>There has been a</w:t>
      </w:r>
      <w:r w:rsidR="007E60D8">
        <w:t>n</w:t>
      </w:r>
      <w:r w:rsidR="00FF1895" w:rsidRPr="001A06F3">
        <w:t xml:space="preserve"> effort to eliminate legalese</w:t>
      </w:r>
      <w:r w:rsidR="001A06F3" w:rsidRPr="001A06F3">
        <w:t xml:space="preserve"> and unclear writing in legal documents.</w:t>
      </w:r>
      <w:r w:rsidR="001A06F3">
        <w:rPr>
          <w:b/>
          <w:bCs/>
        </w:rPr>
        <w:t xml:space="preserve"> </w:t>
      </w:r>
      <w:r w:rsidR="006A773C">
        <w:t xml:space="preserve">The Federal Rules of Bankruptcy Rules were recently revised </w:t>
      </w:r>
      <w:r w:rsidR="008275A6">
        <w:t>comprehensively</w:t>
      </w:r>
      <w:r w:rsidR="00695934">
        <w:t xml:space="preserve">, which </w:t>
      </w:r>
      <w:r w:rsidR="006A773C">
        <w:t xml:space="preserve">followed similar comprehensive revisions of the other sets of rules. </w:t>
      </w:r>
      <w:r w:rsidR="00944EB4" w:rsidRPr="00944EB4">
        <w:t>Unclear writing results in ambiguity</w:t>
      </w:r>
      <w:r w:rsidR="00944EB4">
        <w:t>,</w:t>
      </w:r>
      <w:r w:rsidR="00944EB4" w:rsidRPr="00944EB4">
        <w:t xml:space="preserve"> which generates</w:t>
      </w:r>
      <w:r w:rsidR="00944EB4">
        <w:t xml:space="preserve"> wasteful</w:t>
      </w:r>
      <w:r w:rsidR="00944EB4" w:rsidRPr="00944EB4">
        <w:t xml:space="preserve"> litigation.</w:t>
      </w:r>
      <w:r w:rsidR="00944EB4">
        <w:t xml:space="preserve"> </w:t>
      </w:r>
      <w:r w:rsidR="00023F79">
        <w:t xml:space="preserve"> If one side proposes to use plain-Englis</w:t>
      </w:r>
      <w:r w:rsidR="00772140">
        <w:t>h</w:t>
      </w:r>
      <w:r w:rsidR="00023F79">
        <w:t xml:space="preserve"> </w:t>
      </w:r>
      <w:r w:rsidR="005E7C89">
        <w:t xml:space="preserve">nondebtor release provisions or </w:t>
      </w:r>
      <w:r w:rsidR="00772140">
        <w:t xml:space="preserve">a plain-English summary-of-rights </w:t>
      </w:r>
      <w:r w:rsidR="00023F79">
        <w:t>form</w:t>
      </w:r>
      <w:r w:rsidR="00772140">
        <w:t xml:space="preserve">, </w:t>
      </w:r>
      <w:r w:rsidR="0086350F">
        <w:t xml:space="preserve">it </w:t>
      </w:r>
      <w:r w:rsidR="00117D6E">
        <w:t xml:space="preserve">is </w:t>
      </w:r>
      <w:r w:rsidR="0086350F">
        <w:t xml:space="preserve">likely that the other side </w:t>
      </w:r>
      <w:r w:rsidR="00A54613">
        <w:t>will</w:t>
      </w:r>
      <w:r w:rsidR="0086350F">
        <w:t xml:space="preserve"> object</w:t>
      </w:r>
      <w:r w:rsidR="00117D6E">
        <w:t>,</w:t>
      </w:r>
      <w:r w:rsidR="0086350F">
        <w:t xml:space="preserve"> fearing </w:t>
      </w:r>
      <w:r w:rsidR="00B258A1">
        <w:t>some hidden disadvantage and preferring tried</w:t>
      </w:r>
      <w:r w:rsidR="002225AF">
        <w:t>-</w:t>
      </w:r>
      <w:r w:rsidR="00B258A1">
        <w:t>and</w:t>
      </w:r>
      <w:r w:rsidR="002225AF">
        <w:t>-</w:t>
      </w:r>
      <w:r w:rsidR="00B258A1">
        <w:t xml:space="preserve">true </w:t>
      </w:r>
      <w:r w:rsidR="00A54613">
        <w:t>legalese language</w:t>
      </w:r>
      <w:r w:rsidR="00117D6E">
        <w:t>.</w:t>
      </w:r>
      <w:r w:rsidR="00111BB5">
        <w:t xml:space="preserve"> </w:t>
      </w:r>
      <w:r w:rsidR="00AD1919">
        <w:t xml:space="preserve"> Suggestions on</w:t>
      </w:r>
      <w:r w:rsidR="00DD4872">
        <w:t xml:space="preserve"> </w:t>
      </w:r>
      <w:r w:rsidR="00E43E92">
        <w:t>achieving</w:t>
      </w:r>
      <w:r w:rsidR="00446E4F">
        <w:t xml:space="preserve"> plain-English writing</w:t>
      </w:r>
      <w:r w:rsidR="000D4DE1">
        <w:t xml:space="preserve"> </w:t>
      </w:r>
      <w:r w:rsidR="00E43E92">
        <w:t>in bankruptcy papers</w:t>
      </w:r>
      <w:r w:rsidR="009A27FC">
        <w:t xml:space="preserve"> </w:t>
      </w:r>
      <w:r w:rsidR="00AD1919">
        <w:t xml:space="preserve">will be </w:t>
      </w:r>
      <w:r w:rsidR="009A27FC">
        <w:t>a</w:t>
      </w:r>
      <w:r w:rsidR="00AD1919">
        <w:t xml:space="preserve"> goal of this panel.</w:t>
      </w:r>
      <w:r w:rsidR="00AD1919" w:rsidRPr="00AD1919">
        <w:t xml:space="preserve"> </w:t>
      </w:r>
    </w:p>
    <w:p w14:paraId="0DFA8A42" w14:textId="0E0650A5" w:rsidR="00E11CCD" w:rsidRPr="00E11CCD" w:rsidRDefault="00E11CCD" w:rsidP="0011527D">
      <w:r w:rsidRPr="00E11CCD">
        <w:rPr>
          <w:b/>
          <w:bCs/>
        </w:rPr>
        <w:t>Speakers</w:t>
      </w:r>
      <w:r>
        <w:t xml:space="preserve"> </w:t>
      </w:r>
      <w:r w:rsidR="00E6743A">
        <w:t>–</w:t>
      </w:r>
      <w:r>
        <w:t xml:space="preserve"> </w:t>
      </w:r>
      <w:r w:rsidR="00E6743A">
        <w:t>1</w:t>
      </w:r>
      <w:r w:rsidR="00095EAC">
        <w:t>2</w:t>
      </w:r>
      <w:r w:rsidR="00E6743A">
        <w:t xml:space="preserve"> minutes maximum for each presentation</w:t>
      </w:r>
    </w:p>
    <w:p w14:paraId="3F8CB665" w14:textId="319FEC53" w:rsidR="008E36A8" w:rsidRDefault="00A1180A" w:rsidP="00C75951">
      <w:pPr>
        <w:pStyle w:val="ListParagraph"/>
        <w:numPr>
          <w:ilvl w:val="0"/>
          <w:numId w:val="8"/>
        </w:numPr>
      </w:pPr>
      <w:r w:rsidRPr="00A1180A">
        <w:rPr>
          <w:b/>
          <w:bCs/>
        </w:rPr>
        <w:t>Hon. Robert Gerber</w:t>
      </w:r>
      <w:r>
        <w:t xml:space="preserve"> -- </w:t>
      </w:r>
      <w:r w:rsidR="007F7755">
        <w:t xml:space="preserve">Lawyers </w:t>
      </w:r>
      <w:r w:rsidR="007405C7">
        <w:t xml:space="preserve">in general </w:t>
      </w:r>
      <w:r w:rsidR="007F7755">
        <w:t xml:space="preserve">who draft documents too often </w:t>
      </w:r>
      <w:r w:rsidR="00F60202">
        <w:t xml:space="preserve">use legalese and unclear language.  </w:t>
      </w:r>
      <w:r w:rsidR="009D468A">
        <w:t>Judge Gerber what has been your</w:t>
      </w:r>
      <w:r w:rsidR="00FF54D3">
        <w:t xml:space="preserve"> </w:t>
      </w:r>
      <w:r w:rsidR="009D468A">
        <w:t xml:space="preserve">experience with </w:t>
      </w:r>
      <w:r w:rsidR="00FF54D3">
        <w:t xml:space="preserve">unclear drafting in bankruptcy documents?  </w:t>
      </w:r>
    </w:p>
    <w:p w14:paraId="60CD2CF5" w14:textId="420D7FCA" w:rsidR="000F2745" w:rsidRDefault="00A1180A" w:rsidP="00C75951">
      <w:pPr>
        <w:pStyle w:val="ListParagraph"/>
        <w:numPr>
          <w:ilvl w:val="0"/>
          <w:numId w:val="8"/>
        </w:numPr>
      </w:pPr>
      <w:r w:rsidRPr="00A1180A">
        <w:rPr>
          <w:b/>
          <w:bCs/>
        </w:rPr>
        <w:t>Hon. Robert Gerber</w:t>
      </w:r>
      <w:r>
        <w:t xml:space="preserve"> -- </w:t>
      </w:r>
      <w:r w:rsidR="0007714A">
        <w:t xml:space="preserve">Lawyers </w:t>
      </w:r>
      <w:r w:rsidR="00285A23">
        <w:t>presenting documents to</w:t>
      </w:r>
      <w:r w:rsidR="0007714A">
        <w:t xml:space="preserve"> judges typically rely on language from </w:t>
      </w:r>
      <w:r w:rsidR="00683BBE">
        <w:t>earlier matters (or their perception of a certain formality that’s</w:t>
      </w:r>
      <w:r w:rsidR="0059559D">
        <w:t xml:space="preserve"> required) and seemingly</w:t>
      </w:r>
      <w:r w:rsidR="00CF3111">
        <w:t xml:space="preserve"> </w:t>
      </w:r>
      <w:r w:rsidR="0007714A">
        <w:t xml:space="preserve">cut-and-paste </w:t>
      </w:r>
      <w:r w:rsidR="00CF3111">
        <w:t xml:space="preserve">that </w:t>
      </w:r>
      <w:r w:rsidR="00663D4D">
        <w:t xml:space="preserve">earlier </w:t>
      </w:r>
      <w:r w:rsidR="00565C33">
        <w:t>l</w:t>
      </w:r>
      <w:r w:rsidR="00D565C2">
        <w:t>anguage</w:t>
      </w:r>
      <w:r w:rsidR="007804D1">
        <w:t xml:space="preserve">. </w:t>
      </w:r>
      <w:r w:rsidR="00E30E28">
        <w:t xml:space="preserve">  </w:t>
      </w:r>
      <w:r w:rsidR="00237EC3">
        <w:t>Are there</w:t>
      </w:r>
      <w:r w:rsidR="00E30E28">
        <w:t xml:space="preserve"> standard documents or provisions, besides nondebtor</w:t>
      </w:r>
      <w:r w:rsidR="00941491">
        <w:t xml:space="preserve"> consensual</w:t>
      </w:r>
      <w:r w:rsidR="00E30E28">
        <w:t xml:space="preserve"> release provisions, </w:t>
      </w:r>
      <w:r w:rsidR="00237EC3">
        <w:t xml:space="preserve">that </w:t>
      </w:r>
      <w:r w:rsidR="00E30E28">
        <w:t xml:space="preserve">are commonly used in bankruptcy cases, which </w:t>
      </w:r>
      <w:r w:rsidR="00095763">
        <w:t xml:space="preserve">could substantially </w:t>
      </w:r>
      <w:r w:rsidR="00EC58A3">
        <w:t xml:space="preserve">be </w:t>
      </w:r>
      <w:r w:rsidR="00095763">
        <w:t xml:space="preserve">improved </w:t>
      </w:r>
      <w:r w:rsidR="00941491">
        <w:t xml:space="preserve">under best practices </w:t>
      </w:r>
      <w:r w:rsidR="00F442F7">
        <w:t xml:space="preserve">proposing </w:t>
      </w:r>
      <w:r w:rsidR="00095763">
        <w:t>clear writing?</w:t>
      </w:r>
      <w:r w:rsidR="00E30E28">
        <w:t xml:space="preserve">  </w:t>
      </w:r>
      <w:r w:rsidR="001046E8">
        <w:t xml:space="preserve"> </w:t>
      </w:r>
    </w:p>
    <w:p w14:paraId="7A865D47" w14:textId="61CA3EF9" w:rsidR="00C75951" w:rsidRDefault="00A1180A" w:rsidP="00C75951">
      <w:pPr>
        <w:pStyle w:val="ListParagraph"/>
        <w:numPr>
          <w:ilvl w:val="0"/>
          <w:numId w:val="8"/>
        </w:numPr>
      </w:pPr>
      <w:r w:rsidRPr="00A1180A">
        <w:rPr>
          <w:b/>
          <w:bCs/>
        </w:rPr>
        <w:t>Joe Kimble</w:t>
      </w:r>
      <w:r>
        <w:t xml:space="preserve"> -- </w:t>
      </w:r>
      <w:r w:rsidR="00B00EF5">
        <w:t>Professor Kimble and Bryan Garner comprehensively restyled t</w:t>
      </w:r>
      <w:r w:rsidR="00A008E9">
        <w:t xml:space="preserve">he Appellate, Bankruptcy, Civil, </w:t>
      </w:r>
      <w:r w:rsidR="004104F7">
        <w:t xml:space="preserve">and </w:t>
      </w:r>
      <w:r w:rsidR="00A008E9">
        <w:t>Criminal</w:t>
      </w:r>
      <w:r w:rsidR="004104F7" w:rsidRPr="004104F7">
        <w:t xml:space="preserve"> </w:t>
      </w:r>
      <w:r w:rsidR="004104F7">
        <w:t>Federal Rules of Practice and Procedure</w:t>
      </w:r>
      <w:r w:rsidR="00A008E9">
        <w:t xml:space="preserve"> and </w:t>
      </w:r>
      <w:r w:rsidR="004104F7">
        <w:t xml:space="preserve">the </w:t>
      </w:r>
      <w:r w:rsidR="00A008E9">
        <w:t xml:space="preserve">Evidence </w:t>
      </w:r>
      <w:r w:rsidR="004104F7">
        <w:t xml:space="preserve">Rules </w:t>
      </w:r>
      <w:r w:rsidR="00BF2D85">
        <w:t xml:space="preserve">to make them clearer.  </w:t>
      </w:r>
      <w:r w:rsidR="00B00EF5">
        <w:t xml:space="preserve">Professor </w:t>
      </w:r>
      <w:r w:rsidR="0074029F">
        <w:t>Kimble,</w:t>
      </w:r>
      <w:r w:rsidR="00B00EF5">
        <w:t xml:space="preserve"> </w:t>
      </w:r>
      <w:r w:rsidR="00683752">
        <w:t>can you please talk about your experience and what were</w:t>
      </w:r>
      <w:r w:rsidR="007F23F7">
        <w:t xml:space="preserve"> the greatest challenges in persuading the committee members and later the bench and bar to accept the changes?</w:t>
      </w:r>
      <w:r w:rsidR="006C6857">
        <w:t xml:space="preserve">  </w:t>
      </w:r>
      <w:r w:rsidR="00707308">
        <w:t xml:space="preserve">And can you comment on your </w:t>
      </w:r>
      <w:r w:rsidR="00EB7921">
        <w:t>proposed nondebtor</w:t>
      </w:r>
      <w:r w:rsidR="000E32C9">
        <w:t>-</w:t>
      </w:r>
      <w:r w:rsidR="00EB7921">
        <w:t>release prov</w:t>
      </w:r>
      <w:r w:rsidR="000E32C9">
        <w:t>i</w:t>
      </w:r>
      <w:r w:rsidR="00EB7921">
        <w:t>sion</w:t>
      </w:r>
      <w:r w:rsidR="000E32C9">
        <w:t xml:space="preserve">, which </w:t>
      </w:r>
      <w:r w:rsidR="00A75682">
        <w:t xml:space="preserve">revised a proposal that </w:t>
      </w:r>
      <w:r w:rsidR="005B4C11">
        <w:t xml:space="preserve">restyled and </w:t>
      </w:r>
      <w:r w:rsidR="000E32C9">
        <w:t xml:space="preserve">eliminated many words from standard </w:t>
      </w:r>
      <w:r w:rsidR="0071489F">
        <w:t>release prov</w:t>
      </w:r>
      <w:r w:rsidR="00707308">
        <w:t>i</w:t>
      </w:r>
      <w:r w:rsidR="0071489F">
        <w:t>sions used by bankruptcy courts.</w:t>
      </w:r>
    </w:p>
    <w:p w14:paraId="609C8813" w14:textId="2089DD29" w:rsidR="003865A3" w:rsidRDefault="003865A3" w:rsidP="003865A3">
      <w:pPr>
        <w:pStyle w:val="ListParagraph"/>
        <w:numPr>
          <w:ilvl w:val="0"/>
          <w:numId w:val="8"/>
        </w:numPr>
      </w:pPr>
      <w:r w:rsidRPr="009374B0">
        <w:rPr>
          <w:b/>
          <w:bCs/>
        </w:rPr>
        <w:t>Todd Hilsee --</w:t>
      </w:r>
      <w:r>
        <w:t xml:space="preserve"> Most laymen creditors in Chapter 11 bankruptcies are overwhelmed with the number and content of documents forwarded to them and absent hiring their own lawyer would be lost. Can you please describe the purpose and contents of your proposed Summary of Rights </w:t>
      </w:r>
      <w:r w:rsidR="00D906D8">
        <w:t xml:space="preserve">Disclosure </w:t>
      </w:r>
      <w:r>
        <w:t>Notice</w:t>
      </w:r>
      <w:r w:rsidR="00AF50FF">
        <w:t>?</w:t>
      </w:r>
      <w:r>
        <w:t xml:space="preserve"> </w:t>
      </w:r>
    </w:p>
    <w:p w14:paraId="0B803B9A" w14:textId="214BB9AA" w:rsidR="00B02B9D" w:rsidRDefault="00DE5416" w:rsidP="00C75951">
      <w:pPr>
        <w:pStyle w:val="ListParagraph"/>
        <w:numPr>
          <w:ilvl w:val="0"/>
          <w:numId w:val="8"/>
        </w:numPr>
      </w:pPr>
      <w:r w:rsidRPr="00A1180A">
        <w:rPr>
          <w:b/>
          <w:bCs/>
        </w:rPr>
        <w:t>David Molton</w:t>
      </w:r>
      <w:r>
        <w:t xml:space="preserve"> -- </w:t>
      </w:r>
      <w:r w:rsidR="00B02B9D">
        <w:t>A recent bankruptcy case contained a nondebtor</w:t>
      </w:r>
      <w:r w:rsidR="00CF5B01">
        <w:t>-</w:t>
      </w:r>
      <w:r w:rsidR="00B02B9D">
        <w:t xml:space="preserve">release </w:t>
      </w:r>
      <w:r w:rsidR="00CF5B01">
        <w:t>provision, which was one sentence containing 370 words</w:t>
      </w:r>
      <w:r w:rsidR="00F3026D">
        <w:t xml:space="preserve"> and virtually </w:t>
      </w:r>
      <w:r w:rsidR="0086007C">
        <w:t>incomprehensible</w:t>
      </w:r>
      <w:r w:rsidR="00CF5B01">
        <w:t xml:space="preserve">. </w:t>
      </w:r>
      <w:r w:rsidR="00124FC0">
        <w:t>T</w:t>
      </w:r>
      <w:r w:rsidR="00981A99">
        <w:t xml:space="preserve">he </w:t>
      </w:r>
      <w:r w:rsidR="00485552">
        <w:t xml:space="preserve">revised version in the </w:t>
      </w:r>
      <w:r w:rsidR="00981A99">
        <w:t>side-</w:t>
      </w:r>
      <w:r w:rsidR="0086007C">
        <w:t>by</w:t>
      </w:r>
      <w:r w:rsidR="00981A99">
        <w:t xml:space="preserve">-side </w:t>
      </w:r>
      <w:r w:rsidR="005B52D4">
        <w:t xml:space="preserve">comparison </w:t>
      </w:r>
      <w:r w:rsidR="00586FB0">
        <w:t>eliminates many words</w:t>
      </w:r>
      <w:r w:rsidR="0090159E">
        <w:t>. Despite n</w:t>
      </w:r>
      <w:r w:rsidR="00EE3EDF">
        <w:t>ot intending to change the substance,</w:t>
      </w:r>
      <w:r w:rsidR="001C411B">
        <w:t xml:space="preserve"> </w:t>
      </w:r>
      <w:r w:rsidR="00EE3EDF">
        <w:t>i</w:t>
      </w:r>
      <w:r w:rsidR="001C411B">
        <w:t>t is expected that</w:t>
      </w:r>
      <w:r w:rsidR="00586FB0">
        <w:t xml:space="preserve"> </w:t>
      </w:r>
      <w:r w:rsidR="006869A1">
        <w:t>litigation</w:t>
      </w:r>
      <w:r w:rsidR="00EE3EDF">
        <w:t xml:space="preserve"> will be raised </w:t>
      </w:r>
      <w:r w:rsidR="006869A1">
        <w:t xml:space="preserve">concerning the effect of the changes </w:t>
      </w:r>
      <w:r w:rsidR="00AE5CAD">
        <w:t>as was expected with the restyled federal rules</w:t>
      </w:r>
      <w:r w:rsidR="006869A1">
        <w:t>.</w:t>
      </w:r>
      <w:r w:rsidR="00AE5CAD">
        <w:t xml:space="preserve"> </w:t>
      </w:r>
      <w:r w:rsidR="00637F15">
        <w:t xml:space="preserve">Do you believe that the cost of </w:t>
      </w:r>
      <w:r w:rsidR="008A536C">
        <w:t>such</w:t>
      </w:r>
      <w:r w:rsidR="00637F15">
        <w:t xml:space="preserve"> temporary </w:t>
      </w:r>
      <w:r w:rsidR="00B1291A">
        <w:t>litigation is</w:t>
      </w:r>
      <w:r w:rsidR="008A536C">
        <w:t xml:space="preserve"> worth the long-term benefits?</w:t>
      </w:r>
    </w:p>
    <w:p w14:paraId="53263589" w14:textId="24F87177" w:rsidR="00EF1B00" w:rsidRDefault="00A1180A" w:rsidP="00DE5416">
      <w:pPr>
        <w:pStyle w:val="ListParagraph"/>
        <w:numPr>
          <w:ilvl w:val="0"/>
          <w:numId w:val="8"/>
        </w:numPr>
      </w:pPr>
      <w:r w:rsidRPr="003865A3">
        <w:rPr>
          <w:b/>
          <w:bCs/>
        </w:rPr>
        <w:lastRenderedPageBreak/>
        <w:t>David Molton</w:t>
      </w:r>
      <w:r>
        <w:t xml:space="preserve"> -- </w:t>
      </w:r>
      <w:r w:rsidR="00CA3511">
        <w:t xml:space="preserve">The Center will be publishing </w:t>
      </w:r>
      <w:r w:rsidR="00CC0CF7">
        <w:t xml:space="preserve">model </w:t>
      </w:r>
      <w:r w:rsidR="008A536C">
        <w:t xml:space="preserve">plain-English </w:t>
      </w:r>
      <w:r w:rsidR="00CA3511">
        <w:t>nondebtor release provisions and summary</w:t>
      </w:r>
      <w:r w:rsidR="008A536C">
        <w:t>-</w:t>
      </w:r>
      <w:r w:rsidR="00CA3511">
        <w:t>of</w:t>
      </w:r>
      <w:r w:rsidR="008A536C">
        <w:t>-</w:t>
      </w:r>
      <w:r w:rsidR="00CA3511">
        <w:t xml:space="preserve">rights </w:t>
      </w:r>
      <w:r w:rsidR="00CC0CF7">
        <w:t xml:space="preserve">disclosure </w:t>
      </w:r>
      <w:r w:rsidR="00CA3511">
        <w:t>notice after public</w:t>
      </w:r>
      <w:r w:rsidR="00DC4DEF">
        <w:t xml:space="preserve"> comment</w:t>
      </w:r>
      <w:r w:rsidR="00CA3511">
        <w:t xml:space="preserve"> early next year. </w:t>
      </w:r>
      <w:r w:rsidR="00764B84">
        <w:t xml:space="preserve">Are there any steps that can be taken </w:t>
      </w:r>
      <w:r w:rsidR="00DC4DEF">
        <w:t>that would</w:t>
      </w:r>
      <w:r w:rsidR="00764B84">
        <w:t xml:space="preserve"> </w:t>
      </w:r>
      <w:r w:rsidR="001E48F2">
        <w:t xml:space="preserve">persuade the bench and bar to accept such clearer language models </w:t>
      </w:r>
      <w:r w:rsidR="00DC4DEF">
        <w:t>acknowledging</w:t>
      </w:r>
      <w:r w:rsidR="002F5D87">
        <w:t xml:space="preserve"> inertia and</w:t>
      </w:r>
      <w:r w:rsidR="001E48F2">
        <w:t xml:space="preserve"> that lawyers avoid risks</w:t>
      </w:r>
      <w:r w:rsidR="00B3789D">
        <w:t xml:space="preserve"> and stick with traditional language</w:t>
      </w:r>
      <w:r w:rsidR="001E48F2">
        <w:t>?</w:t>
      </w:r>
      <w:r w:rsidR="00963030" w:rsidRPr="00963030">
        <w:t xml:space="preserve"> </w:t>
      </w:r>
      <w:r w:rsidR="00BE7DF4">
        <w:t xml:space="preserve">If </w:t>
      </w:r>
      <w:r w:rsidR="00963030">
        <w:t>the Federal Judicial Center publish</w:t>
      </w:r>
      <w:r w:rsidR="00FE6E38">
        <w:t>es</w:t>
      </w:r>
      <w:r w:rsidR="00963030">
        <w:t xml:space="preserve"> these </w:t>
      </w:r>
      <w:r w:rsidR="002B0DE5">
        <w:t>two models, as they did for class action notices under Rule 23</w:t>
      </w:r>
      <w:r w:rsidR="00BE7DF4">
        <w:t xml:space="preserve">, </w:t>
      </w:r>
      <w:r w:rsidR="00B3789D">
        <w:t xml:space="preserve">would that </w:t>
      </w:r>
      <w:r w:rsidR="00BE7DF4">
        <w:t>make a difference</w:t>
      </w:r>
      <w:r w:rsidR="002B0DE5">
        <w:t xml:space="preserve">? </w:t>
      </w:r>
      <w:r w:rsidR="00CC0CF7">
        <w:t xml:space="preserve"> Or will acceptance </w:t>
      </w:r>
      <w:r w:rsidR="00FE6E38">
        <w:t>depend on courts instructing counsel?</w:t>
      </w:r>
    </w:p>
    <w:sectPr w:rsidR="00EF1B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F916" w14:textId="77777777" w:rsidR="00B97700" w:rsidRDefault="00B97700" w:rsidP="005B4C11">
      <w:pPr>
        <w:spacing w:after="0" w:line="240" w:lineRule="auto"/>
      </w:pPr>
      <w:r>
        <w:separator/>
      </w:r>
    </w:p>
  </w:endnote>
  <w:endnote w:type="continuationSeparator" w:id="0">
    <w:p w14:paraId="4BDAD140" w14:textId="77777777" w:rsidR="00B97700" w:rsidRDefault="00B97700" w:rsidP="005B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24909"/>
      <w:docPartObj>
        <w:docPartGallery w:val="Page Numbers (Bottom of Page)"/>
        <w:docPartUnique/>
      </w:docPartObj>
    </w:sdtPr>
    <w:sdtEndPr>
      <w:rPr>
        <w:color w:val="7F7F7F" w:themeColor="background1" w:themeShade="7F"/>
        <w:spacing w:val="60"/>
      </w:rPr>
    </w:sdtEndPr>
    <w:sdtContent>
      <w:p w14:paraId="5D7A1B17" w14:textId="3C84B805" w:rsidR="005B4C11" w:rsidRDefault="005B4C1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99251F3" w14:textId="77777777" w:rsidR="005B4C11" w:rsidRDefault="005B4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E5B5" w14:textId="77777777" w:rsidR="00B97700" w:rsidRDefault="00B97700" w:rsidP="005B4C11">
      <w:pPr>
        <w:spacing w:after="0" w:line="240" w:lineRule="auto"/>
      </w:pPr>
      <w:r>
        <w:separator/>
      </w:r>
    </w:p>
  </w:footnote>
  <w:footnote w:type="continuationSeparator" w:id="0">
    <w:p w14:paraId="7AB83E53" w14:textId="77777777" w:rsidR="00B97700" w:rsidRDefault="00B97700" w:rsidP="005B4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982"/>
    <w:multiLevelType w:val="hybridMultilevel"/>
    <w:tmpl w:val="C4BA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7D73"/>
    <w:multiLevelType w:val="hybridMultilevel"/>
    <w:tmpl w:val="00D0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4144D"/>
    <w:multiLevelType w:val="hybridMultilevel"/>
    <w:tmpl w:val="07CC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00E5B"/>
    <w:multiLevelType w:val="hybridMultilevel"/>
    <w:tmpl w:val="BECA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B3F6B"/>
    <w:multiLevelType w:val="hybridMultilevel"/>
    <w:tmpl w:val="42309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1460A4"/>
    <w:multiLevelType w:val="hybridMultilevel"/>
    <w:tmpl w:val="9D2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51F5A"/>
    <w:multiLevelType w:val="hybridMultilevel"/>
    <w:tmpl w:val="EDC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57C2A"/>
    <w:multiLevelType w:val="hybridMultilevel"/>
    <w:tmpl w:val="36EC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646644">
    <w:abstractNumId w:val="3"/>
  </w:num>
  <w:num w:numId="2" w16cid:durableId="710614706">
    <w:abstractNumId w:val="4"/>
  </w:num>
  <w:num w:numId="3" w16cid:durableId="1047217865">
    <w:abstractNumId w:val="6"/>
  </w:num>
  <w:num w:numId="4" w16cid:durableId="1832989826">
    <w:abstractNumId w:val="1"/>
  </w:num>
  <w:num w:numId="5" w16cid:durableId="1844587790">
    <w:abstractNumId w:val="2"/>
  </w:num>
  <w:num w:numId="6" w16cid:durableId="2139519547">
    <w:abstractNumId w:val="0"/>
  </w:num>
  <w:num w:numId="7" w16cid:durableId="914971472">
    <w:abstractNumId w:val="5"/>
  </w:num>
  <w:num w:numId="8" w16cid:durableId="744230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7D"/>
    <w:rsid w:val="000124B3"/>
    <w:rsid w:val="00016F0D"/>
    <w:rsid w:val="0002019B"/>
    <w:rsid w:val="00020D7D"/>
    <w:rsid w:val="00021B84"/>
    <w:rsid w:val="00023F79"/>
    <w:rsid w:val="00024C54"/>
    <w:rsid w:val="00027E62"/>
    <w:rsid w:val="00030ACF"/>
    <w:rsid w:val="00035A28"/>
    <w:rsid w:val="000439EA"/>
    <w:rsid w:val="00046916"/>
    <w:rsid w:val="000472D1"/>
    <w:rsid w:val="00050101"/>
    <w:rsid w:val="00053A1D"/>
    <w:rsid w:val="00054F0C"/>
    <w:rsid w:val="0005502B"/>
    <w:rsid w:val="00056846"/>
    <w:rsid w:val="00056AA4"/>
    <w:rsid w:val="00060DBD"/>
    <w:rsid w:val="00061175"/>
    <w:rsid w:val="00076685"/>
    <w:rsid w:val="0007714A"/>
    <w:rsid w:val="00077B2D"/>
    <w:rsid w:val="00090F74"/>
    <w:rsid w:val="000918DB"/>
    <w:rsid w:val="00092A21"/>
    <w:rsid w:val="000935E2"/>
    <w:rsid w:val="00095763"/>
    <w:rsid w:val="00095EAC"/>
    <w:rsid w:val="000A0CCF"/>
    <w:rsid w:val="000A4E97"/>
    <w:rsid w:val="000B177C"/>
    <w:rsid w:val="000B6875"/>
    <w:rsid w:val="000C2720"/>
    <w:rsid w:val="000C279F"/>
    <w:rsid w:val="000C7802"/>
    <w:rsid w:val="000D06F3"/>
    <w:rsid w:val="000D4DE1"/>
    <w:rsid w:val="000D63AC"/>
    <w:rsid w:val="000E129E"/>
    <w:rsid w:val="000E22AC"/>
    <w:rsid w:val="000E3230"/>
    <w:rsid w:val="000E3243"/>
    <w:rsid w:val="000E32C9"/>
    <w:rsid w:val="000E36F1"/>
    <w:rsid w:val="000E64DC"/>
    <w:rsid w:val="000E705A"/>
    <w:rsid w:val="000F0104"/>
    <w:rsid w:val="000F0F8B"/>
    <w:rsid w:val="000F2745"/>
    <w:rsid w:val="00101115"/>
    <w:rsid w:val="00101884"/>
    <w:rsid w:val="001034C9"/>
    <w:rsid w:val="001046E8"/>
    <w:rsid w:val="00110C64"/>
    <w:rsid w:val="00111BB5"/>
    <w:rsid w:val="001128E5"/>
    <w:rsid w:val="00113116"/>
    <w:rsid w:val="00115065"/>
    <w:rsid w:val="0011527D"/>
    <w:rsid w:val="00117D6E"/>
    <w:rsid w:val="0012336F"/>
    <w:rsid w:val="00124739"/>
    <w:rsid w:val="00124FC0"/>
    <w:rsid w:val="00127B51"/>
    <w:rsid w:val="00130CFB"/>
    <w:rsid w:val="00132B5B"/>
    <w:rsid w:val="001464F0"/>
    <w:rsid w:val="00146FB4"/>
    <w:rsid w:val="00150850"/>
    <w:rsid w:val="00155C0B"/>
    <w:rsid w:val="001637DB"/>
    <w:rsid w:val="001641BE"/>
    <w:rsid w:val="001674C9"/>
    <w:rsid w:val="00167BE8"/>
    <w:rsid w:val="00174657"/>
    <w:rsid w:val="00175B98"/>
    <w:rsid w:val="00183BB5"/>
    <w:rsid w:val="0019267F"/>
    <w:rsid w:val="00197E09"/>
    <w:rsid w:val="001A06F3"/>
    <w:rsid w:val="001A2260"/>
    <w:rsid w:val="001A53A4"/>
    <w:rsid w:val="001B2179"/>
    <w:rsid w:val="001B36DC"/>
    <w:rsid w:val="001B5559"/>
    <w:rsid w:val="001C411B"/>
    <w:rsid w:val="001C4FC3"/>
    <w:rsid w:val="001D1147"/>
    <w:rsid w:val="001D2497"/>
    <w:rsid w:val="001D4EBB"/>
    <w:rsid w:val="001E22A7"/>
    <w:rsid w:val="001E2FE3"/>
    <w:rsid w:val="001E4080"/>
    <w:rsid w:val="001E48F2"/>
    <w:rsid w:val="001E7D53"/>
    <w:rsid w:val="001F0AAA"/>
    <w:rsid w:val="001F3AA1"/>
    <w:rsid w:val="00202311"/>
    <w:rsid w:val="002060F0"/>
    <w:rsid w:val="0021006B"/>
    <w:rsid w:val="0021237B"/>
    <w:rsid w:val="002225AF"/>
    <w:rsid w:val="00226576"/>
    <w:rsid w:val="00227071"/>
    <w:rsid w:val="00232419"/>
    <w:rsid w:val="0023368D"/>
    <w:rsid w:val="00233EDB"/>
    <w:rsid w:val="002352DD"/>
    <w:rsid w:val="002368CE"/>
    <w:rsid w:val="00237BE0"/>
    <w:rsid w:val="00237EC3"/>
    <w:rsid w:val="00244D01"/>
    <w:rsid w:val="002464B2"/>
    <w:rsid w:val="00252FDD"/>
    <w:rsid w:val="00255F19"/>
    <w:rsid w:val="00257545"/>
    <w:rsid w:val="0026029D"/>
    <w:rsid w:val="00262E24"/>
    <w:rsid w:val="002636AA"/>
    <w:rsid w:val="002745AF"/>
    <w:rsid w:val="00281CD8"/>
    <w:rsid w:val="0028233B"/>
    <w:rsid w:val="00285A23"/>
    <w:rsid w:val="002A1624"/>
    <w:rsid w:val="002B0DE5"/>
    <w:rsid w:val="002B15F8"/>
    <w:rsid w:val="002B71FE"/>
    <w:rsid w:val="002B7C5F"/>
    <w:rsid w:val="002B7EC3"/>
    <w:rsid w:val="002C410B"/>
    <w:rsid w:val="002C70F3"/>
    <w:rsid w:val="002C7F2F"/>
    <w:rsid w:val="002D5C38"/>
    <w:rsid w:val="002E3878"/>
    <w:rsid w:val="002E60D2"/>
    <w:rsid w:val="002E74CC"/>
    <w:rsid w:val="002F4AC6"/>
    <w:rsid w:val="002F5D87"/>
    <w:rsid w:val="00303FD3"/>
    <w:rsid w:val="00305A9F"/>
    <w:rsid w:val="003061E3"/>
    <w:rsid w:val="00307F62"/>
    <w:rsid w:val="00314856"/>
    <w:rsid w:val="00314BAD"/>
    <w:rsid w:val="0032018D"/>
    <w:rsid w:val="0032167A"/>
    <w:rsid w:val="00321F56"/>
    <w:rsid w:val="003229B9"/>
    <w:rsid w:val="003258FC"/>
    <w:rsid w:val="003259D0"/>
    <w:rsid w:val="003314DA"/>
    <w:rsid w:val="0033178C"/>
    <w:rsid w:val="00331E77"/>
    <w:rsid w:val="00332767"/>
    <w:rsid w:val="003411B6"/>
    <w:rsid w:val="00341D67"/>
    <w:rsid w:val="0034358A"/>
    <w:rsid w:val="00344C5C"/>
    <w:rsid w:val="00344E53"/>
    <w:rsid w:val="00361060"/>
    <w:rsid w:val="00365562"/>
    <w:rsid w:val="0037472E"/>
    <w:rsid w:val="00384E5C"/>
    <w:rsid w:val="003865A3"/>
    <w:rsid w:val="00387020"/>
    <w:rsid w:val="00393C15"/>
    <w:rsid w:val="0039407D"/>
    <w:rsid w:val="003A1F45"/>
    <w:rsid w:val="003A2818"/>
    <w:rsid w:val="003A39DC"/>
    <w:rsid w:val="003B5691"/>
    <w:rsid w:val="003C3F1C"/>
    <w:rsid w:val="003C6666"/>
    <w:rsid w:val="003D0BFC"/>
    <w:rsid w:val="003D449A"/>
    <w:rsid w:val="003E1126"/>
    <w:rsid w:val="003F6B55"/>
    <w:rsid w:val="00407BAB"/>
    <w:rsid w:val="004104F7"/>
    <w:rsid w:val="00411CB2"/>
    <w:rsid w:val="00420F8E"/>
    <w:rsid w:val="00421F99"/>
    <w:rsid w:val="0042755D"/>
    <w:rsid w:val="00427CD2"/>
    <w:rsid w:val="00432E00"/>
    <w:rsid w:val="0043741E"/>
    <w:rsid w:val="00443A5D"/>
    <w:rsid w:val="0044497F"/>
    <w:rsid w:val="00444C9A"/>
    <w:rsid w:val="00446E4F"/>
    <w:rsid w:val="00453904"/>
    <w:rsid w:val="00485552"/>
    <w:rsid w:val="00496131"/>
    <w:rsid w:val="00496603"/>
    <w:rsid w:val="004A576D"/>
    <w:rsid w:val="004A5BD7"/>
    <w:rsid w:val="004A788D"/>
    <w:rsid w:val="004B072B"/>
    <w:rsid w:val="004B32DC"/>
    <w:rsid w:val="004B457A"/>
    <w:rsid w:val="004C1DE9"/>
    <w:rsid w:val="004C3517"/>
    <w:rsid w:val="004C4831"/>
    <w:rsid w:val="004D00D6"/>
    <w:rsid w:val="004D0639"/>
    <w:rsid w:val="004D7257"/>
    <w:rsid w:val="004E2B20"/>
    <w:rsid w:val="004E403E"/>
    <w:rsid w:val="004F69B5"/>
    <w:rsid w:val="00501431"/>
    <w:rsid w:val="00502AB4"/>
    <w:rsid w:val="00503DA5"/>
    <w:rsid w:val="00505EE7"/>
    <w:rsid w:val="005116C4"/>
    <w:rsid w:val="00511EBF"/>
    <w:rsid w:val="005178B4"/>
    <w:rsid w:val="00526677"/>
    <w:rsid w:val="00526B7F"/>
    <w:rsid w:val="00531DF3"/>
    <w:rsid w:val="00533DEE"/>
    <w:rsid w:val="005363EA"/>
    <w:rsid w:val="0053703F"/>
    <w:rsid w:val="00541B40"/>
    <w:rsid w:val="00554F65"/>
    <w:rsid w:val="00557521"/>
    <w:rsid w:val="00557E13"/>
    <w:rsid w:val="00562E94"/>
    <w:rsid w:val="00565C33"/>
    <w:rsid w:val="00571C0B"/>
    <w:rsid w:val="00574026"/>
    <w:rsid w:val="00582093"/>
    <w:rsid w:val="00583C81"/>
    <w:rsid w:val="00585C3F"/>
    <w:rsid w:val="00586FB0"/>
    <w:rsid w:val="00587481"/>
    <w:rsid w:val="00587545"/>
    <w:rsid w:val="005909DB"/>
    <w:rsid w:val="00591C29"/>
    <w:rsid w:val="0059312D"/>
    <w:rsid w:val="00594A06"/>
    <w:rsid w:val="0059559D"/>
    <w:rsid w:val="005A03FE"/>
    <w:rsid w:val="005A4F55"/>
    <w:rsid w:val="005A6190"/>
    <w:rsid w:val="005A6FFF"/>
    <w:rsid w:val="005A730D"/>
    <w:rsid w:val="005B3936"/>
    <w:rsid w:val="005B4A30"/>
    <w:rsid w:val="005B4C11"/>
    <w:rsid w:val="005B52D4"/>
    <w:rsid w:val="005B6019"/>
    <w:rsid w:val="005C1034"/>
    <w:rsid w:val="005C3E60"/>
    <w:rsid w:val="005D2894"/>
    <w:rsid w:val="005E02BF"/>
    <w:rsid w:val="005E7C89"/>
    <w:rsid w:val="005F065F"/>
    <w:rsid w:val="005F274A"/>
    <w:rsid w:val="005F74BC"/>
    <w:rsid w:val="006016F7"/>
    <w:rsid w:val="00603BBB"/>
    <w:rsid w:val="0060470D"/>
    <w:rsid w:val="00605F38"/>
    <w:rsid w:val="00606CE0"/>
    <w:rsid w:val="0061226F"/>
    <w:rsid w:val="006137DA"/>
    <w:rsid w:val="00614538"/>
    <w:rsid w:val="00614FDF"/>
    <w:rsid w:val="006159C6"/>
    <w:rsid w:val="00615DA7"/>
    <w:rsid w:val="00615E8E"/>
    <w:rsid w:val="00621492"/>
    <w:rsid w:val="006220F9"/>
    <w:rsid w:val="006223E3"/>
    <w:rsid w:val="0062676B"/>
    <w:rsid w:val="00626829"/>
    <w:rsid w:val="006340DD"/>
    <w:rsid w:val="00637F15"/>
    <w:rsid w:val="00640FD5"/>
    <w:rsid w:val="006465FB"/>
    <w:rsid w:val="00650AE3"/>
    <w:rsid w:val="00652898"/>
    <w:rsid w:val="00652E9A"/>
    <w:rsid w:val="00657610"/>
    <w:rsid w:val="00663629"/>
    <w:rsid w:val="00663D4D"/>
    <w:rsid w:val="00664948"/>
    <w:rsid w:val="006653C1"/>
    <w:rsid w:val="00665BD9"/>
    <w:rsid w:val="00667A3C"/>
    <w:rsid w:val="0067682E"/>
    <w:rsid w:val="00683752"/>
    <w:rsid w:val="00683BBE"/>
    <w:rsid w:val="0068561F"/>
    <w:rsid w:val="006869A1"/>
    <w:rsid w:val="00687012"/>
    <w:rsid w:val="00687C36"/>
    <w:rsid w:val="00691A2F"/>
    <w:rsid w:val="00692E0C"/>
    <w:rsid w:val="00695934"/>
    <w:rsid w:val="00696D77"/>
    <w:rsid w:val="006A06B4"/>
    <w:rsid w:val="006A1163"/>
    <w:rsid w:val="006A325A"/>
    <w:rsid w:val="006A5F8D"/>
    <w:rsid w:val="006A773C"/>
    <w:rsid w:val="006B2B31"/>
    <w:rsid w:val="006B4CC6"/>
    <w:rsid w:val="006B505D"/>
    <w:rsid w:val="006B55D9"/>
    <w:rsid w:val="006C078B"/>
    <w:rsid w:val="006C44CA"/>
    <w:rsid w:val="006C6857"/>
    <w:rsid w:val="006C76A1"/>
    <w:rsid w:val="006E209E"/>
    <w:rsid w:val="006E4C2B"/>
    <w:rsid w:val="006E6F0B"/>
    <w:rsid w:val="006F761B"/>
    <w:rsid w:val="007021C1"/>
    <w:rsid w:val="00707308"/>
    <w:rsid w:val="007115F0"/>
    <w:rsid w:val="00713BE6"/>
    <w:rsid w:val="0071489F"/>
    <w:rsid w:val="007165EB"/>
    <w:rsid w:val="007178F2"/>
    <w:rsid w:val="00721310"/>
    <w:rsid w:val="007213F0"/>
    <w:rsid w:val="00722C87"/>
    <w:rsid w:val="007258C3"/>
    <w:rsid w:val="007265EC"/>
    <w:rsid w:val="00726D6B"/>
    <w:rsid w:val="00730005"/>
    <w:rsid w:val="007301BD"/>
    <w:rsid w:val="007302DF"/>
    <w:rsid w:val="00732731"/>
    <w:rsid w:val="00735524"/>
    <w:rsid w:val="0073607F"/>
    <w:rsid w:val="0074029F"/>
    <w:rsid w:val="007405C7"/>
    <w:rsid w:val="0074140F"/>
    <w:rsid w:val="00753064"/>
    <w:rsid w:val="00753F71"/>
    <w:rsid w:val="0075449A"/>
    <w:rsid w:val="0075569F"/>
    <w:rsid w:val="00756E4B"/>
    <w:rsid w:val="00761FD4"/>
    <w:rsid w:val="00764B84"/>
    <w:rsid w:val="00771092"/>
    <w:rsid w:val="0077199D"/>
    <w:rsid w:val="00772140"/>
    <w:rsid w:val="00772330"/>
    <w:rsid w:val="00775E51"/>
    <w:rsid w:val="0077606F"/>
    <w:rsid w:val="007762CB"/>
    <w:rsid w:val="00776F05"/>
    <w:rsid w:val="00777F60"/>
    <w:rsid w:val="007804D1"/>
    <w:rsid w:val="0078236D"/>
    <w:rsid w:val="00795C86"/>
    <w:rsid w:val="00796C11"/>
    <w:rsid w:val="007B05EB"/>
    <w:rsid w:val="007B5F5E"/>
    <w:rsid w:val="007B711F"/>
    <w:rsid w:val="007C5F14"/>
    <w:rsid w:val="007C75B1"/>
    <w:rsid w:val="007C773C"/>
    <w:rsid w:val="007D042C"/>
    <w:rsid w:val="007E084E"/>
    <w:rsid w:val="007E1C06"/>
    <w:rsid w:val="007E3A2F"/>
    <w:rsid w:val="007E60D8"/>
    <w:rsid w:val="007F02B8"/>
    <w:rsid w:val="007F0614"/>
    <w:rsid w:val="007F23F7"/>
    <w:rsid w:val="007F24B4"/>
    <w:rsid w:val="007F3565"/>
    <w:rsid w:val="007F4206"/>
    <w:rsid w:val="007F7755"/>
    <w:rsid w:val="007F799E"/>
    <w:rsid w:val="007F7AEC"/>
    <w:rsid w:val="00804582"/>
    <w:rsid w:val="00804B94"/>
    <w:rsid w:val="00811896"/>
    <w:rsid w:val="0081360E"/>
    <w:rsid w:val="00823332"/>
    <w:rsid w:val="00824047"/>
    <w:rsid w:val="008275A6"/>
    <w:rsid w:val="00834B2F"/>
    <w:rsid w:val="008352AF"/>
    <w:rsid w:val="008440BF"/>
    <w:rsid w:val="00845025"/>
    <w:rsid w:val="008515D9"/>
    <w:rsid w:val="0086007C"/>
    <w:rsid w:val="00860478"/>
    <w:rsid w:val="0086350F"/>
    <w:rsid w:val="0086375B"/>
    <w:rsid w:val="00863B1F"/>
    <w:rsid w:val="008725BA"/>
    <w:rsid w:val="008742A3"/>
    <w:rsid w:val="008747FD"/>
    <w:rsid w:val="0087567A"/>
    <w:rsid w:val="00877122"/>
    <w:rsid w:val="008903F3"/>
    <w:rsid w:val="008908E3"/>
    <w:rsid w:val="008909B3"/>
    <w:rsid w:val="008A4B18"/>
    <w:rsid w:val="008A536C"/>
    <w:rsid w:val="008A766B"/>
    <w:rsid w:val="008B4DAC"/>
    <w:rsid w:val="008D229E"/>
    <w:rsid w:val="008D74A0"/>
    <w:rsid w:val="008E1CF3"/>
    <w:rsid w:val="008E36A8"/>
    <w:rsid w:val="008E663C"/>
    <w:rsid w:val="008F715D"/>
    <w:rsid w:val="0090159E"/>
    <w:rsid w:val="00904052"/>
    <w:rsid w:val="0090625C"/>
    <w:rsid w:val="009072AE"/>
    <w:rsid w:val="00921599"/>
    <w:rsid w:val="00924550"/>
    <w:rsid w:val="00924742"/>
    <w:rsid w:val="009374B0"/>
    <w:rsid w:val="00937803"/>
    <w:rsid w:val="00941491"/>
    <w:rsid w:val="00943AF2"/>
    <w:rsid w:val="00944EB4"/>
    <w:rsid w:val="009521D9"/>
    <w:rsid w:val="00953906"/>
    <w:rsid w:val="00960009"/>
    <w:rsid w:val="009613A0"/>
    <w:rsid w:val="00962D3B"/>
    <w:rsid w:val="00963030"/>
    <w:rsid w:val="009630CA"/>
    <w:rsid w:val="0097033D"/>
    <w:rsid w:val="00971CD0"/>
    <w:rsid w:val="00973A0E"/>
    <w:rsid w:val="00975D47"/>
    <w:rsid w:val="009802AA"/>
    <w:rsid w:val="00981A99"/>
    <w:rsid w:val="00984F56"/>
    <w:rsid w:val="0099177F"/>
    <w:rsid w:val="009A09B2"/>
    <w:rsid w:val="009A27FC"/>
    <w:rsid w:val="009A5E96"/>
    <w:rsid w:val="009A789D"/>
    <w:rsid w:val="009A7FB0"/>
    <w:rsid w:val="009B1B9B"/>
    <w:rsid w:val="009B1D1B"/>
    <w:rsid w:val="009B2B92"/>
    <w:rsid w:val="009B7A0B"/>
    <w:rsid w:val="009C155B"/>
    <w:rsid w:val="009C4123"/>
    <w:rsid w:val="009C5E00"/>
    <w:rsid w:val="009C608B"/>
    <w:rsid w:val="009D468A"/>
    <w:rsid w:val="009E0355"/>
    <w:rsid w:val="009E3554"/>
    <w:rsid w:val="009F03E4"/>
    <w:rsid w:val="009F2662"/>
    <w:rsid w:val="009F4AEB"/>
    <w:rsid w:val="009F7D67"/>
    <w:rsid w:val="00A008E9"/>
    <w:rsid w:val="00A00B86"/>
    <w:rsid w:val="00A01393"/>
    <w:rsid w:val="00A04D6B"/>
    <w:rsid w:val="00A05A75"/>
    <w:rsid w:val="00A070B5"/>
    <w:rsid w:val="00A10E69"/>
    <w:rsid w:val="00A1180A"/>
    <w:rsid w:val="00A17B99"/>
    <w:rsid w:val="00A17BF3"/>
    <w:rsid w:val="00A229A8"/>
    <w:rsid w:val="00A2421A"/>
    <w:rsid w:val="00A24523"/>
    <w:rsid w:val="00A251E3"/>
    <w:rsid w:val="00A30A6C"/>
    <w:rsid w:val="00A3260E"/>
    <w:rsid w:val="00A35B30"/>
    <w:rsid w:val="00A47981"/>
    <w:rsid w:val="00A54613"/>
    <w:rsid w:val="00A57EA3"/>
    <w:rsid w:val="00A60245"/>
    <w:rsid w:val="00A6723D"/>
    <w:rsid w:val="00A75682"/>
    <w:rsid w:val="00A76FC7"/>
    <w:rsid w:val="00A80487"/>
    <w:rsid w:val="00A81886"/>
    <w:rsid w:val="00A83F94"/>
    <w:rsid w:val="00A923A2"/>
    <w:rsid w:val="00A93A8E"/>
    <w:rsid w:val="00A95740"/>
    <w:rsid w:val="00AA4E06"/>
    <w:rsid w:val="00AA4E6D"/>
    <w:rsid w:val="00AA6167"/>
    <w:rsid w:val="00AA7064"/>
    <w:rsid w:val="00AB5F06"/>
    <w:rsid w:val="00AC05C9"/>
    <w:rsid w:val="00AC0D81"/>
    <w:rsid w:val="00AC173D"/>
    <w:rsid w:val="00AD1919"/>
    <w:rsid w:val="00AD2F40"/>
    <w:rsid w:val="00AD6690"/>
    <w:rsid w:val="00AE1913"/>
    <w:rsid w:val="00AE5591"/>
    <w:rsid w:val="00AE5CAD"/>
    <w:rsid w:val="00AE6C4D"/>
    <w:rsid w:val="00AF0C73"/>
    <w:rsid w:val="00AF4336"/>
    <w:rsid w:val="00AF4D84"/>
    <w:rsid w:val="00AF50FF"/>
    <w:rsid w:val="00AF60D6"/>
    <w:rsid w:val="00AF6F70"/>
    <w:rsid w:val="00B001EE"/>
    <w:rsid w:val="00B003AD"/>
    <w:rsid w:val="00B00EF5"/>
    <w:rsid w:val="00B01A37"/>
    <w:rsid w:val="00B02B9D"/>
    <w:rsid w:val="00B02D7C"/>
    <w:rsid w:val="00B070CC"/>
    <w:rsid w:val="00B12100"/>
    <w:rsid w:val="00B1291A"/>
    <w:rsid w:val="00B258A1"/>
    <w:rsid w:val="00B36923"/>
    <w:rsid w:val="00B36D6C"/>
    <w:rsid w:val="00B3789D"/>
    <w:rsid w:val="00B37DD8"/>
    <w:rsid w:val="00B438F1"/>
    <w:rsid w:val="00B456CE"/>
    <w:rsid w:val="00B45D80"/>
    <w:rsid w:val="00B4671F"/>
    <w:rsid w:val="00B46CBE"/>
    <w:rsid w:val="00B46F60"/>
    <w:rsid w:val="00B52DE7"/>
    <w:rsid w:val="00B532D7"/>
    <w:rsid w:val="00B55E8B"/>
    <w:rsid w:val="00B56130"/>
    <w:rsid w:val="00B61CD2"/>
    <w:rsid w:val="00B62786"/>
    <w:rsid w:val="00B63262"/>
    <w:rsid w:val="00B63A82"/>
    <w:rsid w:val="00B646F9"/>
    <w:rsid w:val="00B64EB2"/>
    <w:rsid w:val="00B707F4"/>
    <w:rsid w:val="00B710C4"/>
    <w:rsid w:val="00B744D5"/>
    <w:rsid w:val="00B8425F"/>
    <w:rsid w:val="00B8433F"/>
    <w:rsid w:val="00B8616F"/>
    <w:rsid w:val="00B94463"/>
    <w:rsid w:val="00B967F8"/>
    <w:rsid w:val="00B97700"/>
    <w:rsid w:val="00B977CD"/>
    <w:rsid w:val="00BA5BA5"/>
    <w:rsid w:val="00BB2BEC"/>
    <w:rsid w:val="00BB592E"/>
    <w:rsid w:val="00BB6F91"/>
    <w:rsid w:val="00BB78A1"/>
    <w:rsid w:val="00BC197C"/>
    <w:rsid w:val="00BC30CE"/>
    <w:rsid w:val="00BE7DF4"/>
    <w:rsid w:val="00BF2D85"/>
    <w:rsid w:val="00BF3AF2"/>
    <w:rsid w:val="00BF5AEB"/>
    <w:rsid w:val="00C029FE"/>
    <w:rsid w:val="00C02AC3"/>
    <w:rsid w:val="00C04CA5"/>
    <w:rsid w:val="00C12AF5"/>
    <w:rsid w:val="00C13675"/>
    <w:rsid w:val="00C322FC"/>
    <w:rsid w:val="00C360E6"/>
    <w:rsid w:val="00C36916"/>
    <w:rsid w:val="00C37909"/>
    <w:rsid w:val="00C45432"/>
    <w:rsid w:val="00C511F2"/>
    <w:rsid w:val="00C519B9"/>
    <w:rsid w:val="00C53CF3"/>
    <w:rsid w:val="00C61C6F"/>
    <w:rsid w:val="00C624D6"/>
    <w:rsid w:val="00C62BA9"/>
    <w:rsid w:val="00C654C1"/>
    <w:rsid w:val="00C654FF"/>
    <w:rsid w:val="00C70794"/>
    <w:rsid w:val="00C73C1F"/>
    <w:rsid w:val="00C75951"/>
    <w:rsid w:val="00C85826"/>
    <w:rsid w:val="00C95781"/>
    <w:rsid w:val="00C971A6"/>
    <w:rsid w:val="00C973B0"/>
    <w:rsid w:val="00CA1398"/>
    <w:rsid w:val="00CA1B65"/>
    <w:rsid w:val="00CA240E"/>
    <w:rsid w:val="00CA2532"/>
    <w:rsid w:val="00CA3511"/>
    <w:rsid w:val="00CA430A"/>
    <w:rsid w:val="00CA7AD6"/>
    <w:rsid w:val="00CB7A63"/>
    <w:rsid w:val="00CC0366"/>
    <w:rsid w:val="00CC0CF7"/>
    <w:rsid w:val="00CC0E96"/>
    <w:rsid w:val="00CC1038"/>
    <w:rsid w:val="00CC687A"/>
    <w:rsid w:val="00CC7DD2"/>
    <w:rsid w:val="00CD05E5"/>
    <w:rsid w:val="00CD39E6"/>
    <w:rsid w:val="00CD52CF"/>
    <w:rsid w:val="00CF3111"/>
    <w:rsid w:val="00CF5B01"/>
    <w:rsid w:val="00CF5FA3"/>
    <w:rsid w:val="00D01A20"/>
    <w:rsid w:val="00D0500E"/>
    <w:rsid w:val="00D0711C"/>
    <w:rsid w:val="00D20DF9"/>
    <w:rsid w:val="00D26F64"/>
    <w:rsid w:val="00D31C07"/>
    <w:rsid w:val="00D41F7A"/>
    <w:rsid w:val="00D441E5"/>
    <w:rsid w:val="00D45AFF"/>
    <w:rsid w:val="00D565C2"/>
    <w:rsid w:val="00D64B4C"/>
    <w:rsid w:val="00D74D07"/>
    <w:rsid w:val="00D76CCA"/>
    <w:rsid w:val="00D90361"/>
    <w:rsid w:val="00D906D8"/>
    <w:rsid w:val="00D95717"/>
    <w:rsid w:val="00D964D1"/>
    <w:rsid w:val="00DB1A1C"/>
    <w:rsid w:val="00DB1CB8"/>
    <w:rsid w:val="00DB6189"/>
    <w:rsid w:val="00DC4DEF"/>
    <w:rsid w:val="00DC60D2"/>
    <w:rsid w:val="00DC7958"/>
    <w:rsid w:val="00DD2B88"/>
    <w:rsid w:val="00DD36DE"/>
    <w:rsid w:val="00DD4872"/>
    <w:rsid w:val="00DD77E4"/>
    <w:rsid w:val="00DD7A54"/>
    <w:rsid w:val="00DE27DB"/>
    <w:rsid w:val="00DE358F"/>
    <w:rsid w:val="00DE52A6"/>
    <w:rsid w:val="00DE5416"/>
    <w:rsid w:val="00DF0D43"/>
    <w:rsid w:val="00DF10E6"/>
    <w:rsid w:val="00E0054B"/>
    <w:rsid w:val="00E046A4"/>
    <w:rsid w:val="00E048C1"/>
    <w:rsid w:val="00E063EC"/>
    <w:rsid w:val="00E06792"/>
    <w:rsid w:val="00E11CCD"/>
    <w:rsid w:val="00E22754"/>
    <w:rsid w:val="00E25AA2"/>
    <w:rsid w:val="00E3032F"/>
    <w:rsid w:val="00E30689"/>
    <w:rsid w:val="00E30E28"/>
    <w:rsid w:val="00E334F9"/>
    <w:rsid w:val="00E40D56"/>
    <w:rsid w:val="00E43E92"/>
    <w:rsid w:val="00E51FEA"/>
    <w:rsid w:val="00E54E7A"/>
    <w:rsid w:val="00E54F0A"/>
    <w:rsid w:val="00E634B9"/>
    <w:rsid w:val="00E6743A"/>
    <w:rsid w:val="00E73B14"/>
    <w:rsid w:val="00E741A6"/>
    <w:rsid w:val="00E7553F"/>
    <w:rsid w:val="00E762B7"/>
    <w:rsid w:val="00E834CB"/>
    <w:rsid w:val="00E8729B"/>
    <w:rsid w:val="00E90274"/>
    <w:rsid w:val="00E92242"/>
    <w:rsid w:val="00EA35D4"/>
    <w:rsid w:val="00EA50BA"/>
    <w:rsid w:val="00EB625C"/>
    <w:rsid w:val="00EB6ADD"/>
    <w:rsid w:val="00EB7921"/>
    <w:rsid w:val="00EC58A3"/>
    <w:rsid w:val="00ED3884"/>
    <w:rsid w:val="00ED4694"/>
    <w:rsid w:val="00ED76D3"/>
    <w:rsid w:val="00ED7E02"/>
    <w:rsid w:val="00EE0C89"/>
    <w:rsid w:val="00EE27B2"/>
    <w:rsid w:val="00EE3EDF"/>
    <w:rsid w:val="00EF1B00"/>
    <w:rsid w:val="00EF44B9"/>
    <w:rsid w:val="00EF5E55"/>
    <w:rsid w:val="00F03369"/>
    <w:rsid w:val="00F04A91"/>
    <w:rsid w:val="00F052D5"/>
    <w:rsid w:val="00F07569"/>
    <w:rsid w:val="00F114A6"/>
    <w:rsid w:val="00F15956"/>
    <w:rsid w:val="00F27BE8"/>
    <w:rsid w:val="00F3026D"/>
    <w:rsid w:val="00F31B2B"/>
    <w:rsid w:val="00F33132"/>
    <w:rsid w:val="00F372CC"/>
    <w:rsid w:val="00F40915"/>
    <w:rsid w:val="00F442F7"/>
    <w:rsid w:val="00F45D4E"/>
    <w:rsid w:val="00F46BBA"/>
    <w:rsid w:val="00F510DC"/>
    <w:rsid w:val="00F53575"/>
    <w:rsid w:val="00F53701"/>
    <w:rsid w:val="00F600BB"/>
    <w:rsid w:val="00F60202"/>
    <w:rsid w:val="00F60CAE"/>
    <w:rsid w:val="00F622E9"/>
    <w:rsid w:val="00F66E5C"/>
    <w:rsid w:val="00F675B5"/>
    <w:rsid w:val="00F709A6"/>
    <w:rsid w:val="00F71257"/>
    <w:rsid w:val="00F726DD"/>
    <w:rsid w:val="00F763BF"/>
    <w:rsid w:val="00F76BDF"/>
    <w:rsid w:val="00F77E7D"/>
    <w:rsid w:val="00F8019E"/>
    <w:rsid w:val="00F8137A"/>
    <w:rsid w:val="00F81E33"/>
    <w:rsid w:val="00F81F12"/>
    <w:rsid w:val="00F821FC"/>
    <w:rsid w:val="00F8278C"/>
    <w:rsid w:val="00F9066D"/>
    <w:rsid w:val="00F93B27"/>
    <w:rsid w:val="00FA4359"/>
    <w:rsid w:val="00FA435C"/>
    <w:rsid w:val="00FA7B11"/>
    <w:rsid w:val="00FB1954"/>
    <w:rsid w:val="00FB2C00"/>
    <w:rsid w:val="00FB3568"/>
    <w:rsid w:val="00FB5020"/>
    <w:rsid w:val="00FB6ACE"/>
    <w:rsid w:val="00FC1072"/>
    <w:rsid w:val="00FC2BA0"/>
    <w:rsid w:val="00FC5FFA"/>
    <w:rsid w:val="00FC6F4C"/>
    <w:rsid w:val="00FD6346"/>
    <w:rsid w:val="00FD7767"/>
    <w:rsid w:val="00FE04C0"/>
    <w:rsid w:val="00FE5B99"/>
    <w:rsid w:val="00FE6AA4"/>
    <w:rsid w:val="00FE6DD9"/>
    <w:rsid w:val="00FE6E38"/>
    <w:rsid w:val="00FF072A"/>
    <w:rsid w:val="00FF1895"/>
    <w:rsid w:val="00FF54D3"/>
    <w:rsid w:val="00FF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3A80"/>
  <w15:chartTrackingRefBased/>
  <w15:docId w15:val="{7955BA89-9508-426E-AE1B-2561BFD5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2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2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52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52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52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52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52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2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2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52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52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52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52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52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5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2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2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527D"/>
    <w:pPr>
      <w:spacing w:before="160"/>
      <w:jc w:val="center"/>
    </w:pPr>
    <w:rPr>
      <w:i/>
      <w:iCs/>
      <w:color w:val="404040" w:themeColor="text1" w:themeTint="BF"/>
    </w:rPr>
  </w:style>
  <w:style w:type="character" w:customStyle="1" w:styleId="QuoteChar">
    <w:name w:val="Quote Char"/>
    <w:basedOn w:val="DefaultParagraphFont"/>
    <w:link w:val="Quote"/>
    <w:uiPriority w:val="29"/>
    <w:rsid w:val="0011527D"/>
    <w:rPr>
      <w:i/>
      <w:iCs/>
      <w:color w:val="404040" w:themeColor="text1" w:themeTint="BF"/>
    </w:rPr>
  </w:style>
  <w:style w:type="paragraph" w:styleId="ListParagraph">
    <w:name w:val="List Paragraph"/>
    <w:basedOn w:val="Normal"/>
    <w:uiPriority w:val="34"/>
    <w:qFormat/>
    <w:rsid w:val="0011527D"/>
    <w:pPr>
      <w:ind w:left="720"/>
      <w:contextualSpacing/>
    </w:pPr>
  </w:style>
  <w:style w:type="character" w:styleId="IntenseEmphasis">
    <w:name w:val="Intense Emphasis"/>
    <w:basedOn w:val="DefaultParagraphFont"/>
    <w:uiPriority w:val="21"/>
    <w:qFormat/>
    <w:rsid w:val="0011527D"/>
    <w:rPr>
      <w:i/>
      <w:iCs/>
      <w:color w:val="0F4761" w:themeColor="accent1" w:themeShade="BF"/>
    </w:rPr>
  </w:style>
  <w:style w:type="paragraph" w:styleId="IntenseQuote">
    <w:name w:val="Intense Quote"/>
    <w:basedOn w:val="Normal"/>
    <w:next w:val="Normal"/>
    <w:link w:val="IntenseQuoteChar"/>
    <w:uiPriority w:val="30"/>
    <w:qFormat/>
    <w:rsid w:val="00115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27D"/>
    <w:rPr>
      <w:i/>
      <w:iCs/>
      <w:color w:val="0F4761" w:themeColor="accent1" w:themeShade="BF"/>
    </w:rPr>
  </w:style>
  <w:style w:type="character" w:styleId="IntenseReference">
    <w:name w:val="Intense Reference"/>
    <w:basedOn w:val="DefaultParagraphFont"/>
    <w:uiPriority w:val="32"/>
    <w:qFormat/>
    <w:rsid w:val="0011527D"/>
    <w:rPr>
      <w:b/>
      <w:bCs/>
      <w:smallCaps/>
      <w:color w:val="0F4761" w:themeColor="accent1" w:themeShade="BF"/>
      <w:spacing w:val="5"/>
    </w:rPr>
  </w:style>
  <w:style w:type="paragraph" w:styleId="Header">
    <w:name w:val="header"/>
    <w:basedOn w:val="Normal"/>
    <w:link w:val="HeaderChar"/>
    <w:uiPriority w:val="99"/>
    <w:unhideWhenUsed/>
    <w:rsid w:val="005B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C11"/>
  </w:style>
  <w:style w:type="paragraph" w:styleId="Footer">
    <w:name w:val="footer"/>
    <w:basedOn w:val="Normal"/>
    <w:link w:val="FooterChar"/>
    <w:uiPriority w:val="99"/>
    <w:unhideWhenUsed/>
    <w:rsid w:val="005B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1811</TotalTime>
  <Pages>7</Pages>
  <Words>2963</Words>
  <Characters>16243</Characters>
  <Application>Microsoft Office Word</Application>
  <DocSecurity>0</DocSecurity>
  <Lines>253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718</cp:revision>
  <cp:lastPrinted>2025-10-15T12:50:00Z</cp:lastPrinted>
  <dcterms:created xsi:type="dcterms:W3CDTF">2025-10-02T12:21:00Z</dcterms:created>
  <dcterms:modified xsi:type="dcterms:W3CDTF">2025-10-21T15:52:00Z</dcterms:modified>
</cp:coreProperties>
</file>