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49EC" w14:textId="77777777" w:rsidR="00C624D6" w:rsidRDefault="00C624D6"/>
    <w:p w14:paraId="0D03A6A9" w14:textId="1BF3773E" w:rsidR="00C639B0" w:rsidRDefault="00C639B0">
      <w:r>
        <w:rPr>
          <w:noProof/>
        </w:rPr>
        <w:drawing>
          <wp:inline distT="0" distB="0" distL="0" distR="0" wp14:anchorId="663239AC" wp14:editId="540D4714">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46BE9634" w14:textId="4E2ECD6C" w:rsidR="00C639B0" w:rsidRPr="00C639B0" w:rsidRDefault="00C639B0" w:rsidP="00C639B0">
      <w:pPr>
        <w:pStyle w:val="NoSpacing"/>
        <w:jc w:val="center"/>
        <w:rPr>
          <w:b/>
          <w:bCs/>
        </w:rPr>
      </w:pPr>
      <w:r w:rsidRPr="00C639B0">
        <w:rPr>
          <w:b/>
          <w:bCs/>
        </w:rPr>
        <w:t>PRELIMINARY DRAFT OF GUIDELINES AND BEST PRACTICES</w:t>
      </w:r>
    </w:p>
    <w:p w14:paraId="6202AD06" w14:textId="0A99BB99" w:rsidR="00C639B0" w:rsidRDefault="00C639B0" w:rsidP="00C639B0">
      <w:pPr>
        <w:pStyle w:val="NoSpacing"/>
        <w:jc w:val="center"/>
        <w:rPr>
          <w:b/>
          <w:bCs/>
        </w:rPr>
      </w:pPr>
      <w:r w:rsidRPr="00C639B0">
        <w:rPr>
          <w:b/>
          <w:bCs/>
        </w:rPr>
        <w:t>FOR PUBLIC COMMENT</w:t>
      </w:r>
    </w:p>
    <w:p w14:paraId="262C8E89" w14:textId="77777777" w:rsidR="00C639B0" w:rsidRDefault="00C639B0" w:rsidP="00C639B0">
      <w:pPr>
        <w:pStyle w:val="NoSpacing"/>
        <w:jc w:val="center"/>
        <w:rPr>
          <w:b/>
          <w:bCs/>
        </w:rPr>
      </w:pPr>
    </w:p>
    <w:p w14:paraId="569EE2A1" w14:textId="70DCBFEE" w:rsidR="00C639B0" w:rsidRDefault="00C639B0" w:rsidP="00C639B0">
      <w:pPr>
        <w:pStyle w:val="NoSpacing"/>
        <w:jc w:val="center"/>
        <w:rPr>
          <w:b/>
          <w:bCs/>
        </w:rPr>
      </w:pPr>
      <w:r>
        <w:rPr>
          <w:b/>
          <w:bCs/>
        </w:rPr>
        <w:t>Submit Comments to Contact@rabiejcenter.org</w:t>
      </w:r>
    </w:p>
    <w:p w14:paraId="363D5E3B" w14:textId="75F343A2" w:rsidR="00C639B0" w:rsidRPr="00C639B0" w:rsidRDefault="00C639B0" w:rsidP="00C639B0">
      <w:pPr>
        <w:pStyle w:val="NoSpacing"/>
        <w:jc w:val="center"/>
        <w:rPr>
          <w:b/>
          <w:bCs/>
        </w:rPr>
      </w:pPr>
      <w:r>
        <w:rPr>
          <w:b/>
          <w:bCs/>
        </w:rPr>
        <w:t>By January 30, 2026</w:t>
      </w:r>
    </w:p>
    <w:p w14:paraId="1C1C17A7" w14:textId="77777777" w:rsidR="00415F46" w:rsidRDefault="00415F46" w:rsidP="00415F46">
      <w:pPr>
        <w:rPr>
          <w:b/>
        </w:rPr>
      </w:pPr>
    </w:p>
    <w:p w14:paraId="5BBAE365" w14:textId="540FFE5C" w:rsidR="00415F46" w:rsidRPr="00415F46" w:rsidRDefault="00415F46" w:rsidP="00415F46">
      <w:pPr>
        <w:pStyle w:val="NoSpacing"/>
        <w:jc w:val="center"/>
        <w:rPr>
          <w:b/>
          <w:bCs/>
          <w:sz w:val="28"/>
          <w:szCs w:val="28"/>
        </w:rPr>
      </w:pPr>
      <w:r w:rsidRPr="00415F46">
        <w:rPr>
          <w:b/>
          <w:bCs/>
          <w:sz w:val="28"/>
          <w:szCs w:val="28"/>
        </w:rPr>
        <w:t>MASS-TORT MDL COMPENDIUM OF</w:t>
      </w:r>
    </w:p>
    <w:p w14:paraId="2BB2710F" w14:textId="049DDFE6" w:rsidR="00415F46" w:rsidRDefault="00415F46" w:rsidP="00415F46">
      <w:pPr>
        <w:pStyle w:val="NoSpacing"/>
        <w:jc w:val="center"/>
        <w:rPr>
          <w:b/>
          <w:bCs/>
          <w:sz w:val="28"/>
          <w:szCs w:val="28"/>
        </w:rPr>
      </w:pPr>
      <w:r w:rsidRPr="00415F46">
        <w:rPr>
          <w:b/>
          <w:bCs/>
          <w:sz w:val="28"/>
          <w:szCs w:val="28"/>
        </w:rPr>
        <w:t>GUIDELINES AND BEST PRACTICES</w:t>
      </w:r>
    </w:p>
    <w:p w14:paraId="3C1D107B" w14:textId="77777777" w:rsidR="00415F46" w:rsidRDefault="00415F46" w:rsidP="00415F46">
      <w:pPr>
        <w:pStyle w:val="NoSpacing"/>
        <w:jc w:val="center"/>
        <w:rPr>
          <w:b/>
          <w:bCs/>
          <w:sz w:val="28"/>
          <w:szCs w:val="28"/>
        </w:rPr>
      </w:pPr>
    </w:p>
    <w:p w14:paraId="329E950B" w14:textId="067F97E8" w:rsidR="00415F46" w:rsidRPr="00415F46" w:rsidRDefault="00415F46" w:rsidP="00415F46">
      <w:pPr>
        <w:pStyle w:val="NoSpacing"/>
        <w:jc w:val="center"/>
        <w:rPr>
          <w:b/>
          <w:bCs/>
          <w:sz w:val="28"/>
          <w:szCs w:val="28"/>
        </w:rPr>
      </w:pPr>
      <w:r>
        <w:rPr>
          <w:b/>
          <w:bCs/>
          <w:sz w:val="28"/>
          <w:szCs w:val="28"/>
        </w:rPr>
        <w:t>* * * * * * * *</w:t>
      </w:r>
    </w:p>
    <w:p w14:paraId="7E2ABAC6" w14:textId="77777777" w:rsidR="00C639B0" w:rsidRDefault="00C639B0"/>
    <w:p w14:paraId="3E1A8F44" w14:textId="77777777" w:rsidR="00C639B0" w:rsidRPr="00C639B0" w:rsidRDefault="00C639B0" w:rsidP="00C639B0">
      <w:pPr>
        <w:spacing w:after="0" w:line="240" w:lineRule="auto"/>
        <w:jc w:val="center"/>
        <w:rPr>
          <w:rFonts w:ascii="Times New Roman Bold" w:hAnsi="Times New Roman Bold"/>
          <w:b/>
          <w:bCs/>
          <w:smallCaps/>
          <w:kern w:val="0"/>
          <w:sz w:val="28"/>
          <w:szCs w:val="28"/>
          <w14:ligatures w14:val="none"/>
        </w:rPr>
      </w:pPr>
      <w:r w:rsidRPr="00C639B0">
        <w:rPr>
          <w:rFonts w:ascii="Times New Roman Bold" w:hAnsi="Times New Roman Bold"/>
          <w:b/>
          <w:bCs/>
          <w:smallCaps/>
          <w:kern w:val="0"/>
          <w:sz w:val="28"/>
          <w:szCs w:val="28"/>
          <w14:ligatures w14:val="none"/>
        </w:rPr>
        <w:t>E.   BANKRUPTCIES THAT ORIGINATED FROM MASS-TORT MDLS</w:t>
      </w:r>
    </w:p>
    <w:p w14:paraId="1BF7038A" w14:textId="77777777" w:rsidR="00C639B0" w:rsidRPr="00C639B0" w:rsidRDefault="00C639B0" w:rsidP="00C639B0">
      <w:pPr>
        <w:spacing w:after="0" w:line="240" w:lineRule="auto"/>
        <w:rPr>
          <w:rFonts w:ascii="Times New Roman Bold" w:hAnsi="Times New Roman Bold"/>
          <w:b/>
          <w:bCs/>
          <w:smallCaps/>
          <w:kern w:val="0"/>
          <w14:ligatures w14:val="none"/>
        </w:rPr>
      </w:pPr>
    </w:p>
    <w:p w14:paraId="6E4F84D2" w14:textId="77777777" w:rsidR="00C639B0" w:rsidRPr="00C639B0" w:rsidRDefault="00C639B0" w:rsidP="00C639B0">
      <w:pPr>
        <w:spacing w:after="0" w:line="240" w:lineRule="auto"/>
        <w:jc w:val="both"/>
        <w:rPr>
          <w:b/>
          <w:bCs/>
          <w:color w:val="000000" w:themeColor="text1"/>
          <w:kern w:val="0"/>
          <w:szCs w:val="24"/>
          <w:u w:val="single"/>
          <w14:ligatures w14:val="none"/>
        </w:rPr>
      </w:pPr>
      <w:r w:rsidRPr="00C639B0">
        <w:rPr>
          <w:b/>
          <w:bCs/>
          <w:color w:val="000000" w:themeColor="text1"/>
          <w:kern w:val="0"/>
          <w:szCs w:val="24"/>
          <w:u w:val="single"/>
          <w14:ligatures w14:val="none"/>
        </w:rPr>
        <w:t>Mass-Tort Bankruptcies</w:t>
      </w:r>
    </w:p>
    <w:p w14:paraId="7BA75543" w14:textId="77777777" w:rsidR="00C639B0" w:rsidRPr="00C639B0" w:rsidRDefault="00C639B0" w:rsidP="00C639B0">
      <w:pPr>
        <w:spacing w:after="0" w:line="240" w:lineRule="auto"/>
        <w:ind w:left="720" w:right="720"/>
        <w:jc w:val="both"/>
        <w:rPr>
          <w:b/>
          <w:bCs/>
          <w:color w:val="000000" w:themeColor="text1"/>
          <w:kern w:val="0"/>
          <w:szCs w:val="24"/>
          <w:u w:val="single"/>
          <w14:ligatures w14:val="none"/>
        </w:rPr>
      </w:pPr>
    </w:p>
    <w:p w14:paraId="5D7ED79C"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Bankruptcy courts have handled mass-tort liabilities for more than 40 years, starting in 1982 with Chapter 11 filings of two asbestos-products manufacturers — Johns-Manville Corporation and UNR Industries.  Many mass-tort bankruptcies continue to involve asbestos-related personal-injury or property-damage claims. But Chapter 11 has also been used to resolve mass-tort claims involving silicone gel breast implants, the Dalkon Shield contraceptive device, products-liability claims, and sexual-abuse litigation.</w:t>
      </w:r>
      <w:r w:rsidRPr="00C639B0">
        <w:rPr>
          <w:rFonts w:cs="Times New Roman"/>
          <w:color w:val="000000" w:themeColor="text1"/>
          <w:kern w:val="0"/>
          <w:szCs w:val="24"/>
          <w:vertAlign w:val="superscript"/>
          <w14:ligatures w14:val="none"/>
        </w:rPr>
        <w:footnoteReference w:id="1"/>
      </w:r>
      <w:r w:rsidRPr="00C639B0">
        <w:rPr>
          <w:rFonts w:cs="Times New Roman"/>
          <w:color w:val="000000" w:themeColor="text1"/>
          <w:kern w:val="0"/>
          <w:szCs w:val="24"/>
          <w14:ligatures w14:val="none"/>
        </w:rPr>
        <w:t xml:space="preserve">  Recently, several large mass-tort bankruptcies have arisen from mass-tort product-liability MDLs, which were stayed during the pendency of the bankruptcy cases.</w:t>
      </w:r>
      <w:r w:rsidRPr="00C639B0">
        <w:rPr>
          <w:rFonts w:cs="Times New Roman"/>
          <w:color w:val="000000" w:themeColor="text1"/>
          <w:kern w:val="0"/>
          <w:szCs w:val="24"/>
          <w:vertAlign w:val="superscript"/>
          <w14:ligatures w14:val="none"/>
        </w:rPr>
        <w:footnoteReference w:id="2"/>
      </w:r>
      <w:r w:rsidRPr="00C639B0">
        <w:rPr>
          <w:rFonts w:cs="Times New Roman"/>
          <w:color w:val="000000" w:themeColor="text1"/>
          <w:kern w:val="0"/>
          <w:szCs w:val="24"/>
          <w14:ligatures w14:val="none"/>
        </w:rPr>
        <w:t xml:space="preserve">  Some of these stayed mass-tort MDLs were in litigation for years  -- with scores of law firms investing huge amounts of time and sums of money and producing voluminous data about the individual actions through discovery.  </w:t>
      </w:r>
    </w:p>
    <w:p w14:paraId="662267A4"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lastRenderedPageBreak/>
        <w:t>The intersection of mass-tort MDL and bankruptcy raises novel challenges.  The bankruptcy system was not designed to handle hundreds or thousands of individual tort claims, each of which is entitled to a right to trial by jury.  And not surprisingly, plaintiffs in mass-tort MDLs have strongly resisted bankruptcy resolutions and have succeeded on several occasions in securing the dismissal of the bankruptcy cases on various grounds, which returned the litigation to the MDL court, but left the door open for renewed bankruptcy filings.  The rotation between the courts can duplicate work and complicate settlement of individual actions necessary for resolution.</w:t>
      </w:r>
    </w:p>
    <w:p w14:paraId="50EEF4F7"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The following guidelines and best practices represent the first efforts in providing guidance on what promises to be an evolving list of challenges confronted by the bench and bar in managing a mass-tort bankruptcy that started in a district court as a mass-tort MDL.</w:t>
      </w:r>
    </w:p>
    <w:p w14:paraId="7A388144" w14:textId="77777777" w:rsidR="00C639B0" w:rsidRPr="00C639B0" w:rsidRDefault="00C639B0" w:rsidP="00C639B0">
      <w:pPr>
        <w:spacing w:after="0" w:line="240" w:lineRule="auto"/>
        <w:ind w:left="720" w:right="720"/>
        <w:jc w:val="both"/>
        <w:rPr>
          <w:b/>
          <w:bCs/>
          <w:color w:val="000000" w:themeColor="text1"/>
          <w:kern w:val="0"/>
          <w:szCs w:val="24"/>
          <w:u w:val="single"/>
          <w14:ligatures w14:val="none"/>
        </w:rPr>
      </w:pPr>
    </w:p>
    <w:p w14:paraId="64C4103A" w14:textId="77777777" w:rsidR="00C639B0" w:rsidRPr="00C639B0" w:rsidRDefault="00C639B0" w:rsidP="00C639B0">
      <w:pPr>
        <w:spacing w:after="0" w:line="240" w:lineRule="auto"/>
        <w:jc w:val="both"/>
        <w:rPr>
          <w:rFonts w:eastAsia="Times New Roman" w:cs="Times New Roman"/>
          <w:color w:val="000000"/>
          <w:kern w:val="0"/>
          <w:szCs w:val="24"/>
          <w14:ligatures w14:val="none"/>
        </w:rPr>
      </w:pPr>
      <w:r w:rsidRPr="00C639B0">
        <w:rPr>
          <w:rFonts w:eastAsia="Times New Roman" w:cs="Times New Roman"/>
          <w:b/>
          <w:bCs/>
          <w:color w:val="000000"/>
          <w:kern w:val="0"/>
          <w:szCs w:val="24"/>
          <w:u w:val="single"/>
          <w14:ligatures w14:val="none"/>
        </w:rPr>
        <w:t>GUIDELINE MDL-§ 14</w:t>
      </w:r>
      <w:r w:rsidRPr="00C639B0">
        <w:rPr>
          <w:rFonts w:eastAsia="Times New Roman" w:cs="Times New Roman"/>
          <w:b/>
          <w:bCs/>
          <w:color w:val="000000"/>
          <w:kern w:val="0"/>
          <w:szCs w:val="24"/>
          <w14:ligatures w14:val="none"/>
        </w:rPr>
        <w:t xml:space="preserve">: </w:t>
      </w:r>
      <w:r w:rsidRPr="00C639B0">
        <w:rPr>
          <w:rFonts w:eastAsia="Times New Roman" w:cs="Times New Roman"/>
          <w:color w:val="000000"/>
          <w:kern w:val="0"/>
          <w:szCs w:val="24"/>
          <w14:ligatures w14:val="none"/>
        </w:rPr>
        <w:t xml:space="preserve">Bankruptcy documents that are not clearly and concisely worded generate wasteful litigation over ambiguous language and hinder creditors from making informed judgments. </w:t>
      </w:r>
      <w:r w:rsidRPr="00C639B0">
        <w:rPr>
          <w:color w:val="000000" w:themeColor="text1"/>
          <w:kern w:val="0"/>
          <w:szCs w:val="24"/>
          <w14:ligatures w14:val="none"/>
        </w:rPr>
        <w:t xml:space="preserve">Permanent No. </w:t>
      </w:r>
      <w:r w:rsidRPr="00C639B0">
        <w:rPr>
          <w:rFonts w:cs="Times New Roman"/>
          <w:color w:val="000000" w:themeColor="text1"/>
          <w:kern w:val="0"/>
          <w:szCs w:val="24"/>
          <w14:ligatures w14:val="none"/>
        </w:rPr>
        <w:t>MDL-§ 18.</w:t>
      </w:r>
    </w:p>
    <w:p w14:paraId="50AF6B18" w14:textId="77777777" w:rsidR="00C639B0" w:rsidRPr="00C639B0" w:rsidRDefault="00C639B0" w:rsidP="00C639B0">
      <w:pPr>
        <w:spacing w:after="0" w:line="240" w:lineRule="auto"/>
        <w:ind w:left="720" w:right="720"/>
        <w:jc w:val="both"/>
        <w:rPr>
          <w:rFonts w:eastAsia="Times New Roman" w:cs="Times New Roman"/>
          <w:b/>
          <w:bCs/>
          <w:color w:val="000000"/>
          <w:kern w:val="0"/>
          <w:szCs w:val="24"/>
          <w14:ligatures w14:val="none"/>
        </w:rPr>
      </w:pPr>
    </w:p>
    <w:p w14:paraId="74AC5261" w14:textId="77777777" w:rsidR="00C639B0" w:rsidRPr="00C639B0" w:rsidRDefault="00C639B0" w:rsidP="00C639B0">
      <w:pPr>
        <w:spacing w:after="0" w:line="360" w:lineRule="auto"/>
        <w:ind w:firstLine="720"/>
        <w:jc w:val="both"/>
        <w:rPr>
          <w:rFonts w:eastAsia="Times New Roman" w:cs="Times New Roman"/>
          <w:color w:val="000000"/>
          <w:kern w:val="0"/>
          <w:szCs w:val="24"/>
          <w14:ligatures w14:val="none"/>
        </w:rPr>
      </w:pPr>
      <w:r w:rsidRPr="00C639B0">
        <w:rPr>
          <w:rFonts w:eastAsia="Times New Roman" w:cs="Times New Roman"/>
          <w:color w:val="000000"/>
          <w:kern w:val="0"/>
          <w:szCs w:val="24"/>
          <w14:ligatures w14:val="none"/>
        </w:rPr>
        <w:t>A case filed under Chapter 11 of the United States Bankruptcy Code is frequently referred to as a “reorganization” bankruptcy.  Usually, the debtor remains “in possession,” may continue to operate its business, and may, with court approval, borrow new money. A plan of reorganization is proposed, after which creditors whose rights are affected may vote on the plan.  Then the plan may be confirmed by the court if it gets the required votes and satisfies certain legal requirements.</w:t>
      </w:r>
      <w:r w:rsidRPr="00C639B0">
        <w:rPr>
          <w:rFonts w:eastAsia="Times New Roman" w:cs="Times New Roman"/>
          <w:color w:val="000000"/>
          <w:kern w:val="0"/>
          <w:szCs w:val="24"/>
          <w:vertAlign w:val="superscript"/>
          <w14:ligatures w14:val="none"/>
        </w:rPr>
        <w:footnoteReference w:id="3"/>
      </w:r>
    </w:p>
    <w:p w14:paraId="11E14B34" w14:textId="77777777" w:rsidR="00C639B0" w:rsidRPr="00C639B0" w:rsidRDefault="00C639B0" w:rsidP="00C639B0">
      <w:pPr>
        <w:spacing w:after="0" w:line="360" w:lineRule="auto"/>
        <w:ind w:firstLine="720"/>
        <w:jc w:val="both"/>
        <w:rPr>
          <w:rFonts w:eastAsia="Times New Roman" w:cs="Times New Roman"/>
          <w:color w:val="000000"/>
          <w:kern w:val="0"/>
          <w:szCs w:val="24"/>
          <w14:ligatures w14:val="none"/>
        </w:rPr>
      </w:pPr>
      <w:r w:rsidRPr="00C639B0">
        <w:rPr>
          <w:rFonts w:eastAsia="Times New Roman" w:cs="Times New Roman"/>
          <w:color w:val="000000"/>
          <w:kern w:val="0"/>
          <w:szCs w:val="24"/>
          <w14:ligatures w14:val="none"/>
        </w:rPr>
        <w:t xml:space="preserve">A reorganization bankruptcy involves an enormous amount of detailed documentation, much of which deals with arcane and technical information. Conveying this information in comprehensible language to creditors and their lawyers who are unfamiliar with bankruptcy, yet must make decisions that significantly affect their rights, is challenging.  </w:t>
      </w:r>
    </w:p>
    <w:p w14:paraId="0B0EB607" w14:textId="77777777" w:rsidR="00C639B0" w:rsidRPr="00C639B0" w:rsidRDefault="00C639B0" w:rsidP="00C639B0">
      <w:pPr>
        <w:spacing w:after="0" w:line="360" w:lineRule="auto"/>
        <w:ind w:firstLine="720"/>
        <w:jc w:val="both"/>
        <w:rPr>
          <w:rFonts w:eastAsia="Times New Roman" w:cs="Times New Roman"/>
          <w:color w:val="000000"/>
          <w:kern w:val="0"/>
          <w:szCs w:val="24"/>
          <w14:ligatures w14:val="none"/>
        </w:rPr>
      </w:pPr>
      <w:r w:rsidRPr="00C639B0">
        <w:rPr>
          <w:rFonts w:eastAsia="Times New Roman" w:cs="Times New Roman"/>
          <w:color w:val="000000"/>
          <w:kern w:val="0"/>
          <w:szCs w:val="24"/>
          <w14:ligatures w14:val="none"/>
        </w:rPr>
        <w:t xml:space="preserve">Under Fed. R. Bk. P. 3017(d), the court ensures that notices to inform creditors of the proposed plan of reorganization and their voting rights are transmitted to all creditors, which may include: </w:t>
      </w:r>
    </w:p>
    <w:p w14:paraId="4E69DD7E" w14:textId="77777777" w:rsidR="00C639B0" w:rsidRPr="00C639B0" w:rsidRDefault="00C639B0" w:rsidP="00C639B0">
      <w:pPr>
        <w:numPr>
          <w:ilvl w:val="0"/>
          <w:numId w:val="4"/>
        </w:numPr>
        <w:shd w:val="clear" w:color="auto" w:fill="FFFFFF"/>
        <w:spacing w:after="240" w:line="240" w:lineRule="auto"/>
        <w:ind w:left="1080" w:right="720"/>
        <w:jc w:val="both"/>
        <w:rPr>
          <w:rFonts w:eastAsia="Times New Roman" w:cs="Times New Roman"/>
          <w:color w:val="333333"/>
          <w:kern w:val="0"/>
          <w:szCs w:val="24"/>
          <w14:ligatures w14:val="none"/>
        </w:rPr>
      </w:pPr>
      <w:r w:rsidRPr="00C639B0">
        <w:rPr>
          <w:rFonts w:eastAsia="Times New Roman" w:cs="Times New Roman"/>
          <w:color w:val="333333"/>
          <w:kern w:val="0"/>
          <w:szCs w:val="24"/>
          <w14:ligatures w14:val="none"/>
        </w:rPr>
        <w:t>a court-approved disclosure statement;</w:t>
      </w:r>
    </w:p>
    <w:p w14:paraId="4E631865" w14:textId="77777777" w:rsidR="00C639B0" w:rsidRPr="00C639B0" w:rsidRDefault="00C639B0" w:rsidP="00C639B0">
      <w:pPr>
        <w:numPr>
          <w:ilvl w:val="0"/>
          <w:numId w:val="4"/>
        </w:numPr>
        <w:shd w:val="clear" w:color="auto" w:fill="FFFFFF"/>
        <w:spacing w:after="240" w:line="240" w:lineRule="auto"/>
        <w:ind w:left="1080" w:right="720"/>
        <w:jc w:val="both"/>
        <w:rPr>
          <w:rFonts w:eastAsia="Times New Roman" w:cs="Times New Roman"/>
          <w:color w:val="333333"/>
          <w:kern w:val="0"/>
          <w:szCs w:val="24"/>
          <w14:ligatures w14:val="none"/>
        </w:rPr>
      </w:pPr>
      <w:r w:rsidRPr="00C639B0">
        <w:rPr>
          <w:rFonts w:eastAsia="Times New Roman" w:cs="Times New Roman"/>
          <w:color w:val="333333"/>
          <w:kern w:val="0"/>
          <w:szCs w:val="24"/>
          <w14:ligatures w14:val="none"/>
        </w:rPr>
        <w:lastRenderedPageBreak/>
        <w:t>a plan or a court-approved summary of it;</w:t>
      </w:r>
      <w:r w:rsidRPr="00C639B0">
        <w:rPr>
          <w:rFonts w:eastAsia="Times New Roman" w:cs="Times New Roman"/>
          <w:color w:val="333333"/>
          <w:kern w:val="0"/>
          <w:szCs w:val="24"/>
          <w:vertAlign w:val="superscript"/>
          <w14:ligatures w14:val="none"/>
        </w:rPr>
        <w:footnoteReference w:id="4"/>
      </w:r>
      <w:r w:rsidRPr="00C639B0">
        <w:rPr>
          <w:rFonts w:eastAsia="Times New Roman" w:cs="Times New Roman"/>
          <w:color w:val="333333"/>
          <w:kern w:val="0"/>
          <w:szCs w:val="24"/>
          <w14:ligatures w14:val="none"/>
        </w:rPr>
        <w:t xml:space="preserve"> </w:t>
      </w:r>
    </w:p>
    <w:p w14:paraId="4AABAA91" w14:textId="77777777" w:rsidR="00C639B0" w:rsidRPr="00C639B0" w:rsidRDefault="00C639B0" w:rsidP="00C639B0">
      <w:pPr>
        <w:numPr>
          <w:ilvl w:val="0"/>
          <w:numId w:val="4"/>
        </w:numPr>
        <w:shd w:val="clear" w:color="auto" w:fill="FFFFFF"/>
        <w:spacing w:after="240" w:line="240" w:lineRule="auto"/>
        <w:ind w:left="1080" w:right="720"/>
        <w:jc w:val="both"/>
        <w:rPr>
          <w:rFonts w:eastAsia="Times New Roman" w:cs="Times New Roman"/>
          <w:color w:val="333333"/>
          <w:kern w:val="0"/>
          <w:szCs w:val="24"/>
          <w14:ligatures w14:val="none"/>
        </w:rPr>
      </w:pPr>
      <w:r w:rsidRPr="00C639B0">
        <w:rPr>
          <w:rFonts w:eastAsia="Times New Roman" w:cs="Times New Roman"/>
          <w:color w:val="333333"/>
          <w:kern w:val="0"/>
          <w:szCs w:val="24"/>
          <w14:ligatures w14:val="none"/>
        </w:rPr>
        <w:t xml:space="preserve">a provision releasing nondebtors of liabilities—which when applicable is contained in the plan, described in the disclosure statement, and approved or disapproved by means of a master ballot; </w:t>
      </w:r>
    </w:p>
    <w:p w14:paraId="36BB4848" w14:textId="77777777" w:rsidR="00C639B0" w:rsidRPr="00C639B0" w:rsidRDefault="00C639B0" w:rsidP="00C639B0">
      <w:pPr>
        <w:numPr>
          <w:ilvl w:val="0"/>
          <w:numId w:val="4"/>
        </w:numPr>
        <w:shd w:val="clear" w:color="auto" w:fill="FFFFFF"/>
        <w:spacing w:after="240" w:line="240" w:lineRule="auto"/>
        <w:ind w:left="1080" w:right="720"/>
        <w:jc w:val="both"/>
        <w:rPr>
          <w:rFonts w:eastAsia="Times New Roman" w:cs="Times New Roman"/>
          <w:color w:val="333333"/>
          <w:kern w:val="0"/>
          <w:szCs w:val="24"/>
          <w14:ligatures w14:val="none"/>
        </w:rPr>
      </w:pPr>
      <w:r w:rsidRPr="00C639B0">
        <w:rPr>
          <w:rFonts w:eastAsia="Times New Roman" w:cs="Times New Roman"/>
          <w:color w:val="333333"/>
          <w:kern w:val="0"/>
          <w:szCs w:val="24"/>
          <w14:ligatures w14:val="none"/>
        </w:rPr>
        <w:t>a notice of the time to file acceptances and rejections of the plan;</w:t>
      </w:r>
      <w:r w:rsidRPr="00C639B0">
        <w:rPr>
          <w:rFonts w:eastAsia="Times New Roman" w:cs="Times New Roman"/>
          <w:color w:val="333333"/>
          <w:kern w:val="0"/>
          <w:szCs w:val="24"/>
          <w:vertAlign w:val="superscript"/>
          <w14:ligatures w14:val="none"/>
        </w:rPr>
        <w:footnoteReference w:id="5"/>
      </w:r>
      <w:r w:rsidRPr="00C639B0">
        <w:rPr>
          <w:rFonts w:eastAsia="Times New Roman" w:cs="Times New Roman"/>
          <w:color w:val="333333"/>
          <w:kern w:val="0"/>
          <w:szCs w:val="24"/>
          <w14:ligatures w14:val="none"/>
        </w:rPr>
        <w:t xml:space="preserve"> and</w:t>
      </w:r>
    </w:p>
    <w:p w14:paraId="49D0B032" w14:textId="77777777" w:rsidR="00C639B0" w:rsidRPr="00C639B0" w:rsidRDefault="00C639B0" w:rsidP="00C639B0">
      <w:pPr>
        <w:numPr>
          <w:ilvl w:val="0"/>
          <w:numId w:val="4"/>
        </w:numPr>
        <w:shd w:val="clear" w:color="auto" w:fill="FFFFFF"/>
        <w:spacing w:after="240" w:line="240" w:lineRule="auto"/>
        <w:ind w:left="1080" w:right="720"/>
        <w:jc w:val="both"/>
        <w:rPr>
          <w:rFonts w:eastAsia="Times New Roman" w:cs="Times New Roman"/>
          <w:color w:val="333333"/>
          <w:kern w:val="0"/>
          <w:szCs w:val="24"/>
          <w14:ligatures w14:val="none"/>
        </w:rPr>
      </w:pPr>
      <w:r w:rsidRPr="00C639B0">
        <w:rPr>
          <w:rFonts w:eastAsia="Times New Roman" w:cs="Times New Roman"/>
          <w:color w:val="333333"/>
          <w:kern w:val="0"/>
          <w:szCs w:val="24"/>
          <w14:ligatures w14:val="none"/>
        </w:rPr>
        <w:t>a detailed ballot, which often includes densely worded instructions and recitations of creditor rights and obligations.</w:t>
      </w:r>
    </w:p>
    <w:p w14:paraId="66045749" w14:textId="77777777" w:rsidR="00C639B0" w:rsidRPr="00C639B0" w:rsidRDefault="00C639B0" w:rsidP="00C639B0">
      <w:pPr>
        <w:shd w:val="clear" w:color="auto" w:fill="FFFFFF"/>
        <w:spacing w:after="0" w:line="360" w:lineRule="auto"/>
        <w:ind w:firstLine="245"/>
        <w:jc w:val="both"/>
        <w:rPr>
          <w:rFonts w:eastAsia="Times New Roman" w:cs="Times New Roman"/>
          <w:kern w:val="0"/>
          <w:szCs w:val="24"/>
          <w14:ligatures w14:val="none"/>
        </w:rPr>
      </w:pPr>
      <w:r w:rsidRPr="00C639B0">
        <w:rPr>
          <w:rFonts w:eastAsia="Times New Roman" w:cs="Times New Roman"/>
          <w:color w:val="333333"/>
          <w:kern w:val="0"/>
          <w:szCs w:val="24"/>
          <w14:ligatures w14:val="none"/>
        </w:rPr>
        <w:tab/>
        <w:t xml:space="preserve">These documents can be long, often more than one hundred pages. Key among these documents are the proposed plan of reorganization, the related disclosure statement, and with them, a ballot for acceptance or rejection of the plan, and when applicable, an election to consent or disapprove a release of claims against nondebtors.  </w:t>
      </w:r>
      <w:r w:rsidRPr="00C639B0">
        <w:rPr>
          <w:rFonts w:eastAsia="Times New Roman" w:cs="Times New Roman"/>
          <w:kern w:val="0"/>
          <w:szCs w:val="24"/>
          <w14:ligatures w14:val="none"/>
        </w:rPr>
        <w:t>These documents must include “adequate information” that is understandable for creditors to make an informed judgment when exercising their rights.</w:t>
      </w:r>
      <w:r w:rsidRPr="00C639B0">
        <w:rPr>
          <w:rFonts w:eastAsia="Times New Roman" w:cs="Times New Roman"/>
          <w:kern w:val="0"/>
          <w:szCs w:val="24"/>
          <w:vertAlign w:val="superscript"/>
          <w14:ligatures w14:val="none"/>
        </w:rPr>
        <w:footnoteReference w:id="6"/>
      </w:r>
      <w:r w:rsidRPr="00C639B0">
        <w:rPr>
          <w:rFonts w:eastAsia="Times New Roman" w:cs="Times New Roman"/>
          <w:kern w:val="0"/>
          <w:szCs w:val="24"/>
          <w14:ligatures w14:val="none"/>
        </w:rPr>
        <w:t xml:space="preserve"> Too often, these documents do not effectively convey information adequately for creditors to make informed judgments because the wording and format are unclear. Lawyers routinely cut-and-paste provisions from documents and notices that were used and approved in previous matters. With every new matter, the provisions are supplemented with additional language, often resulting in run-on sentences that only worsen unclear text.  </w:t>
      </w:r>
    </w:p>
    <w:p w14:paraId="4F9585A7" w14:textId="77777777" w:rsidR="00C639B0" w:rsidRPr="00C639B0" w:rsidRDefault="00C639B0" w:rsidP="00C639B0">
      <w:pPr>
        <w:spacing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The following Best Practices provide practical guidance on drafting effective solicitation documents, which apply to all of them, but in particular for the plan itself and the disclosure statement; for ballots relating to the plan’s approval; and, where applicable, for elections to consent or reject releases of claims against non-debtor parties.</w:t>
      </w:r>
      <w:r w:rsidRPr="00C639B0">
        <w:rPr>
          <w:rFonts w:cs="Times New Roman"/>
          <w:color w:val="000000" w:themeColor="text1"/>
          <w:kern w:val="0"/>
          <w:szCs w:val="24"/>
          <w:vertAlign w:val="superscript"/>
          <w14:ligatures w14:val="none"/>
        </w:rPr>
        <w:footnoteReference w:id="7"/>
      </w:r>
      <w:r w:rsidRPr="00C639B0">
        <w:rPr>
          <w:rFonts w:cs="Times New Roman"/>
          <w:color w:val="000000" w:themeColor="text1"/>
          <w:kern w:val="0"/>
          <w:szCs w:val="24"/>
          <w14:ligatures w14:val="none"/>
        </w:rPr>
        <w:t xml:space="preserve">  These Best Practices follow drafting guidelines for effective rules, adopted by the Committee on Rules of Practice and Procedure and the Advisory Committee on Bankruptcy Rules;</w:t>
      </w:r>
      <w:r w:rsidRPr="00C639B0">
        <w:rPr>
          <w:rFonts w:cs="Times New Roman"/>
          <w:color w:val="000000" w:themeColor="text1"/>
          <w:kern w:val="0"/>
          <w:szCs w:val="24"/>
          <w:vertAlign w:val="superscript"/>
          <w14:ligatures w14:val="none"/>
        </w:rPr>
        <w:footnoteReference w:id="8"/>
      </w:r>
      <w:r w:rsidRPr="00C639B0">
        <w:rPr>
          <w:rFonts w:cs="Times New Roman"/>
          <w:color w:val="000000" w:themeColor="text1"/>
          <w:kern w:val="0"/>
          <w:szCs w:val="24"/>
          <w14:ligatures w14:val="none"/>
        </w:rPr>
        <w:t xml:space="preserve"> similar guidance by Bryan Garner, Joseph </w:t>
      </w:r>
      <w:r w:rsidRPr="00C639B0">
        <w:rPr>
          <w:rFonts w:cs="Times New Roman"/>
          <w:color w:val="000000" w:themeColor="text1"/>
          <w:kern w:val="0"/>
          <w:szCs w:val="24"/>
          <w14:ligatures w14:val="none"/>
        </w:rPr>
        <w:lastRenderedPageBreak/>
        <w:t>Kimble, and others with respect to effective legal writing more generally;</w:t>
      </w:r>
      <w:r w:rsidRPr="00C639B0">
        <w:rPr>
          <w:rFonts w:cs="Times New Roman"/>
          <w:color w:val="000000" w:themeColor="text1"/>
          <w:kern w:val="0"/>
          <w:szCs w:val="24"/>
          <w:vertAlign w:val="superscript"/>
          <w14:ligatures w14:val="none"/>
        </w:rPr>
        <w:footnoteReference w:id="9"/>
      </w:r>
      <w:r w:rsidRPr="00C639B0">
        <w:rPr>
          <w:rFonts w:cs="Times New Roman"/>
          <w:color w:val="000000" w:themeColor="text1"/>
          <w:kern w:val="0"/>
          <w:szCs w:val="24"/>
          <w14:ligatures w14:val="none"/>
        </w:rPr>
        <w:t xml:space="preserve"> and requirements actually imposed by courts to improve the readability of court submissions—particularly confirmation, sale, and financing orders, but also applicable more broadly.</w:t>
      </w:r>
      <w:r w:rsidRPr="00C639B0">
        <w:rPr>
          <w:rFonts w:cs="Times New Roman"/>
          <w:color w:val="000000" w:themeColor="text1"/>
          <w:kern w:val="0"/>
          <w:szCs w:val="24"/>
          <w:vertAlign w:val="superscript"/>
          <w14:ligatures w14:val="none"/>
        </w:rPr>
        <w:footnoteReference w:id="10"/>
      </w:r>
      <w:r w:rsidRPr="00C639B0">
        <w:rPr>
          <w:rFonts w:cs="Times New Roman"/>
          <w:color w:val="000000" w:themeColor="text1"/>
          <w:kern w:val="0"/>
          <w:szCs w:val="24"/>
          <w14:ligatures w14:val="none"/>
        </w:rPr>
        <w:t xml:space="preserve">  Plain English illustrative notice and release provisions are attached as Appendices A and B.</w:t>
      </w:r>
    </w:p>
    <w:p w14:paraId="3635345B" w14:textId="77777777" w:rsidR="00C639B0" w:rsidRPr="00C639B0" w:rsidRDefault="00C639B0" w:rsidP="00C639B0">
      <w:pPr>
        <w:spacing w:after="0" w:line="240" w:lineRule="auto"/>
        <w:ind w:left="720" w:right="720"/>
        <w:jc w:val="both"/>
        <w:rPr>
          <w:rFonts w:eastAsia="Times New Roman" w:cs="Times New Roman"/>
          <w:b/>
          <w:bCs/>
          <w:color w:val="000000"/>
          <w:kern w:val="0"/>
          <w:szCs w:val="24"/>
          <w14:ligatures w14:val="none"/>
        </w:rPr>
      </w:pPr>
      <w:r w:rsidRPr="00C639B0">
        <w:rPr>
          <w:rFonts w:eastAsia="Times New Roman" w:cs="Times New Roman"/>
          <w:b/>
          <w:bCs/>
          <w:color w:val="000000"/>
          <w:kern w:val="0"/>
          <w:szCs w:val="24"/>
          <w14:ligatures w14:val="none"/>
        </w:rPr>
        <w:t>Best Practice MDL-§ 14(a): </w:t>
      </w:r>
      <w:r w:rsidRPr="00C639B0">
        <w:rPr>
          <w:rFonts w:eastAsia="Times New Roman" w:cs="Times New Roman"/>
          <w:color w:val="000000"/>
          <w:kern w:val="0"/>
          <w:szCs w:val="24"/>
          <w14:ligatures w14:val="none"/>
        </w:rPr>
        <w:t>Parties in a mass-tort bankruptcy</w:t>
      </w:r>
      <w:r w:rsidRPr="00C639B0">
        <w:rPr>
          <w:rFonts w:eastAsia="Times New Roman" w:cs="Times New Roman"/>
          <w:b/>
          <w:bCs/>
          <w:color w:val="000000"/>
          <w:kern w:val="0"/>
          <w:szCs w:val="24"/>
          <w14:ligatures w14:val="none"/>
        </w:rPr>
        <w:t> </w:t>
      </w:r>
      <w:r w:rsidRPr="00C639B0">
        <w:rPr>
          <w:rFonts w:eastAsia="Times New Roman" w:cs="Times New Roman"/>
          <w:color w:val="000000"/>
          <w:kern w:val="0"/>
          <w:szCs w:val="24"/>
          <w14:ligatures w14:val="none"/>
        </w:rPr>
        <w:t xml:space="preserve">should consider preparing and transmitting a summary-disclosure document to creditors, which succinctly explains the purpose of and major steps in the bankruptcy, including the rights and options of creditors. </w:t>
      </w:r>
      <w:r w:rsidRPr="00C639B0">
        <w:rPr>
          <w:color w:val="000000" w:themeColor="text1"/>
          <w:kern w:val="0"/>
          <w:szCs w:val="24"/>
          <w14:ligatures w14:val="none"/>
        </w:rPr>
        <w:t xml:space="preserve">Permanent No. </w:t>
      </w:r>
      <w:r w:rsidRPr="00C639B0">
        <w:rPr>
          <w:rFonts w:cs="Times New Roman"/>
          <w:color w:val="000000" w:themeColor="text1"/>
          <w:kern w:val="0"/>
          <w:szCs w:val="24"/>
          <w14:ligatures w14:val="none"/>
        </w:rPr>
        <w:t>MDL-§ 18(a).</w:t>
      </w:r>
    </w:p>
    <w:p w14:paraId="322654FC" w14:textId="77777777" w:rsidR="00C639B0" w:rsidRPr="00C639B0" w:rsidRDefault="00C639B0" w:rsidP="00C639B0">
      <w:pPr>
        <w:spacing w:after="0" w:line="240" w:lineRule="auto"/>
        <w:ind w:left="720" w:right="720"/>
        <w:jc w:val="both"/>
        <w:rPr>
          <w:rFonts w:eastAsia="Times New Roman" w:cs="Times New Roman"/>
          <w:b/>
          <w:bCs/>
          <w:color w:val="000000"/>
          <w:kern w:val="0"/>
          <w:szCs w:val="24"/>
          <w14:ligatures w14:val="none"/>
        </w:rPr>
      </w:pPr>
    </w:p>
    <w:p w14:paraId="03971DCB" w14:textId="32871D0F" w:rsidR="00C639B0" w:rsidRPr="00C639B0" w:rsidRDefault="00C639B0" w:rsidP="00C639B0">
      <w:pPr>
        <w:spacing w:after="0" w:line="360" w:lineRule="auto"/>
        <w:jc w:val="both"/>
        <w:rPr>
          <w:rFonts w:eastAsia="Times New Roman" w:cs="Times New Roman"/>
          <w:b/>
          <w:bCs/>
          <w:color w:val="000000"/>
          <w:kern w:val="0"/>
          <w:szCs w:val="24"/>
          <w14:ligatures w14:val="none"/>
        </w:rPr>
      </w:pPr>
      <w:r w:rsidRPr="00C639B0">
        <w:rPr>
          <w:rFonts w:eastAsia="Times New Roman" w:cs="Times New Roman"/>
          <w:b/>
          <w:bCs/>
          <w:color w:val="000000"/>
          <w:kern w:val="0"/>
          <w:szCs w:val="24"/>
          <w14:ligatures w14:val="none"/>
        </w:rPr>
        <w:tab/>
      </w:r>
      <w:r w:rsidRPr="00C639B0">
        <w:rPr>
          <w:rFonts w:eastAsia="Times New Roman" w:cs="Times New Roman"/>
          <w:color w:val="000000"/>
          <w:kern w:val="0"/>
          <w:szCs w:val="24"/>
          <w14:ligatures w14:val="none"/>
        </w:rPr>
        <w:t xml:space="preserve">Most tort claimants as well as their lawyers are unfamiliar with the bankruptcy process.  Understanding documents containing a proposed plan, a disclosure statement, and release provisions is difficult.  A written summary-disclosure document that highlights the major features of the bankruptcy as well as these notices can help tort claimants better understand their rights and options in exercising those rights.  A model summary-disclosure document is attached as Appendix A (posted on Center website at </w:t>
      </w:r>
      <w:hyperlink r:id="rId8" w:history="1">
        <w:r w:rsidR="00E0307A" w:rsidRPr="007C1677">
          <w:rPr>
            <w:rStyle w:val="Hyperlink"/>
            <w:rFonts w:eastAsia="Times New Roman" w:cs="Times New Roman"/>
            <w:kern w:val="0"/>
            <w:szCs w:val="24"/>
            <w14:ligatures w14:val="none"/>
          </w:rPr>
          <w:t>https://rabiejcenter.org/</w:t>
        </w:r>
      </w:hyperlink>
      <w:r w:rsidR="00E0307A">
        <w:rPr>
          <w:rFonts w:eastAsia="Times New Roman" w:cs="Times New Roman"/>
          <w:color w:val="000000"/>
          <w:kern w:val="0"/>
          <w:szCs w:val="24"/>
          <w14:ligatures w14:val="none"/>
        </w:rPr>
        <w:t xml:space="preserve"> .</w:t>
      </w:r>
    </w:p>
    <w:p w14:paraId="575EAAD8" w14:textId="77777777" w:rsidR="00C639B0" w:rsidRPr="00C639B0" w:rsidRDefault="00C639B0" w:rsidP="00C639B0">
      <w:pPr>
        <w:spacing w:after="0" w:line="240" w:lineRule="auto"/>
        <w:ind w:left="720" w:right="720"/>
        <w:jc w:val="both"/>
        <w:rPr>
          <w:color w:val="000000" w:themeColor="text1"/>
          <w:kern w:val="0"/>
          <w:szCs w:val="24"/>
          <w14:ligatures w14:val="none"/>
        </w:rPr>
      </w:pPr>
      <w:r w:rsidRPr="00C639B0">
        <w:rPr>
          <w:rFonts w:eastAsia="Times New Roman" w:cs="Times New Roman"/>
          <w:b/>
          <w:bCs/>
          <w:color w:val="000000"/>
          <w:kern w:val="0"/>
          <w:szCs w:val="24"/>
          <w14:ligatures w14:val="none"/>
        </w:rPr>
        <w:t>Best Practice MDL-§ 14(b): </w:t>
      </w:r>
      <w:r w:rsidRPr="00C639B0">
        <w:rPr>
          <w:rFonts w:eastAsia="Times New Roman" w:cs="Times New Roman"/>
          <w:color w:val="000000"/>
          <w:kern w:val="0"/>
          <w:szCs w:val="24"/>
          <w14:ligatures w14:val="none"/>
        </w:rPr>
        <w:t>When drafting disclosure statements and</w:t>
      </w:r>
      <w:r w:rsidRPr="00C639B0">
        <w:rPr>
          <w:color w:val="000000"/>
          <w:kern w:val="0"/>
          <w:szCs w:val="24"/>
          <w14:ligatures w14:val="none"/>
        </w:rPr>
        <w:t xml:space="preserve"> </w:t>
      </w:r>
      <w:r w:rsidRPr="00C639B0">
        <w:rPr>
          <w:color w:val="000000" w:themeColor="text1"/>
          <w:kern w:val="0"/>
          <w:szCs w:val="24"/>
          <w14:ligatures w14:val="none"/>
        </w:rPr>
        <w:t xml:space="preserve">notices to creditors informing them of a proposed plan of reorganization and their rights to </w:t>
      </w:r>
      <w:r w:rsidRPr="00C639B0">
        <w:rPr>
          <w:color w:val="000000" w:themeColor="text1"/>
          <w:kern w:val="0"/>
          <w:szCs w:val="24"/>
          <w14:ligatures w14:val="none"/>
        </w:rPr>
        <w:lastRenderedPageBreak/>
        <w:t xml:space="preserve">accept or reject it, parties in a mass-tort bankruptcy should avoid legalese and should clearly and concisely draft those documents in plain, easily understood language, and in a readable format. Permanent No. </w:t>
      </w:r>
      <w:r w:rsidRPr="00C639B0">
        <w:rPr>
          <w:rFonts w:cs="Times New Roman"/>
          <w:color w:val="000000" w:themeColor="text1"/>
          <w:kern w:val="0"/>
          <w:szCs w:val="24"/>
          <w14:ligatures w14:val="none"/>
        </w:rPr>
        <w:t>MDL-§ 18(b).</w:t>
      </w:r>
    </w:p>
    <w:p w14:paraId="65CCFFDA" w14:textId="77777777" w:rsidR="00C639B0" w:rsidRPr="00C639B0" w:rsidRDefault="00C639B0" w:rsidP="00C639B0">
      <w:pPr>
        <w:spacing w:after="0" w:line="240" w:lineRule="auto"/>
        <w:jc w:val="both"/>
        <w:rPr>
          <w:rFonts w:eastAsia="Times New Roman" w:cs="Times New Roman"/>
          <w:color w:val="000000"/>
          <w:kern w:val="0"/>
          <w:szCs w:val="24"/>
          <w14:ligatures w14:val="none"/>
        </w:rPr>
      </w:pPr>
    </w:p>
    <w:p w14:paraId="048030CE" w14:textId="77777777" w:rsidR="00C639B0" w:rsidRPr="00C639B0" w:rsidRDefault="00C639B0" w:rsidP="00C639B0">
      <w:pPr>
        <w:spacing w:after="0" w:line="360" w:lineRule="auto"/>
        <w:ind w:firstLine="720"/>
        <w:jc w:val="both"/>
        <w:rPr>
          <w:rFonts w:eastAsia="Times New Roman" w:cs="Times New Roman"/>
          <w:color w:val="000000"/>
          <w:kern w:val="0"/>
          <w:szCs w:val="24"/>
          <w14:ligatures w14:val="none"/>
        </w:rPr>
      </w:pPr>
      <w:r w:rsidRPr="00C639B0">
        <w:rPr>
          <w:rFonts w:eastAsia="Times New Roman" w:cs="Times New Roman"/>
          <w:color w:val="000000"/>
          <w:kern w:val="0"/>
          <w:szCs w:val="24"/>
          <w14:ligatures w14:val="none"/>
        </w:rPr>
        <w:t>When a mass-tort bankruptcy approaches successful completion, tort claimants will get an opportunity to vote—for confirmation of a plan, releases of nondebtors, or both.  In the plan-confirmation context, the Bankruptcy Code defines “adequate information” to be information that enables a person “to make an informed judgment about the plan.”</w:t>
      </w:r>
      <w:r w:rsidRPr="00C639B0">
        <w:rPr>
          <w:rFonts w:eastAsia="Times New Roman" w:cs="Times New Roman"/>
          <w:color w:val="000000"/>
          <w:kern w:val="0"/>
          <w:szCs w:val="24"/>
          <w:vertAlign w:val="superscript"/>
          <w14:ligatures w14:val="none"/>
        </w:rPr>
        <w:footnoteReference w:id="11"/>
      </w:r>
      <w:r w:rsidRPr="00C639B0">
        <w:rPr>
          <w:rFonts w:eastAsia="Times New Roman" w:cs="Times New Roman"/>
          <w:color w:val="000000"/>
          <w:kern w:val="0"/>
          <w:szCs w:val="24"/>
          <w14:ligatures w14:val="none"/>
        </w:rPr>
        <w:t xml:space="preserve">  In every context, unclear notices can prevent a full understanding of the factors related to the decision to be made and undermine a tort claimant’s ability to make an informed judgment.  </w:t>
      </w:r>
    </w:p>
    <w:p w14:paraId="44DD03CF" w14:textId="77777777" w:rsidR="00C639B0" w:rsidRPr="00C639B0" w:rsidRDefault="00C639B0" w:rsidP="00C639B0">
      <w:pPr>
        <w:spacing w:after="0" w:line="360" w:lineRule="auto"/>
        <w:ind w:firstLine="720"/>
        <w:jc w:val="both"/>
        <w:rPr>
          <w:rFonts w:eastAsia="Times New Roman" w:cs="Times New Roman"/>
          <w:color w:val="000000"/>
          <w:kern w:val="0"/>
          <w:szCs w:val="24"/>
          <w14:ligatures w14:val="none"/>
        </w:rPr>
      </w:pPr>
      <w:r w:rsidRPr="00C639B0">
        <w:rPr>
          <w:rFonts w:eastAsia="Times New Roman" w:cs="Times New Roman"/>
          <w:color w:val="000000"/>
          <w:kern w:val="0"/>
          <w:szCs w:val="24"/>
          <w14:ligatures w14:val="none"/>
        </w:rPr>
        <w:t>On a regular basis, parties communicating with tort claimants should employ language that is readily understandable to the tort claimants themselves.  Drafters of communications to tort claimants should avoid legalese.  To the contrary, the communications should state, clearly and concisely, in plain, easily understood, language—and in a readable format—any decisions the tort claimants might need to make.</w:t>
      </w:r>
    </w:p>
    <w:p w14:paraId="6DE80625" w14:textId="77777777" w:rsidR="00C639B0" w:rsidRPr="00C639B0" w:rsidRDefault="00C639B0" w:rsidP="00C639B0">
      <w:pPr>
        <w:spacing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Tort-claimant recipients rarely will be lawyers.  In many instances (but much less than all of them), they will have counsel, but even then, their counsel will generally not be bankruptcy lawyers, and for the tort claimants and counsel alike, using plain English will be more effective and consistent with due process.</w:t>
      </w:r>
    </w:p>
    <w:p w14:paraId="7940B37F" w14:textId="77777777" w:rsidR="00C639B0" w:rsidRPr="00C639B0" w:rsidRDefault="00C639B0" w:rsidP="00C639B0">
      <w:pPr>
        <w:spacing w:line="360" w:lineRule="auto"/>
        <w:ind w:firstLine="720"/>
        <w:jc w:val="both"/>
        <w:rPr>
          <w:rFonts w:eastAsia="Times New Roman" w:cs="Times New Roman"/>
          <w:color w:val="000000"/>
          <w:kern w:val="0"/>
          <w:szCs w:val="24"/>
          <w14:ligatures w14:val="none"/>
        </w:rPr>
      </w:pPr>
      <w:r w:rsidRPr="00C639B0">
        <w:rPr>
          <w:rFonts w:cs="Times New Roman"/>
          <w:color w:val="000000" w:themeColor="text1"/>
          <w:kern w:val="0"/>
          <w:szCs w:val="24"/>
          <w14:ligatures w14:val="none"/>
        </w:rPr>
        <w:t>Nor will tort claimants (and in many instances, their lawyers) be familiar with the drafting so often employed by lawyers in indentures and prospectuses, and, too often, in bankruptcy filings themselves—often for no reason other than “that’s the way we always did it,” or that identical language was used in a previous submission or order of another court.  But that drafting style will often be unintelligible to individuals unaccustomed to that drafting habit, presenting a comprehensibility challenge for tort claimants, their tort lawyers, and even for the bankruptcy (and appellate) judges who must approve or construe it.</w:t>
      </w:r>
    </w:p>
    <w:p w14:paraId="42330B4B" w14:textId="77777777" w:rsidR="00C639B0" w:rsidRPr="00C639B0" w:rsidRDefault="00C639B0" w:rsidP="00C639B0">
      <w:pPr>
        <w:keepNext/>
        <w:keepLines/>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Of particular significance, drafters of notices to tort claimants should:</w:t>
      </w:r>
    </w:p>
    <w:p w14:paraId="3B451556" w14:textId="77777777" w:rsidR="00C639B0" w:rsidRPr="00C639B0" w:rsidRDefault="00C639B0" w:rsidP="00C639B0">
      <w:pPr>
        <w:numPr>
          <w:ilvl w:val="0"/>
          <w:numId w:val="2"/>
        </w:numPr>
        <w:tabs>
          <w:tab w:val="left" w:pos="432"/>
        </w:tabs>
        <w:spacing w:after="240" w:line="240" w:lineRule="auto"/>
        <w:jc w:val="both"/>
        <w:rPr>
          <w:rFonts w:cs="Times New Roman"/>
        </w:rPr>
      </w:pPr>
      <w:r w:rsidRPr="00C639B0">
        <w:rPr>
          <w:rFonts w:cs="Times New Roman"/>
        </w:rPr>
        <w:t>Not employ legalese;</w:t>
      </w:r>
      <w:r w:rsidRPr="00C639B0">
        <w:rPr>
          <w:rFonts w:cs="Times New Roman"/>
          <w:vertAlign w:val="superscript"/>
        </w:rPr>
        <w:footnoteReference w:id="12"/>
      </w:r>
    </w:p>
    <w:p w14:paraId="64505CF5" w14:textId="77777777" w:rsidR="00C639B0" w:rsidRPr="00C639B0" w:rsidRDefault="00C639B0" w:rsidP="00C639B0">
      <w:pPr>
        <w:numPr>
          <w:ilvl w:val="0"/>
          <w:numId w:val="2"/>
        </w:numPr>
        <w:tabs>
          <w:tab w:val="left" w:pos="432"/>
        </w:tabs>
        <w:spacing w:after="240" w:line="240" w:lineRule="auto"/>
        <w:jc w:val="both"/>
        <w:rPr>
          <w:rFonts w:cs="Times New Roman"/>
        </w:rPr>
      </w:pPr>
      <w:r w:rsidRPr="00C639B0">
        <w:rPr>
          <w:rFonts w:cs="Times New Roman"/>
        </w:rPr>
        <w:lastRenderedPageBreak/>
        <w:t>Refrain from saying the same thing using different, and effectively repetitive, words;</w:t>
      </w:r>
      <w:r w:rsidRPr="00C639B0">
        <w:rPr>
          <w:rFonts w:cs="Times New Roman"/>
          <w:vertAlign w:val="superscript"/>
        </w:rPr>
        <w:footnoteReference w:id="13"/>
      </w:r>
    </w:p>
    <w:p w14:paraId="7A0AFF3D" w14:textId="77777777" w:rsidR="00C639B0" w:rsidRPr="00C639B0" w:rsidRDefault="00C639B0" w:rsidP="00C639B0">
      <w:pPr>
        <w:numPr>
          <w:ilvl w:val="0"/>
          <w:numId w:val="2"/>
        </w:numPr>
        <w:tabs>
          <w:tab w:val="left" w:pos="432"/>
        </w:tabs>
        <w:spacing w:after="240" w:line="240" w:lineRule="auto"/>
        <w:jc w:val="both"/>
        <w:rPr>
          <w:rFonts w:cs="Times New Roman"/>
        </w:rPr>
      </w:pPr>
      <w:r w:rsidRPr="00C639B0">
        <w:rPr>
          <w:rFonts w:cs="Times New Roman"/>
        </w:rPr>
        <w:t>Not draft with massive blocks of text, especially if the text goes on for most of a page, or, worse, on to another page;</w:t>
      </w:r>
    </w:p>
    <w:p w14:paraId="12EEB801" w14:textId="77777777" w:rsidR="00C639B0" w:rsidRPr="00C639B0" w:rsidRDefault="00C639B0" w:rsidP="00C639B0">
      <w:pPr>
        <w:numPr>
          <w:ilvl w:val="0"/>
          <w:numId w:val="2"/>
        </w:numPr>
        <w:tabs>
          <w:tab w:val="left" w:pos="432"/>
        </w:tabs>
        <w:spacing w:after="240" w:line="240" w:lineRule="auto"/>
        <w:jc w:val="both"/>
        <w:rPr>
          <w:rFonts w:cs="Times New Roman"/>
        </w:rPr>
      </w:pPr>
      <w:r w:rsidRPr="00C639B0">
        <w:rPr>
          <w:rFonts w:cs="Times New Roman"/>
        </w:rPr>
        <w:t>Not include lists in the midst of long block paragraphs</w:t>
      </w:r>
      <w:r w:rsidRPr="00C639B0">
        <w:rPr>
          <w:rFonts w:cs="Times New Roman"/>
          <w:vertAlign w:val="superscript"/>
        </w:rPr>
        <w:footnoteReference w:id="14"/>
      </w:r>
      <w:r w:rsidRPr="00C639B0">
        <w:rPr>
          <w:rFonts w:cs="Times New Roman"/>
        </w:rPr>
        <w:t>—or even short ones.</w:t>
      </w:r>
      <w:r w:rsidRPr="00C639B0">
        <w:rPr>
          <w:rFonts w:cs="Times New Roman"/>
          <w:vertAlign w:val="superscript"/>
        </w:rPr>
        <w:footnoteReference w:id="15"/>
      </w:r>
    </w:p>
    <w:p w14:paraId="6B15C71E" w14:textId="77777777" w:rsidR="00C639B0" w:rsidRPr="00C639B0" w:rsidRDefault="00C639B0" w:rsidP="00C639B0">
      <w:pPr>
        <w:numPr>
          <w:ilvl w:val="0"/>
          <w:numId w:val="2"/>
        </w:numPr>
        <w:tabs>
          <w:tab w:val="left" w:pos="432"/>
        </w:tabs>
        <w:spacing w:after="240" w:line="240" w:lineRule="auto"/>
        <w:jc w:val="both"/>
        <w:rPr>
          <w:rFonts w:cs="Times New Roman"/>
        </w:rPr>
      </w:pPr>
      <w:r w:rsidRPr="00C639B0">
        <w:rPr>
          <w:rFonts w:cs="Times New Roman"/>
        </w:rPr>
        <w:t>Refrain from “Justifying” the text;</w:t>
      </w:r>
      <w:r w:rsidRPr="00C639B0">
        <w:rPr>
          <w:rFonts w:cs="Times New Roman"/>
          <w:vertAlign w:val="superscript"/>
        </w:rPr>
        <w:footnoteReference w:id="16"/>
      </w:r>
    </w:p>
    <w:p w14:paraId="3D84B20D" w14:textId="77777777" w:rsidR="00C639B0" w:rsidRPr="00C639B0" w:rsidRDefault="00C639B0" w:rsidP="00C639B0">
      <w:pPr>
        <w:numPr>
          <w:ilvl w:val="0"/>
          <w:numId w:val="2"/>
        </w:numPr>
        <w:tabs>
          <w:tab w:val="left" w:pos="432"/>
        </w:tabs>
        <w:spacing w:after="240" w:line="240" w:lineRule="auto"/>
        <w:jc w:val="both"/>
        <w:rPr>
          <w:rFonts w:cs="Times New Roman"/>
        </w:rPr>
      </w:pPr>
      <w:r w:rsidRPr="00C639B0">
        <w:rPr>
          <w:rFonts w:cs="Times New Roman"/>
        </w:rPr>
        <w:t>Not use all caps, except possibly for a title;</w:t>
      </w:r>
      <w:r w:rsidRPr="00C639B0">
        <w:rPr>
          <w:rFonts w:cs="Times New Roman"/>
          <w:vertAlign w:val="superscript"/>
        </w:rPr>
        <w:footnoteReference w:id="17"/>
      </w:r>
    </w:p>
    <w:p w14:paraId="26AF62C8" w14:textId="77777777" w:rsidR="00C639B0" w:rsidRPr="00C639B0" w:rsidRDefault="00C639B0" w:rsidP="00C639B0">
      <w:pPr>
        <w:numPr>
          <w:ilvl w:val="0"/>
          <w:numId w:val="2"/>
        </w:numPr>
        <w:tabs>
          <w:tab w:val="left" w:pos="432"/>
        </w:tabs>
        <w:spacing w:after="240" w:line="240" w:lineRule="auto"/>
        <w:jc w:val="both"/>
        <w:rPr>
          <w:rFonts w:cs="Times New Roman"/>
        </w:rPr>
      </w:pPr>
      <w:r w:rsidRPr="00C639B0">
        <w:rPr>
          <w:rFonts w:cs="Times New Roman"/>
        </w:rPr>
        <w:t>Refrain from burying important concepts in the middle of lengthy paragraphs; and</w:t>
      </w:r>
    </w:p>
    <w:p w14:paraId="316D6621" w14:textId="77777777" w:rsidR="00C639B0" w:rsidRPr="00C639B0" w:rsidRDefault="00C639B0" w:rsidP="00C639B0">
      <w:pPr>
        <w:numPr>
          <w:ilvl w:val="0"/>
          <w:numId w:val="2"/>
        </w:numPr>
        <w:tabs>
          <w:tab w:val="left" w:pos="432"/>
        </w:tabs>
        <w:spacing w:after="240" w:line="240" w:lineRule="auto"/>
        <w:jc w:val="both"/>
        <w:rPr>
          <w:rFonts w:cs="Times New Roman"/>
        </w:rPr>
      </w:pPr>
      <w:r w:rsidRPr="00C639B0">
        <w:rPr>
          <w:rFonts w:cs="Times New Roman"/>
        </w:rPr>
        <w:t>Not employ acronyms, except when they have obvious meaning.</w:t>
      </w:r>
      <w:r w:rsidRPr="00C639B0">
        <w:rPr>
          <w:rFonts w:cs="Times New Roman"/>
          <w:vertAlign w:val="superscript"/>
        </w:rPr>
        <w:footnoteReference w:id="18"/>
      </w:r>
    </w:p>
    <w:p w14:paraId="4CF3C0CD" w14:textId="77777777" w:rsidR="00C639B0" w:rsidRPr="00C639B0" w:rsidRDefault="00C639B0" w:rsidP="00C639B0">
      <w:pPr>
        <w:spacing w:line="480" w:lineRule="auto"/>
        <w:ind w:left="720"/>
        <w:contextualSpacing/>
        <w:jc w:val="both"/>
        <w:rPr>
          <w:rFonts w:cs="Times New Roman"/>
          <w:kern w:val="0"/>
          <w:szCs w:val="24"/>
          <w14:ligatures w14:val="none"/>
        </w:rPr>
      </w:pPr>
      <w:r w:rsidRPr="00C639B0">
        <w:rPr>
          <w:rFonts w:cs="Times New Roman"/>
          <w:kern w:val="0"/>
          <w:szCs w:val="24"/>
          <w14:ligatures w14:val="none"/>
        </w:rPr>
        <w:t>Instead, drafters should:</w:t>
      </w:r>
    </w:p>
    <w:p w14:paraId="3E3856E2" w14:textId="77777777" w:rsidR="00C639B0" w:rsidRPr="00C639B0" w:rsidRDefault="00C639B0" w:rsidP="00C639B0">
      <w:pPr>
        <w:numPr>
          <w:ilvl w:val="0"/>
          <w:numId w:val="3"/>
        </w:numPr>
        <w:spacing w:after="240" w:line="240" w:lineRule="auto"/>
        <w:ind w:left="1498"/>
        <w:jc w:val="both"/>
        <w:rPr>
          <w:rFonts w:cs="Times New Roman"/>
          <w:kern w:val="0"/>
          <w:szCs w:val="24"/>
          <w14:ligatures w14:val="none"/>
        </w:rPr>
      </w:pPr>
      <w:r w:rsidRPr="00C639B0">
        <w:rPr>
          <w:rFonts w:cs="Times New Roman"/>
          <w:kern w:val="0"/>
          <w:szCs w:val="24"/>
          <w14:ligatures w14:val="none"/>
        </w:rPr>
        <w:t>Use a readable format with short paragraphs; break up long sentences; and allow for generous white space in the document;</w:t>
      </w:r>
    </w:p>
    <w:p w14:paraId="1269F0D9" w14:textId="77777777" w:rsidR="00C639B0" w:rsidRPr="00C639B0" w:rsidRDefault="00C639B0" w:rsidP="00C639B0">
      <w:pPr>
        <w:numPr>
          <w:ilvl w:val="0"/>
          <w:numId w:val="3"/>
        </w:numPr>
        <w:spacing w:after="240" w:line="240" w:lineRule="auto"/>
        <w:ind w:left="1498"/>
        <w:jc w:val="both"/>
        <w:rPr>
          <w:rFonts w:cs="Times New Roman"/>
          <w:kern w:val="0"/>
          <w:szCs w:val="24"/>
          <w14:ligatures w14:val="none"/>
        </w:rPr>
      </w:pPr>
      <w:r w:rsidRPr="00C639B0">
        <w:rPr>
          <w:rFonts w:cs="Times New Roman"/>
          <w:kern w:val="0"/>
          <w:szCs w:val="24"/>
          <w14:ligatures w14:val="none"/>
        </w:rPr>
        <w:t>Use plain English, using readily understandable words—and avoiding words learned in law school (or that would never be used except by a lawyer or judge), except when absolutely necessary;</w:t>
      </w:r>
    </w:p>
    <w:p w14:paraId="05497905" w14:textId="77777777" w:rsidR="00C639B0" w:rsidRPr="00C639B0" w:rsidRDefault="00C639B0" w:rsidP="00C639B0">
      <w:pPr>
        <w:numPr>
          <w:ilvl w:val="0"/>
          <w:numId w:val="3"/>
        </w:numPr>
        <w:spacing w:after="240" w:line="240" w:lineRule="auto"/>
        <w:ind w:left="1498"/>
        <w:jc w:val="both"/>
        <w:rPr>
          <w:rFonts w:cs="Times New Roman"/>
          <w:kern w:val="0"/>
          <w:szCs w:val="24"/>
          <w14:ligatures w14:val="none"/>
        </w:rPr>
      </w:pPr>
      <w:r w:rsidRPr="00C639B0">
        <w:rPr>
          <w:rFonts w:cs="Times New Roman"/>
          <w:kern w:val="0"/>
          <w:szCs w:val="24"/>
          <w14:ligatures w14:val="none"/>
        </w:rPr>
        <w:lastRenderedPageBreak/>
        <w:t>Maximize adherence to guidance by Garner and other writing experts to keep sentences as short as possible—and whenever possible of a length no longer than the length (averaging 25 to 30 words) Garner recommends;</w:t>
      </w:r>
      <w:r w:rsidRPr="00C639B0">
        <w:rPr>
          <w:rFonts w:cs="Times New Roman"/>
          <w:kern w:val="0"/>
          <w:szCs w:val="24"/>
          <w:vertAlign w:val="superscript"/>
          <w14:ligatures w14:val="none"/>
        </w:rPr>
        <w:footnoteReference w:id="19"/>
      </w:r>
    </w:p>
    <w:p w14:paraId="6EB47387" w14:textId="77777777" w:rsidR="00C639B0" w:rsidRPr="00C639B0" w:rsidRDefault="00C639B0" w:rsidP="00C639B0">
      <w:pPr>
        <w:numPr>
          <w:ilvl w:val="0"/>
          <w:numId w:val="3"/>
        </w:numPr>
        <w:spacing w:after="240" w:line="240" w:lineRule="auto"/>
        <w:ind w:left="1498"/>
        <w:jc w:val="both"/>
        <w:rPr>
          <w:rFonts w:cs="Times New Roman"/>
          <w:kern w:val="0"/>
          <w:szCs w:val="24"/>
          <w14:ligatures w14:val="none"/>
        </w:rPr>
      </w:pPr>
      <w:r w:rsidRPr="00C639B0">
        <w:rPr>
          <w:rFonts w:cs="Times New Roman"/>
          <w:kern w:val="0"/>
          <w:szCs w:val="24"/>
          <w14:ligatures w14:val="none"/>
        </w:rPr>
        <w:t>Keep paragraphs as short as possible—and where circumstances permit (and they usually do), break what would otherwise be a lengthy paragraph into two or more shorter ones;</w:t>
      </w:r>
    </w:p>
    <w:p w14:paraId="1BC10386" w14:textId="77777777" w:rsidR="00C639B0" w:rsidRPr="00C639B0" w:rsidRDefault="00C639B0" w:rsidP="00C639B0">
      <w:pPr>
        <w:numPr>
          <w:ilvl w:val="0"/>
          <w:numId w:val="3"/>
        </w:numPr>
        <w:spacing w:after="240" w:line="240" w:lineRule="auto"/>
        <w:ind w:left="1498"/>
        <w:jc w:val="both"/>
        <w:rPr>
          <w:rFonts w:cs="Times New Roman"/>
          <w:kern w:val="0"/>
          <w:szCs w:val="24"/>
          <w14:ligatures w14:val="none"/>
        </w:rPr>
      </w:pPr>
      <w:r w:rsidRPr="00C639B0">
        <w:rPr>
          <w:rFonts w:cs="Times New Roman"/>
          <w:kern w:val="0"/>
          <w:szCs w:val="24"/>
          <w14:ligatures w14:val="none"/>
        </w:rPr>
        <w:t>Place the components of a list in separate subparagraphs, so they are easier to understand in context;</w:t>
      </w:r>
      <w:r w:rsidRPr="00C639B0">
        <w:rPr>
          <w:rFonts w:cs="Times New Roman"/>
          <w:kern w:val="0"/>
          <w:szCs w:val="24"/>
          <w:vertAlign w:val="superscript"/>
          <w14:ligatures w14:val="none"/>
        </w:rPr>
        <w:footnoteReference w:id="20"/>
      </w:r>
    </w:p>
    <w:p w14:paraId="56B0DA5C" w14:textId="77777777" w:rsidR="00C639B0" w:rsidRPr="00C639B0" w:rsidRDefault="00C639B0" w:rsidP="00C639B0">
      <w:pPr>
        <w:numPr>
          <w:ilvl w:val="0"/>
          <w:numId w:val="3"/>
        </w:numPr>
        <w:spacing w:after="240" w:line="240" w:lineRule="auto"/>
        <w:ind w:left="1498"/>
        <w:jc w:val="both"/>
        <w:rPr>
          <w:rFonts w:cs="Times New Roman"/>
          <w:kern w:val="0"/>
          <w:szCs w:val="24"/>
          <w14:ligatures w14:val="none"/>
        </w:rPr>
      </w:pPr>
      <w:r w:rsidRPr="00C639B0">
        <w:rPr>
          <w:rFonts w:cs="Times New Roman"/>
          <w:kern w:val="0"/>
          <w:szCs w:val="24"/>
          <w14:ligatures w14:val="none"/>
        </w:rPr>
        <w:t>Use frequent indentation, to make the components of a list understandable in context, and to avoid ambiguity in what later clauses modify; and</w:t>
      </w:r>
    </w:p>
    <w:p w14:paraId="59B5DB7B" w14:textId="77777777" w:rsidR="00C639B0" w:rsidRPr="00C639B0" w:rsidRDefault="00C639B0" w:rsidP="00C639B0">
      <w:pPr>
        <w:numPr>
          <w:ilvl w:val="0"/>
          <w:numId w:val="3"/>
        </w:numPr>
        <w:spacing w:after="240" w:line="240" w:lineRule="auto"/>
        <w:ind w:left="1498"/>
        <w:jc w:val="both"/>
        <w:rPr>
          <w:rFonts w:cs="Times New Roman"/>
          <w:kern w:val="0"/>
          <w:szCs w:val="24"/>
          <w14:ligatures w14:val="none"/>
        </w:rPr>
      </w:pPr>
      <w:r w:rsidRPr="00C639B0">
        <w:rPr>
          <w:rFonts w:cs="Times New Roman"/>
          <w:kern w:val="0"/>
          <w:szCs w:val="24"/>
          <w14:ligatures w14:val="none"/>
        </w:rPr>
        <w:t>Consider whether any deadlines or other key dates should be written in bold text, or in a separate, stand-alone, sentence and paragraph.</w:t>
      </w:r>
    </w:p>
    <w:p w14:paraId="30B1D247" w14:textId="77777777" w:rsidR="00C639B0" w:rsidRPr="00C639B0" w:rsidRDefault="00C639B0" w:rsidP="00C639B0">
      <w:pPr>
        <w:spacing w:after="0" w:line="240" w:lineRule="auto"/>
        <w:jc w:val="both"/>
        <w:rPr>
          <w:rFonts w:ascii="Times New Roman Bold" w:hAnsi="Times New Roman Bold" w:cs="Times New Roman"/>
          <w:smallCaps/>
          <w:kern w:val="0"/>
          <w:sz w:val="28"/>
          <w:szCs w:val="28"/>
          <w14:ligatures w14:val="none"/>
        </w:rPr>
      </w:pPr>
      <w:r w:rsidRPr="00C639B0">
        <w:rPr>
          <w:b/>
          <w:bCs/>
          <w:color w:val="000000" w:themeColor="text1"/>
          <w:kern w:val="0"/>
          <w:szCs w:val="24"/>
          <w:u w:val="single"/>
          <w14:ligatures w14:val="none"/>
        </w:rPr>
        <w:t xml:space="preserve">GUIDELINE </w:t>
      </w:r>
      <w:r w:rsidRPr="00C639B0">
        <w:rPr>
          <w:rFonts w:cs="Times New Roman"/>
          <w:b/>
          <w:bCs/>
          <w:color w:val="000000" w:themeColor="text1"/>
          <w:kern w:val="0"/>
          <w:szCs w:val="24"/>
          <w:u w:val="single"/>
          <w14:ligatures w14:val="none"/>
        </w:rPr>
        <w:t>MDL-§ 15</w:t>
      </w:r>
      <w:r w:rsidRPr="00C639B0">
        <w:rPr>
          <w:rFonts w:cs="Times New Roman"/>
          <w:b/>
          <w:bCs/>
          <w:color w:val="000000" w:themeColor="text1"/>
          <w:kern w:val="0"/>
          <w:szCs w:val="24"/>
          <w14:ligatures w14:val="none"/>
        </w:rPr>
        <w:t>:</w:t>
      </w:r>
      <w:r w:rsidRPr="00C639B0">
        <w:rPr>
          <w:b/>
          <w:bCs/>
          <w:color w:val="000000" w:themeColor="text1"/>
          <w:kern w:val="0"/>
          <w:szCs w:val="24"/>
          <w14:ligatures w14:val="none"/>
        </w:rPr>
        <w:t xml:space="preserve"> </w:t>
      </w:r>
      <w:r w:rsidRPr="00C639B0">
        <w:rPr>
          <w:color w:val="000000" w:themeColor="text1"/>
          <w:kern w:val="0"/>
          <w:szCs w:val="24"/>
          <w14:ligatures w14:val="none"/>
        </w:rPr>
        <w:t xml:space="preserve">Parties and the court need basic information as to each creditor’s personal-injury claim in a Chapter 11 mass-tort bankruptcy as soon as practicable -- to facilitate the plan’s development and to allow parties in interest to make informed decisions about eligibility to vote for a reorganization plan. Permanent No. </w:t>
      </w:r>
      <w:r w:rsidRPr="00C639B0">
        <w:rPr>
          <w:rFonts w:cs="Times New Roman"/>
          <w:color w:val="000000" w:themeColor="text1"/>
          <w:kern w:val="0"/>
          <w:szCs w:val="24"/>
          <w14:ligatures w14:val="none"/>
        </w:rPr>
        <w:t>MDL-§ 19.</w:t>
      </w:r>
      <w:r w:rsidRPr="00C639B0">
        <w:rPr>
          <w:color w:val="000000" w:themeColor="text1"/>
          <w:kern w:val="0"/>
          <w:szCs w:val="24"/>
          <w14:ligatures w14:val="none"/>
        </w:rPr>
        <w:t xml:space="preserve"> </w:t>
      </w:r>
    </w:p>
    <w:p w14:paraId="30DCCA68" w14:textId="77777777" w:rsidR="00C639B0" w:rsidRPr="00C639B0" w:rsidRDefault="00C639B0" w:rsidP="00C639B0">
      <w:pPr>
        <w:spacing w:after="0" w:line="240" w:lineRule="auto"/>
        <w:ind w:left="720" w:right="720"/>
        <w:jc w:val="both"/>
        <w:rPr>
          <w:rFonts w:ascii="Times New Roman Bold" w:hAnsi="Times New Roman Bold" w:cs="Times New Roman"/>
          <w:b/>
          <w:bCs/>
          <w:smallCaps/>
          <w:kern w:val="0"/>
          <w:sz w:val="28"/>
          <w:szCs w:val="28"/>
          <w14:ligatures w14:val="none"/>
        </w:rPr>
      </w:pPr>
    </w:p>
    <w:p w14:paraId="214DBEBE"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In a Chapter 11 bankruptcy case that is caused exclusively or primarily by potential liabilities for hundreds or thousands of individual personal-injury claims, the court and parties need information to identify unsupportable and “less substantial” claims as soon as practicable to assess voting-eligibility rights and begin estimating the value of tort claims and develop a reorganization plan.  </w:t>
      </w:r>
    </w:p>
    <w:p w14:paraId="3E9B3306"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A mass-tort MDL can involve thousands even tens of thousands of individual actions, many of which are filed in good faith but without an evidentiary basis. This happens because in non-bankruptcy litigation (such as in an MDL) the action may be filed, consistent with FED. R. CIV. P. 11, on “information and belief” without any evidentiary basis in the expectation that evidence will later be found after further investigation or discovery. As a result, a significant number of claims filed in a mass-tort MDL ultimately are withdrawn or dismissed after further investigation or discovery has revealed no evidentiary basis. To facilitate management of these cases, courts require parties to submit Plaintiff Fact Sheets, which are widely utilized in MDL </w:t>
      </w:r>
      <w:r w:rsidRPr="00C639B0">
        <w:rPr>
          <w:rFonts w:cs="Times New Roman"/>
          <w:color w:val="000000" w:themeColor="text1"/>
          <w:kern w:val="0"/>
          <w:szCs w:val="24"/>
          <w14:ligatures w14:val="none"/>
        </w:rPr>
        <w:lastRenderedPageBreak/>
        <w:t>litigation,</w:t>
      </w:r>
      <w:r w:rsidRPr="00C639B0">
        <w:rPr>
          <w:rFonts w:cs="Times New Roman"/>
          <w:color w:val="000000" w:themeColor="text1"/>
          <w:kern w:val="0"/>
          <w:szCs w:val="24"/>
          <w:vertAlign w:val="superscript"/>
          <w14:ligatures w14:val="none"/>
        </w:rPr>
        <w:footnoteReference w:id="21"/>
      </w:r>
      <w:r w:rsidRPr="00C639B0">
        <w:rPr>
          <w:rFonts w:cs="Times New Roman"/>
          <w:color w:val="000000" w:themeColor="text1"/>
          <w:kern w:val="0"/>
          <w:szCs w:val="24"/>
          <w14:ligatures w14:val="none"/>
        </w:rPr>
        <w:t xml:space="preserve"> particularly in products liability and mass-tort MDLs.</w:t>
      </w:r>
      <w:r w:rsidRPr="00C639B0">
        <w:rPr>
          <w:rFonts w:cs="Times New Roman"/>
          <w:color w:val="000000" w:themeColor="text1"/>
          <w:kern w:val="0"/>
          <w:szCs w:val="24"/>
          <w:vertAlign w:val="superscript"/>
          <w14:ligatures w14:val="none"/>
        </w:rPr>
        <w:footnoteReference w:id="22"/>
      </w:r>
      <w:r w:rsidRPr="00C639B0">
        <w:rPr>
          <w:rFonts w:cs="Times New Roman"/>
          <w:color w:val="000000" w:themeColor="text1"/>
          <w:kern w:val="0"/>
          <w:szCs w:val="24"/>
          <w14:ligatures w14:val="none"/>
        </w:rPr>
        <w:t xml:space="preserve"> They were developed to provide basic information quickly about individual claimants to aid vetting, including information about the plaintiff’s location, plaintiff’s health-care providers, witnesses, where the injury occurred, and the extent of the exposure and injury. </w:t>
      </w:r>
    </w:p>
    <w:p w14:paraId="63014944" w14:textId="77777777" w:rsidR="00C639B0" w:rsidRPr="00C639B0" w:rsidRDefault="00C639B0" w:rsidP="00C639B0">
      <w:pPr>
        <w:spacing w:after="0" w:line="360" w:lineRule="auto"/>
        <w:ind w:firstLine="720"/>
        <w:jc w:val="both"/>
        <w:rPr>
          <w:rFonts w:cs="Times New Roman"/>
          <w:color w:val="111111"/>
          <w:spacing w:val="1"/>
          <w:kern w:val="0"/>
          <w:szCs w:val="24"/>
          <w:shd w:val="clear" w:color="auto" w:fill="FFFFFF"/>
          <w14:ligatures w14:val="none"/>
        </w:rPr>
      </w:pPr>
      <w:r w:rsidRPr="00C639B0">
        <w:rPr>
          <w:rFonts w:cs="Times New Roman"/>
          <w:color w:val="000000" w:themeColor="text1"/>
          <w:kern w:val="0"/>
          <w:szCs w:val="24"/>
          <w14:ligatures w14:val="none"/>
        </w:rPr>
        <w:t xml:space="preserve">Different forms of Plaintiff Fact Sheets, either “short” or “long,” have been used, either separately or together in an MDL. Some fact sheets require the plaintiff to attach medical records, while others require only a statement that such medical records exist. </w:t>
      </w:r>
    </w:p>
    <w:p w14:paraId="4364989C" w14:textId="77777777" w:rsidR="00C639B0" w:rsidRPr="00C639B0" w:rsidRDefault="00C639B0" w:rsidP="00C639B0">
      <w:pPr>
        <w:spacing w:after="0" w:line="360" w:lineRule="auto"/>
        <w:ind w:firstLine="720"/>
        <w:jc w:val="both"/>
        <w:rPr>
          <w:rFonts w:cs="Times New Roman"/>
          <w:color w:val="111111"/>
          <w:spacing w:val="1"/>
          <w:kern w:val="0"/>
          <w:szCs w:val="24"/>
          <w:shd w:val="clear" w:color="auto" w:fill="FFFFFF"/>
          <w14:ligatures w14:val="none"/>
        </w:rPr>
      </w:pPr>
      <w:r w:rsidRPr="00C639B0">
        <w:rPr>
          <w:rFonts w:cs="Times New Roman"/>
          <w:color w:val="000000" w:themeColor="text1"/>
          <w:kern w:val="0"/>
          <w:szCs w:val="24"/>
          <w14:ligatures w14:val="none"/>
        </w:rPr>
        <w:t xml:space="preserve">In a mass-tort bankruptcy-- like any other bankruptcy -- the Proof of Claim alerts the debtor of potential liabilities at the outset of bankruptcy, identifying the creditor and type of claim but typically with little in the way of details.   The form for Proof of Claim is prescribed by Official Form 410, which strives for simplicity, and which is intended only to </w:t>
      </w:r>
      <w:r w:rsidRPr="00C639B0">
        <w:rPr>
          <w:rFonts w:cs="Times New Roman"/>
          <w:color w:val="111111"/>
          <w:spacing w:val="1"/>
          <w:kern w:val="0"/>
          <w:szCs w:val="24"/>
          <w:shd w:val="clear" w:color="auto" w:fill="FFFFFF"/>
          <w14:ligatures w14:val="none"/>
        </w:rPr>
        <w:t xml:space="preserve">provide notice of a claim to the court, the debtor, and any other creditors in the bankruptcy. Question No. 8 of Part 2 asks: “What is the basis of the claim?  Examples: Goods sold ... </w:t>
      </w:r>
      <w:r w:rsidRPr="00C639B0">
        <w:rPr>
          <w:rFonts w:cs="Times New Roman"/>
          <w:i/>
          <w:iCs/>
          <w:color w:val="111111"/>
          <w:spacing w:val="1"/>
          <w:kern w:val="0"/>
          <w:szCs w:val="24"/>
          <w:shd w:val="clear" w:color="auto" w:fill="FFFFFF"/>
          <w14:ligatures w14:val="none"/>
        </w:rPr>
        <w:t>personal injury</w:t>
      </w:r>
      <w:r w:rsidRPr="00C639B0">
        <w:rPr>
          <w:rFonts w:cs="Times New Roman"/>
          <w:color w:val="111111"/>
          <w:spacing w:val="1"/>
          <w:kern w:val="0"/>
          <w:szCs w:val="24"/>
          <w:shd w:val="clear" w:color="auto" w:fill="FFFFFF"/>
          <w14:ligatures w14:val="none"/>
        </w:rPr>
        <w:t xml:space="preserve"> or wrongful death ...” In a mass-tort bankruptcy case, solely asserting a claim, without more information, is minimally helpful.</w:t>
      </w:r>
    </w:p>
    <w:p w14:paraId="053F6986" w14:textId="77777777" w:rsidR="00C639B0" w:rsidRPr="00C639B0" w:rsidRDefault="00C639B0" w:rsidP="00C639B0">
      <w:pPr>
        <w:spacing w:after="0" w:line="360" w:lineRule="auto"/>
        <w:ind w:firstLine="720"/>
        <w:jc w:val="both"/>
        <w:rPr>
          <w:rFonts w:cs="Times New Roman"/>
          <w:color w:val="111111"/>
          <w:spacing w:val="1"/>
          <w:kern w:val="0"/>
          <w:szCs w:val="24"/>
          <w:shd w:val="clear" w:color="auto" w:fill="FFFFFF"/>
          <w14:ligatures w14:val="none"/>
        </w:rPr>
      </w:pPr>
      <w:r w:rsidRPr="00C639B0">
        <w:rPr>
          <w:rFonts w:cs="Times New Roman"/>
          <w:color w:val="111111"/>
          <w:spacing w:val="1"/>
          <w:kern w:val="0"/>
          <w:szCs w:val="24"/>
          <w:shd w:val="clear" w:color="auto" w:fill="FFFFFF"/>
          <w14:ligatures w14:val="none"/>
        </w:rPr>
        <w:t>Though each of the proof of claim and the Plaintiff Fact Sheet is intended to provide basic information about the tort claimants, the Plaintiff Fact Sheet is much more effective in facilitating resolution.  Although Proofs-of-Claim in bankruptcy, like actions filed in a mass-tort MDL, are subject to sanctions for fraudulent submissions, a significant number of claims are likely to be filed that, while innocently submitted, are unsupportable.  Additional information is needed to verify the claims to assess voting-rights eligibility, and as importantly or more so to determine potential total liability and develop a reorganization plan.</w:t>
      </w:r>
    </w:p>
    <w:p w14:paraId="6CBFECC7"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111111"/>
          <w:spacing w:val="1"/>
          <w:kern w:val="0"/>
          <w:szCs w:val="24"/>
          <w:shd w:val="clear" w:color="auto" w:fill="FFFFFF"/>
          <w14:ligatures w14:val="none"/>
        </w:rPr>
        <w:t xml:space="preserve">Expending the limited purpose of Official Form 410 is restricted by Fed. R.  Bk. P. 9009(a), which requires that Official Forms “be used without alteration, except as otherwise provided in these rules, in a particular Official Form, or in the national instructions for a particular Official Form.  Official Forms may be modified to permit minor changes not affecting wording or the order of presenting information....”  Despite these restrictions, the histories of Official Form </w:t>
      </w:r>
      <w:r w:rsidRPr="00C639B0">
        <w:rPr>
          <w:rFonts w:cs="Times New Roman"/>
          <w:color w:val="111111"/>
          <w:spacing w:val="1"/>
          <w:kern w:val="0"/>
          <w:szCs w:val="24"/>
          <w:shd w:val="clear" w:color="auto" w:fill="FFFFFF"/>
          <w14:ligatures w14:val="none"/>
        </w:rPr>
        <w:lastRenderedPageBreak/>
        <w:t>410 and Rule 9009 support a practical application, which permits limited modifications that amplify the requested information consistent with the intent and purpose of the rule.</w:t>
      </w:r>
    </w:p>
    <w:p w14:paraId="19EB89DA" w14:textId="77777777" w:rsidR="00C639B0" w:rsidRPr="00C639B0" w:rsidRDefault="00C639B0" w:rsidP="00C639B0">
      <w:pPr>
        <w:spacing w:after="0" w:line="240" w:lineRule="auto"/>
        <w:ind w:left="720" w:right="720"/>
        <w:jc w:val="both"/>
        <w:rPr>
          <w:rFonts w:cs="Times New Roman"/>
          <w:color w:val="000000" w:themeColor="text1"/>
          <w:kern w:val="0"/>
          <w:szCs w:val="24"/>
          <w14:ligatures w14:val="none"/>
        </w:rPr>
      </w:pPr>
      <w:r w:rsidRPr="00C639B0">
        <w:rPr>
          <w:rFonts w:cs="Times New Roman"/>
          <w:b/>
          <w:bCs/>
          <w:color w:val="000000" w:themeColor="text1"/>
          <w:kern w:val="0"/>
          <w:szCs w:val="24"/>
          <w14:ligatures w14:val="none"/>
        </w:rPr>
        <w:t>Best Practice MDL-§ 15(a):</w:t>
      </w:r>
      <w:r w:rsidRPr="00C639B0">
        <w:rPr>
          <w:b/>
          <w:bCs/>
          <w:color w:val="000000" w:themeColor="text1"/>
          <w:kern w:val="0"/>
          <w:szCs w:val="24"/>
          <w14:ligatures w14:val="none"/>
        </w:rPr>
        <w:t xml:space="preserve"> </w:t>
      </w:r>
      <w:r w:rsidRPr="00C639B0">
        <w:rPr>
          <w:color w:val="000000" w:themeColor="text1"/>
          <w:kern w:val="0"/>
          <w:szCs w:val="24"/>
          <w14:ligatures w14:val="none"/>
        </w:rPr>
        <w:t>A court should consider approving modifications to Official Form 410 (Proof of Claim) to require a creditor to provide basic information, including attachments, supporting their personal-injury claim in a mass-tort bankruptcy.</w:t>
      </w:r>
      <w:r w:rsidRPr="00C639B0">
        <w:rPr>
          <w:b/>
          <w:bCs/>
          <w:color w:val="000000" w:themeColor="text1"/>
          <w:kern w:val="0"/>
          <w:szCs w:val="24"/>
          <w14:ligatures w14:val="none"/>
        </w:rPr>
        <w:t xml:space="preserve"> </w:t>
      </w:r>
      <w:r w:rsidRPr="00C639B0">
        <w:rPr>
          <w:rFonts w:cs="Times New Roman"/>
          <w:color w:val="000000" w:themeColor="text1"/>
          <w:kern w:val="0"/>
          <w:szCs w:val="24"/>
          <w14:ligatures w14:val="none"/>
        </w:rPr>
        <w:t>Permanent No. MDL-§ 14(a).</w:t>
      </w:r>
    </w:p>
    <w:p w14:paraId="7C1437E6" w14:textId="77777777" w:rsidR="00C639B0" w:rsidRPr="00C639B0" w:rsidRDefault="00C639B0" w:rsidP="00C639B0">
      <w:pPr>
        <w:spacing w:after="0" w:line="240" w:lineRule="auto"/>
        <w:jc w:val="both"/>
        <w:rPr>
          <w:rFonts w:cs="Times New Roman"/>
          <w:color w:val="000000" w:themeColor="text1"/>
          <w:kern w:val="0"/>
          <w:szCs w:val="24"/>
          <w14:ligatures w14:val="none"/>
        </w:rPr>
      </w:pPr>
    </w:p>
    <w:p w14:paraId="2EB16C3D"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If an MDL has moved into bankruptcy, the court and parties should have sufficient information from Plaintiff Fact Sheets about the personal-injury claims stayed in a mass-tort MDL pending bankruptcy to assess voting-rights eligibility and facilitate development of a reorganization plan.  But the call for the public to submit proofs of claim in bankruptcy will likely draw new, additional claims that were not part of the litigation, and which will contain only a bare-bones notification in the Official Form 410 (Proof of Claim).   </w:t>
      </w:r>
    </w:p>
    <w:p w14:paraId="67923966"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Official Form 410 (Proof of Claim) asks a creditor to indicate only whether they are asserting a “personal-injury claim.”   Although a party in interest can rely on alternative procedures to obtain additional information about the claim, none is as effective or efficient as using an expanded Official Form 410, assuming the burdens in responding to the additional requests are reasonable.   </w:t>
      </w:r>
    </w:p>
    <w:p w14:paraId="6FB0E4B4"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Fed. R. Bk. P. 9009(a) sharply limits permissible revisions to any Official Form as a means to promote national uniformity and ensure that Official Forms do not vary district to district or by judges within a district.</w:t>
      </w:r>
      <w:r w:rsidRPr="00C639B0">
        <w:rPr>
          <w:rFonts w:cs="Times New Roman"/>
          <w:color w:val="000000" w:themeColor="text1"/>
          <w:kern w:val="0"/>
          <w:szCs w:val="24"/>
          <w:vertAlign w:val="superscript"/>
          <w14:ligatures w14:val="none"/>
        </w:rPr>
        <w:footnoteReference w:id="23"/>
      </w:r>
      <w:r w:rsidRPr="00C639B0">
        <w:rPr>
          <w:rFonts w:cs="Times New Roman"/>
          <w:color w:val="000000" w:themeColor="text1"/>
          <w:kern w:val="0"/>
          <w:szCs w:val="24"/>
          <w14:ligatures w14:val="none"/>
        </w:rPr>
        <w:t xml:space="preserve">  Accordingly, an Official Form may not be altered under Rule 9009(a) unless otherwise provided: (i) in an individual Federal Rule of Bankruptcy Procedure; (ii) in a particular Official Form; or (iii) in the national instructions for a particular form.</w:t>
      </w:r>
      <w:r w:rsidRPr="00C639B0">
        <w:rPr>
          <w:rFonts w:cs="Times New Roman"/>
          <w:color w:val="000000" w:themeColor="text1"/>
          <w:kern w:val="0"/>
          <w:szCs w:val="24"/>
          <w:vertAlign w:val="superscript"/>
          <w14:ligatures w14:val="none"/>
        </w:rPr>
        <w:footnoteReference w:id="24"/>
      </w:r>
      <w:r w:rsidRPr="00C639B0">
        <w:rPr>
          <w:rFonts w:cs="Times New Roman"/>
          <w:color w:val="000000" w:themeColor="text1"/>
          <w:kern w:val="0"/>
          <w:szCs w:val="24"/>
          <w14:ligatures w14:val="none"/>
        </w:rPr>
        <w:t xml:space="preserve">   </w:t>
      </w:r>
    </w:p>
    <w:p w14:paraId="7042C7BF"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Fed. R. Bk. P. 3001(a) provides such authority, though limited, to alter Official Form 410 (proof-of-claim): “A proof of claim shall </w:t>
      </w:r>
      <w:r w:rsidRPr="00C639B0">
        <w:rPr>
          <w:rFonts w:cs="Times New Roman"/>
          <w:i/>
          <w:iCs/>
          <w:color w:val="000000" w:themeColor="text1"/>
          <w:kern w:val="0"/>
          <w:szCs w:val="24"/>
          <w14:ligatures w14:val="none"/>
        </w:rPr>
        <w:t>conform substantially</w:t>
      </w:r>
      <w:r w:rsidRPr="00C639B0">
        <w:rPr>
          <w:rFonts w:cs="Times New Roman"/>
          <w:color w:val="000000" w:themeColor="text1"/>
          <w:kern w:val="0"/>
          <w:szCs w:val="24"/>
          <w14:ligatures w14:val="none"/>
        </w:rPr>
        <w:t xml:space="preserve"> to the appropriate Official Form [410].”</w:t>
      </w:r>
      <w:r w:rsidRPr="00C639B0">
        <w:rPr>
          <w:rFonts w:cs="Times New Roman"/>
          <w:color w:val="000000" w:themeColor="text1"/>
          <w:kern w:val="0"/>
          <w:szCs w:val="24"/>
          <w:vertAlign w:val="superscript"/>
          <w14:ligatures w14:val="none"/>
        </w:rPr>
        <w:footnoteReference w:id="25"/>
      </w:r>
      <w:r w:rsidRPr="00C639B0">
        <w:rPr>
          <w:rFonts w:cs="Times New Roman"/>
          <w:color w:val="000000" w:themeColor="text1"/>
          <w:kern w:val="0"/>
          <w:szCs w:val="24"/>
          <w14:ligatures w14:val="none"/>
        </w:rPr>
        <w:t xml:space="preserve"> The provisions of Official Form 410 as well as its accompanying instructions provide some leeway for a court to deviate from the wording in Official Form 410.  </w:t>
      </w:r>
    </w:p>
    <w:p w14:paraId="4CF5DC0D"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lastRenderedPageBreak/>
        <w:t xml:space="preserve">Adding simple questions to Official Form 410 regarding Question 8’s “basis of the claim” by asking for information confirming a claimant’s use or receipt of the product at issue and demonstrating the extent of exposure and injury alerts the debtor, court, and other parties of potential liabilities, the primary purpose of the form.  Although Question 8 on the Official Form itself appears to limit attachments only to those “documents supporting the claim required by Bankruptcy Rule 3001(c),” the accompanying National Instructions are broader and require the creditor to “attach redacted copies of any documents that </w:t>
      </w:r>
      <w:r w:rsidRPr="00C639B0">
        <w:rPr>
          <w:rFonts w:cs="Times New Roman"/>
          <w:i/>
          <w:iCs/>
          <w:color w:val="000000" w:themeColor="text1"/>
          <w:kern w:val="0"/>
          <w:szCs w:val="24"/>
          <w14:ligatures w14:val="none"/>
        </w:rPr>
        <w:t>show that the debt exists</w:t>
      </w:r>
      <w:r w:rsidRPr="00C639B0">
        <w:rPr>
          <w:rFonts w:cs="Times New Roman"/>
          <w:color w:val="000000" w:themeColor="text1"/>
          <w:kern w:val="0"/>
          <w:szCs w:val="24"/>
          <w14:ligatures w14:val="none"/>
        </w:rPr>
        <w:t xml:space="preserve">.”  Those documents could include, when applicable, standard documentation identifying the product to which the claimant was exposed and confirmation of the claimant’s treatment or injury. In accordance with Rule 9009(a), the broader provisions in the Form’s instructions control and add weight to the proposition that requiring additional information about the product, extent of exposure, and injury would substantially conform to the Form. </w:t>
      </w:r>
    </w:p>
    <w:p w14:paraId="0F07CDB2"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The significance of the National Instructions to the Official Forms was highlighted during the rulemaking process promulgating the 2017 amendments to Rule 9009, which was part of a decade-long project establishing a uniform Official Form governing Chapter 13 Plans.  The more liberal earlier version of Rule 9009 authorized a court to alter Official Forms “as may be appropriate,” which undercut the purpose of the new form to provide uniformity in Chapter 13 plans.  After years of debate between proponents of local autonomy and advocates of national uniform practices, Rule 9009 was amended to “provide greater flexibility in the use and reproduction of forms without reverting to the permissive standard of the current rule.” The compromise provided flexibility to account for circumstances that might arise with respect to particular Official Forms, including Official Form 410.  The rules committee concluded that given the length of time needed to amend an official form (two years) and the Bankruptcy Rules (three years), “a more rapid method should be available to deal with problems or concerns about the permissible extent of deviations from a form that might come to light.  The use of the form’s instructions would serve that need. This additional source of flexibility, however, would be limited to the national instructions accompanying an Official Form and not local variations of those instructions.”</w:t>
      </w:r>
      <w:r w:rsidRPr="00C639B0">
        <w:rPr>
          <w:color w:val="000000" w:themeColor="text1"/>
          <w:kern w:val="0"/>
          <w:szCs w:val="24"/>
          <w:vertAlign w:val="superscript"/>
          <w14:ligatures w14:val="none"/>
        </w:rPr>
        <w:footnoteReference w:id="26"/>
      </w:r>
      <w:r w:rsidRPr="00C639B0">
        <w:rPr>
          <w:color w:val="000000" w:themeColor="text1"/>
          <w:kern w:val="0"/>
          <w:szCs w:val="24"/>
          <w14:ligatures w14:val="none"/>
        </w:rPr>
        <w:t xml:space="preserve"> </w:t>
      </w:r>
    </w:p>
    <w:p w14:paraId="396AD984"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lastRenderedPageBreak/>
        <w:t xml:space="preserve">Modifying Official Form 410 by adding wording requesting more information from the creditor about the product, extent of exposure, and injury of a personal-injury claim in a mass-tort bankruptcy, including diagnosis and treatment, as well as attaching documents that support the “basis” of their personal-injury claim “substantially conforms” with the form’s purpose as promoted in the accompanying national instructions, which permit attachments that show that a debt exists.  </w:t>
      </w:r>
    </w:p>
    <w:p w14:paraId="53276B1A" w14:textId="77777777" w:rsidR="00C639B0" w:rsidRPr="00C639B0" w:rsidRDefault="00C639B0" w:rsidP="00C639B0">
      <w:pPr>
        <w:spacing w:after="0" w:line="240" w:lineRule="auto"/>
        <w:ind w:left="720" w:right="720"/>
        <w:jc w:val="both"/>
        <w:rPr>
          <w:color w:val="000000" w:themeColor="text1"/>
          <w:kern w:val="0"/>
          <w:szCs w:val="24"/>
          <w14:ligatures w14:val="none"/>
        </w:rPr>
      </w:pPr>
      <w:r w:rsidRPr="00C639B0">
        <w:rPr>
          <w:rFonts w:cs="Times New Roman"/>
          <w:b/>
          <w:bCs/>
          <w:color w:val="000000" w:themeColor="text1"/>
          <w:kern w:val="0"/>
          <w:szCs w:val="24"/>
          <w14:ligatures w14:val="none"/>
        </w:rPr>
        <w:t>Best Practice MDL-§ 15(b):</w:t>
      </w:r>
      <w:r w:rsidRPr="00C639B0">
        <w:rPr>
          <w:b/>
          <w:bCs/>
          <w:color w:val="000000" w:themeColor="text1"/>
          <w:kern w:val="0"/>
          <w:szCs w:val="24"/>
          <w14:ligatures w14:val="none"/>
        </w:rPr>
        <w:t xml:space="preserve"> </w:t>
      </w:r>
      <w:r w:rsidRPr="00C639B0">
        <w:rPr>
          <w:color w:val="000000" w:themeColor="text1"/>
          <w:kern w:val="0"/>
          <w:szCs w:val="24"/>
          <w14:ligatures w14:val="none"/>
        </w:rPr>
        <w:t xml:space="preserve">The parties should submit to the court proposed specific modifications to Official Form 410, which provide information supporting a personal-injury claim in a mass-tort bankruptcy without unduly burdening a creditor.   Permanent No. </w:t>
      </w:r>
      <w:r w:rsidRPr="00C639B0">
        <w:rPr>
          <w:rFonts w:cs="Times New Roman"/>
          <w:color w:val="000000" w:themeColor="text1"/>
          <w:kern w:val="0"/>
          <w:szCs w:val="24"/>
          <w14:ligatures w14:val="none"/>
        </w:rPr>
        <w:t>MDL-§ 19(a).</w:t>
      </w:r>
    </w:p>
    <w:p w14:paraId="2A44AF98" w14:textId="77777777" w:rsidR="00C639B0" w:rsidRPr="00C639B0" w:rsidRDefault="00C639B0" w:rsidP="00C639B0">
      <w:pPr>
        <w:spacing w:after="0" w:line="240" w:lineRule="auto"/>
        <w:ind w:left="720" w:right="720"/>
        <w:jc w:val="both"/>
        <w:rPr>
          <w:color w:val="000000" w:themeColor="text1"/>
          <w:kern w:val="0"/>
          <w:szCs w:val="24"/>
          <w14:ligatures w14:val="none"/>
        </w:rPr>
      </w:pPr>
    </w:p>
    <w:p w14:paraId="28112A52"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Several courts handling asbestos claims in bankruptcy modified Official Form 10 (predecessor to Official Form 410) under the more liberal Rule 9009 standard in effect before the 2017 amendments, which authorized modifications as “may be appropriate.” The court in </w:t>
      </w:r>
      <w:r w:rsidRPr="00C639B0">
        <w:rPr>
          <w:rFonts w:cs="Times New Roman"/>
          <w:i/>
          <w:iCs/>
          <w:color w:val="000000" w:themeColor="text1"/>
          <w:kern w:val="0"/>
          <w:szCs w:val="24"/>
          <w14:ligatures w14:val="none"/>
        </w:rPr>
        <w:t>A.H. Robbins</w:t>
      </w:r>
      <w:r w:rsidRPr="00C639B0">
        <w:rPr>
          <w:rFonts w:cs="Times New Roman"/>
          <w:color w:val="000000" w:themeColor="text1"/>
          <w:kern w:val="0"/>
          <w:szCs w:val="24"/>
          <w14:ligatures w14:val="none"/>
        </w:rPr>
        <w:t xml:space="preserve"> required the creditor to provide basic information about use of the product, nature of injuries, and names of physicians and clinics consulted.  The claimant was not required to submit any medical records.</w:t>
      </w:r>
      <w:r w:rsidRPr="00C639B0">
        <w:rPr>
          <w:rFonts w:cs="Times New Roman"/>
          <w:color w:val="000000" w:themeColor="text1"/>
          <w:kern w:val="0"/>
          <w:szCs w:val="24"/>
          <w:vertAlign w:val="superscript"/>
          <w14:ligatures w14:val="none"/>
        </w:rPr>
        <w:footnoteReference w:id="27"/>
      </w:r>
      <w:r w:rsidRPr="00C639B0">
        <w:rPr>
          <w:rFonts w:cs="Times New Roman"/>
          <w:color w:val="000000" w:themeColor="text1"/>
          <w:kern w:val="0"/>
          <w:szCs w:val="24"/>
          <w14:ligatures w14:val="none"/>
        </w:rPr>
        <w:t xml:space="preserve"> In the </w:t>
      </w:r>
      <w:r w:rsidRPr="00C639B0">
        <w:rPr>
          <w:rFonts w:cs="Times New Roman"/>
          <w:i/>
          <w:iCs/>
          <w:color w:val="000000" w:themeColor="text1"/>
          <w:kern w:val="0"/>
          <w:szCs w:val="24"/>
          <w14:ligatures w14:val="none"/>
        </w:rPr>
        <w:t>Babcock Wilcox</w:t>
      </w:r>
      <w:r w:rsidRPr="00C639B0">
        <w:rPr>
          <w:rFonts w:cs="Times New Roman"/>
          <w:color w:val="000000" w:themeColor="text1"/>
          <w:kern w:val="0"/>
          <w:szCs w:val="24"/>
          <w14:ligatures w14:val="none"/>
        </w:rPr>
        <w:t xml:space="preserve"> bankruptcy case, the court required the claimant to provide medical information, including the alleged injury, year of diagnosis, and medical tests.  The claimant was required to attach copies of diagnostic reports.</w:t>
      </w:r>
      <w:r w:rsidRPr="00C639B0">
        <w:rPr>
          <w:rFonts w:cs="Times New Roman"/>
          <w:color w:val="000000" w:themeColor="text1"/>
          <w:kern w:val="0"/>
          <w:szCs w:val="24"/>
          <w:vertAlign w:val="superscript"/>
          <w14:ligatures w14:val="none"/>
        </w:rPr>
        <w:footnoteReference w:id="28"/>
      </w:r>
      <w:r w:rsidRPr="00C639B0">
        <w:rPr>
          <w:rFonts w:cs="Times New Roman"/>
          <w:color w:val="000000" w:themeColor="text1"/>
          <w:kern w:val="0"/>
          <w:szCs w:val="24"/>
          <w14:ligatures w14:val="none"/>
        </w:rPr>
        <w:t xml:space="preserve"> In </w:t>
      </w:r>
      <w:r w:rsidRPr="00C639B0">
        <w:rPr>
          <w:rFonts w:cs="Times New Roman"/>
          <w:i/>
          <w:iCs/>
          <w:color w:val="000000" w:themeColor="text1"/>
          <w:kern w:val="0"/>
          <w:szCs w:val="24"/>
          <w14:ligatures w14:val="none"/>
        </w:rPr>
        <w:t>Federal-Mogul</w:t>
      </w:r>
      <w:r w:rsidRPr="00C639B0">
        <w:rPr>
          <w:rFonts w:cs="Times New Roman"/>
          <w:color w:val="000000" w:themeColor="text1"/>
          <w:kern w:val="0"/>
          <w:szCs w:val="24"/>
          <w14:ligatures w14:val="none"/>
        </w:rPr>
        <w:t>, the court required information about the building that was the site of the property damage, dates of installation of asbestos, and damages.</w:t>
      </w:r>
    </w:p>
    <w:p w14:paraId="359145EF" w14:textId="77777777" w:rsidR="00C639B0" w:rsidRPr="00C639B0" w:rsidRDefault="00C639B0" w:rsidP="00C639B0">
      <w:pPr>
        <w:spacing w:after="0" w:line="360" w:lineRule="auto"/>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ab/>
        <w:t xml:space="preserve">The court approved a modified three-page Official Form 410 (proof of claim) in the </w:t>
      </w:r>
      <w:r w:rsidRPr="00C639B0">
        <w:rPr>
          <w:rFonts w:cs="Times New Roman"/>
          <w:i/>
          <w:iCs/>
          <w:color w:val="000000" w:themeColor="text1"/>
          <w:kern w:val="0"/>
          <w:szCs w:val="24"/>
          <w14:ligatures w14:val="none"/>
        </w:rPr>
        <w:t>LTL Management</w:t>
      </w:r>
      <w:r w:rsidRPr="00C639B0">
        <w:rPr>
          <w:rFonts w:cs="Times New Roman"/>
          <w:color w:val="000000" w:themeColor="text1"/>
          <w:kern w:val="0"/>
          <w:szCs w:val="24"/>
          <w14:ligatures w14:val="none"/>
        </w:rPr>
        <w:t xml:space="preserve"> bankruptcy case under the narrower standard in amended Rule 9009, which added several “yes/no” and one “menu-selection” questions.  The court required the claimant to provide information about the specific cancer diagnosis, date of diagnosis, exposure to product, and damages.  The court also asked whether there was medical documentation confirming the diagnosis but did not require the claimant to submit the documentation.</w:t>
      </w:r>
      <w:r w:rsidRPr="00C639B0">
        <w:rPr>
          <w:rFonts w:cs="Times New Roman"/>
          <w:color w:val="000000" w:themeColor="text1"/>
          <w:kern w:val="0"/>
          <w:szCs w:val="24"/>
          <w:vertAlign w:val="superscript"/>
          <w14:ligatures w14:val="none"/>
        </w:rPr>
        <w:footnoteReference w:id="29"/>
      </w:r>
      <w:r w:rsidRPr="00C639B0">
        <w:rPr>
          <w:rFonts w:cs="Times New Roman"/>
          <w:color w:val="000000" w:themeColor="text1"/>
          <w:kern w:val="0"/>
          <w:szCs w:val="24"/>
          <w14:ligatures w14:val="none"/>
        </w:rPr>
        <w:t xml:space="preserve">  The modified form added questions in the same format as in the Official Form, </w:t>
      </w:r>
      <w:r w:rsidRPr="00C639B0">
        <w:rPr>
          <w:rFonts w:cs="Times New Roman"/>
          <w:i/>
          <w:iCs/>
          <w:color w:val="000000" w:themeColor="text1"/>
          <w:kern w:val="0"/>
          <w:szCs w:val="24"/>
          <w14:ligatures w14:val="none"/>
        </w:rPr>
        <w:t>i.e</w:t>
      </w:r>
      <w:r w:rsidRPr="00C639B0">
        <w:rPr>
          <w:rFonts w:cs="Times New Roman"/>
          <w:color w:val="000000" w:themeColor="text1"/>
          <w:kern w:val="0"/>
          <w:szCs w:val="24"/>
          <w14:ligatures w14:val="none"/>
        </w:rPr>
        <w:t xml:space="preserve">., checkboxes for “yes” or “no” and </w:t>
      </w:r>
      <w:r w:rsidRPr="00C639B0">
        <w:rPr>
          <w:rFonts w:cs="Times New Roman"/>
          <w:color w:val="000000" w:themeColor="text1"/>
          <w:kern w:val="0"/>
          <w:szCs w:val="24"/>
          <w14:ligatures w14:val="none"/>
        </w:rPr>
        <w:lastRenderedPageBreak/>
        <w:t>a menu-of-selections responses. The added questions imposed modest burdens on a creditor and did not apply to any other bankruptcy cases.</w:t>
      </w:r>
      <w:r w:rsidRPr="00C639B0">
        <w:rPr>
          <w:rFonts w:cs="Times New Roman"/>
          <w:color w:val="000000" w:themeColor="text1"/>
          <w:kern w:val="0"/>
          <w:szCs w:val="24"/>
          <w:vertAlign w:val="superscript"/>
          <w14:ligatures w14:val="none"/>
        </w:rPr>
        <w:footnoteReference w:id="30"/>
      </w:r>
    </w:p>
    <w:p w14:paraId="2134B9DE"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The basic information about personal-injury claims will vary in every mass-tort MDL and mass-tort bankruptcy.  But the modifications to the proof-of-claim form approved in the </w:t>
      </w:r>
      <w:r w:rsidRPr="00C639B0">
        <w:rPr>
          <w:rFonts w:cs="Times New Roman"/>
          <w:i/>
          <w:iCs/>
          <w:color w:val="000000" w:themeColor="text1"/>
          <w:kern w:val="0"/>
          <w:szCs w:val="24"/>
          <w14:ligatures w14:val="none"/>
        </w:rPr>
        <w:t>LTL Management</w:t>
      </w:r>
      <w:r w:rsidRPr="00C639B0">
        <w:rPr>
          <w:rFonts w:cs="Times New Roman"/>
          <w:color w:val="000000" w:themeColor="text1"/>
          <w:kern w:val="0"/>
          <w:szCs w:val="24"/>
          <w14:ligatures w14:val="none"/>
        </w:rPr>
        <w:t xml:space="preserve"> bankruptcy as well as the earlier mass-tort bankruptcies provide good models for acceptable modifications, which do not unduly burden the creditor yet provide needed information.   In particular, the parties and court should consider whether a creditor must submit documentation about the extent of exposure and injury or whether a statement acknowledging such documentation exists is sufficient. The experience in mass-tort MDLs regarding claims alleging personal injuries because of defective drugs is instructional.  To screen claims, the PFS may require the plaintiff to submit documentation of the exposure as shown by a prescription or receipt of purchase.</w:t>
      </w:r>
    </w:p>
    <w:p w14:paraId="7ECB3D88" w14:textId="77777777" w:rsidR="00C639B0" w:rsidRPr="00C639B0" w:rsidRDefault="00C639B0" w:rsidP="00C639B0">
      <w:pPr>
        <w:spacing w:after="0" w:line="240" w:lineRule="auto"/>
        <w:ind w:left="720" w:right="720"/>
        <w:jc w:val="both"/>
        <w:rPr>
          <w:rFonts w:cs="Times New Roman"/>
          <w:color w:val="000000" w:themeColor="text1"/>
          <w:kern w:val="0"/>
          <w:szCs w:val="24"/>
          <w14:ligatures w14:val="none"/>
        </w:rPr>
      </w:pPr>
      <w:r w:rsidRPr="00C639B0">
        <w:rPr>
          <w:rFonts w:cs="Times New Roman"/>
          <w:b/>
          <w:bCs/>
          <w:color w:val="000000" w:themeColor="text1"/>
          <w:kern w:val="0"/>
          <w:szCs w:val="24"/>
          <w14:ligatures w14:val="none"/>
        </w:rPr>
        <w:t>Best Practice MDL-§ 15(c):</w:t>
      </w:r>
      <w:r w:rsidRPr="00C639B0">
        <w:rPr>
          <w:b/>
          <w:bCs/>
          <w:color w:val="000000" w:themeColor="text1"/>
          <w:kern w:val="0"/>
          <w:szCs w:val="24"/>
          <w14:ligatures w14:val="none"/>
        </w:rPr>
        <w:t xml:space="preserve"> </w:t>
      </w:r>
      <w:r w:rsidRPr="00C639B0">
        <w:rPr>
          <w:color w:val="000000" w:themeColor="text1"/>
          <w:kern w:val="0"/>
          <w:szCs w:val="24"/>
          <w14:ligatures w14:val="none"/>
        </w:rPr>
        <w:t>The Advisory Committee on Federal Rules of Bankruptcy Procedure should consider</w:t>
      </w:r>
      <w:r w:rsidRPr="00C639B0">
        <w:rPr>
          <w:b/>
          <w:bCs/>
          <w:color w:val="000000" w:themeColor="text1"/>
          <w:kern w:val="0"/>
          <w:szCs w:val="24"/>
          <w14:ligatures w14:val="none"/>
        </w:rPr>
        <w:t xml:space="preserve"> </w:t>
      </w:r>
      <w:r w:rsidRPr="00C639B0">
        <w:rPr>
          <w:color w:val="000000" w:themeColor="text1"/>
          <w:kern w:val="0"/>
          <w:szCs w:val="24"/>
          <w14:ligatures w14:val="none"/>
        </w:rPr>
        <w:t>revising the national instructions to</w:t>
      </w:r>
      <w:r w:rsidRPr="00C639B0">
        <w:rPr>
          <w:rFonts w:cs="Times New Roman"/>
          <w:color w:val="000000" w:themeColor="text1"/>
          <w:kern w:val="0"/>
          <w:szCs w:val="24"/>
          <w14:ligatures w14:val="none"/>
        </w:rPr>
        <w:t xml:space="preserve"> Question 8, Part 2, Official Form 410, and clarify that the creditor should provide basic information about personal-injury claims, including attachments supporting the claim, as required by the court in a mass-tort bankruptcy. Permanent No. MDL-§ 14(b).</w:t>
      </w:r>
    </w:p>
    <w:p w14:paraId="560479F9" w14:textId="77777777" w:rsidR="00C639B0" w:rsidRPr="00C639B0" w:rsidRDefault="00C639B0" w:rsidP="00C639B0">
      <w:pPr>
        <w:spacing w:after="0" w:line="240" w:lineRule="auto"/>
        <w:ind w:left="720" w:right="720"/>
        <w:jc w:val="both"/>
        <w:rPr>
          <w:rFonts w:cs="Times New Roman"/>
          <w:color w:val="000000" w:themeColor="text1"/>
          <w:kern w:val="0"/>
          <w:szCs w:val="24"/>
          <w14:ligatures w14:val="none"/>
        </w:rPr>
      </w:pPr>
    </w:p>
    <w:p w14:paraId="04C83122"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rFonts w:cs="Times New Roman"/>
          <w:color w:val="000000" w:themeColor="text1"/>
          <w:kern w:val="0"/>
          <w:szCs w:val="24"/>
          <w14:ligatures w14:val="none"/>
        </w:rPr>
        <w:t xml:space="preserve">The 2017 amendments to Fed. R. Bk. P. 9009(a) expressly authorized the alteration of an Official Form in accordance with its accompanying National Instructions.   </w:t>
      </w:r>
      <w:r w:rsidRPr="00C639B0">
        <w:rPr>
          <w:color w:val="000000" w:themeColor="text1"/>
          <w:kern w:val="0"/>
          <w:szCs w:val="24"/>
          <w14:ligatures w14:val="none"/>
        </w:rPr>
        <w:t xml:space="preserve">The use of the form’s instructions provides “a more rapid method ... to deal with problems or concerns about the permissible extent of deviations from a form that might come to light.” As noted in the history of the Rule 9009, the Rules Committees can revise an Official Form’s national instructions without seeking approval from the Judicial Conference or the Supreme Court as would be otherwise required for a rule amendment.  </w:t>
      </w:r>
    </w:p>
    <w:p w14:paraId="0F119981"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color w:val="000000" w:themeColor="text1"/>
          <w:kern w:val="0"/>
          <w:szCs w:val="24"/>
          <w14:ligatures w14:val="none"/>
        </w:rPr>
        <w:t xml:space="preserve">Rule 9009(a) anticipates the need for an expedited process to address unanticipated or new developments.  The influx of mass-tort product-liability and other personal-injury bankruptcy cases arising from MDLs is a recent phenomenon, which has caused serious problems for courts trying to determine voting-eligibility rights and develop a reorganization plan based on insufficient information about personal-injury claims.  Although Rule 3001(a) can be read to authorize </w:t>
      </w:r>
      <w:r w:rsidRPr="00C639B0">
        <w:rPr>
          <w:color w:val="000000" w:themeColor="text1"/>
          <w:kern w:val="0"/>
          <w:szCs w:val="24"/>
          <w14:ligatures w14:val="none"/>
        </w:rPr>
        <w:lastRenderedPageBreak/>
        <w:t xml:space="preserve">appropriate revisions to Official Form 410, as these best practices promote, a minor revision to the National Instructions to the form would eliminate any uncertainty. </w:t>
      </w:r>
    </w:p>
    <w:p w14:paraId="313AAD86" w14:textId="77777777" w:rsidR="00C639B0" w:rsidRPr="00C639B0" w:rsidRDefault="00C639B0" w:rsidP="00C639B0">
      <w:pPr>
        <w:spacing w:after="0" w:line="240" w:lineRule="auto"/>
        <w:ind w:left="720" w:right="720"/>
        <w:jc w:val="both"/>
        <w:rPr>
          <w:rFonts w:cs="Times New Roman"/>
          <w:color w:val="000000" w:themeColor="text1"/>
          <w:kern w:val="0"/>
          <w:szCs w:val="24"/>
          <w14:ligatures w14:val="none"/>
        </w:rPr>
      </w:pPr>
      <w:r w:rsidRPr="00C639B0">
        <w:rPr>
          <w:rFonts w:cs="Times New Roman"/>
          <w:b/>
          <w:bCs/>
          <w:color w:val="000000" w:themeColor="text1"/>
          <w:kern w:val="0"/>
          <w:szCs w:val="24"/>
          <w14:ligatures w14:val="none"/>
        </w:rPr>
        <w:t>Best Practice MDL-§ 15(d):</w:t>
      </w:r>
      <w:r w:rsidRPr="00C639B0">
        <w:rPr>
          <w:rFonts w:cs="Times New Roman"/>
          <w:color w:val="000000" w:themeColor="text1"/>
          <w:kern w:val="0"/>
          <w:szCs w:val="24"/>
          <w14:ligatures w14:val="none"/>
        </w:rPr>
        <w:t xml:space="preserve"> If a court handling a mass-tort bankruptcy declines to permit modifications to Official Form 410, it should consider the best alternative means to collect and transmit information describing the individual personal-injury claims. </w:t>
      </w:r>
      <w:r w:rsidRPr="00C639B0">
        <w:rPr>
          <w:color w:val="000000" w:themeColor="text1"/>
          <w:kern w:val="0"/>
          <w:szCs w:val="24"/>
          <w14:ligatures w14:val="none"/>
        </w:rPr>
        <w:t xml:space="preserve">Permanent No. </w:t>
      </w:r>
      <w:r w:rsidRPr="00C639B0">
        <w:rPr>
          <w:rFonts w:cs="Times New Roman"/>
          <w:color w:val="000000" w:themeColor="text1"/>
          <w:kern w:val="0"/>
          <w:szCs w:val="24"/>
          <w14:ligatures w14:val="none"/>
        </w:rPr>
        <w:t xml:space="preserve">MDL-§ 19(b). </w:t>
      </w:r>
    </w:p>
    <w:p w14:paraId="331FC858" w14:textId="77777777" w:rsidR="00C639B0" w:rsidRPr="00C639B0" w:rsidRDefault="00C639B0" w:rsidP="00C639B0">
      <w:pPr>
        <w:spacing w:after="0" w:line="240" w:lineRule="auto"/>
        <w:ind w:left="720" w:right="720"/>
        <w:jc w:val="both"/>
        <w:rPr>
          <w:rFonts w:cs="Times New Roman"/>
          <w:color w:val="000000" w:themeColor="text1"/>
          <w:kern w:val="0"/>
          <w:szCs w:val="24"/>
          <w14:ligatures w14:val="none"/>
        </w:rPr>
      </w:pPr>
    </w:p>
    <w:p w14:paraId="6555A990"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Instead of, or in addition to modifying the proof-of-claim form, a court may approve alternative means to obtain information about personal-injury claims. The information collected by alternative means would not be restricted by the limits imposed under Rule 3001.  </w:t>
      </w:r>
    </w:p>
    <w:p w14:paraId="2256F219"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Courts have required early exchange of information about the factual bases for claims and defenses to facilitate efficient case management under the court’s inherent authority to manage their caseload.  Alternatively, courts in several mass-tort MDLs have ordered that the parties exchange fact sheets, which request more information about personal-injury claims, as “standard interrogatories” under Rule 33.</w:t>
      </w:r>
      <w:r w:rsidRPr="00C639B0">
        <w:rPr>
          <w:rFonts w:cs="Times New Roman"/>
          <w:color w:val="000000" w:themeColor="text1"/>
          <w:kern w:val="0"/>
          <w:szCs w:val="24"/>
          <w:vertAlign w:val="superscript"/>
          <w14:ligatures w14:val="none"/>
        </w:rPr>
        <w:footnoteReference w:id="31"/>
      </w:r>
      <w:r w:rsidRPr="00C639B0">
        <w:rPr>
          <w:rFonts w:cs="Times New Roman"/>
          <w:color w:val="000000" w:themeColor="text1"/>
          <w:kern w:val="0"/>
          <w:szCs w:val="24"/>
          <w14:ligatures w14:val="none"/>
        </w:rPr>
        <w:t xml:space="preserve">  Relying on the discovery rules instead of inherent authority provides some advantages.  Unlike sanctions for failing to comply with orders issued under the court’s inherent authority, which may raise questions about the limits of such authority and procedures, a party failing to comply with “standard interrogatories” is subject to provisions governing sanctions under Rule 37.  The discovery-rule provisions provide clear procedures and sanctions for violations, including dismissal in appropriate circumstances.</w:t>
      </w:r>
    </w:p>
    <w:p w14:paraId="7C927B6D"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Fed. R. Bk. P. 7033 and 7037 authorize a bankruptcy court to exercise the same authority in FED. R. CIV. P. 33 and 37 in adversary proceedings. </w:t>
      </w:r>
    </w:p>
    <w:p w14:paraId="1A95F657" w14:textId="77777777" w:rsidR="00C639B0" w:rsidRPr="00C639B0" w:rsidRDefault="00C639B0" w:rsidP="00C639B0">
      <w:pPr>
        <w:spacing w:after="0" w:line="240" w:lineRule="auto"/>
        <w:ind w:left="720" w:right="720"/>
        <w:jc w:val="both"/>
        <w:rPr>
          <w:color w:val="000000" w:themeColor="text1"/>
          <w:kern w:val="0"/>
          <w:szCs w:val="24"/>
          <w14:ligatures w14:val="none"/>
        </w:rPr>
      </w:pPr>
      <w:r w:rsidRPr="00C639B0">
        <w:rPr>
          <w:b/>
          <w:bCs/>
          <w:color w:val="000000" w:themeColor="text1"/>
          <w:kern w:val="0"/>
          <w:szCs w:val="24"/>
          <w14:ligatures w14:val="none"/>
        </w:rPr>
        <w:t xml:space="preserve">Best Practice MDL-§ 15(e): </w:t>
      </w:r>
      <w:r w:rsidRPr="00C639B0">
        <w:rPr>
          <w:color w:val="000000" w:themeColor="text1"/>
          <w:kern w:val="0"/>
          <w:szCs w:val="24"/>
          <w14:ligatures w14:val="none"/>
        </w:rPr>
        <w:t>The trustee should, and a creditor may,</w:t>
      </w:r>
      <w:r w:rsidRPr="00C639B0">
        <w:rPr>
          <w:b/>
          <w:bCs/>
          <w:color w:val="000000" w:themeColor="text1"/>
          <w:kern w:val="0"/>
          <w:szCs w:val="24"/>
          <w14:ligatures w14:val="none"/>
        </w:rPr>
        <w:t xml:space="preserve"> </w:t>
      </w:r>
      <w:r w:rsidRPr="00C639B0">
        <w:rPr>
          <w:color w:val="000000" w:themeColor="text1"/>
          <w:kern w:val="0"/>
          <w:szCs w:val="24"/>
          <w14:ligatures w14:val="none"/>
        </w:rPr>
        <w:t xml:space="preserve">object to a </w:t>
      </w:r>
      <w:r w:rsidRPr="00C639B0">
        <w:rPr>
          <w:i/>
          <w:iCs/>
          <w:color w:val="000000" w:themeColor="text1"/>
          <w:kern w:val="0"/>
          <w:szCs w:val="24"/>
          <w14:ligatures w14:val="none"/>
        </w:rPr>
        <w:t>parens patriae</w:t>
      </w:r>
      <w:r w:rsidRPr="00C639B0">
        <w:rPr>
          <w:color w:val="000000" w:themeColor="text1"/>
          <w:kern w:val="0"/>
          <w:szCs w:val="24"/>
          <w14:ligatures w14:val="none"/>
        </w:rPr>
        <w:t xml:space="preserve"> claim filed by a local branch of government if it has no power to file such a claim. Permanent No. </w:t>
      </w:r>
      <w:r w:rsidRPr="00C639B0">
        <w:rPr>
          <w:rFonts w:cs="Times New Roman"/>
          <w:color w:val="000000" w:themeColor="text1"/>
          <w:kern w:val="0"/>
          <w:szCs w:val="24"/>
          <w14:ligatures w14:val="none"/>
        </w:rPr>
        <w:t>MDL-§ 19(c).</w:t>
      </w:r>
    </w:p>
    <w:p w14:paraId="06183742" w14:textId="77777777" w:rsidR="00C639B0" w:rsidRPr="00C639B0" w:rsidRDefault="00C639B0" w:rsidP="00C639B0">
      <w:pPr>
        <w:spacing w:after="0" w:line="240" w:lineRule="auto"/>
        <w:ind w:left="720" w:right="720"/>
        <w:rPr>
          <w:rFonts w:cs="Times New Roman"/>
          <w:color w:val="000000" w:themeColor="text1"/>
          <w:kern w:val="0"/>
          <w:szCs w:val="24"/>
          <w14:ligatures w14:val="none"/>
        </w:rPr>
      </w:pPr>
    </w:p>
    <w:p w14:paraId="6A0C95AC" w14:textId="77777777" w:rsidR="00C639B0" w:rsidRPr="00C639B0" w:rsidRDefault="00C639B0" w:rsidP="00C639B0">
      <w:pPr>
        <w:spacing w:after="0" w:line="360" w:lineRule="auto"/>
        <w:ind w:firstLine="720"/>
        <w:jc w:val="both"/>
        <w:rPr>
          <w:rFonts w:cs="Times New Roman"/>
          <w:color w:val="001D35"/>
          <w:kern w:val="0"/>
          <w:szCs w:val="24"/>
          <w:shd w:val="clear" w:color="auto" w:fill="FFFFFF"/>
          <w14:ligatures w14:val="none"/>
        </w:rPr>
      </w:pPr>
      <w:r w:rsidRPr="00C639B0">
        <w:rPr>
          <w:rFonts w:cs="Times New Roman"/>
          <w:color w:val="001D35"/>
          <w:kern w:val="0"/>
          <w:szCs w:val="24"/>
          <w:shd w:val="clear" w:color="auto" w:fill="FFFFFF"/>
          <w14:ligatures w14:val="none"/>
        </w:rPr>
        <w:t xml:space="preserve">Courts uniformly acknowledge a state’s legal right to sue as </w:t>
      </w:r>
      <w:r w:rsidRPr="00C639B0">
        <w:rPr>
          <w:rFonts w:cs="Times New Roman"/>
          <w:i/>
          <w:iCs/>
          <w:color w:val="001D35"/>
          <w:kern w:val="0"/>
          <w:szCs w:val="24"/>
          <w:shd w:val="clear" w:color="auto" w:fill="FFFFFF"/>
          <w14:ligatures w14:val="none"/>
        </w:rPr>
        <w:t>parens patriae</w:t>
      </w:r>
      <w:r w:rsidRPr="00C639B0">
        <w:rPr>
          <w:rFonts w:cs="Times New Roman"/>
          <w:color w:val="001D35"/>
          <w:kern w:val="0"/>
          <w:szCs w:val="24"/>
          <w:shd w:val="clear" w:color="auto" w:fill="FFFFFF"/>
          <w14:ligatures w14:val="none"/>
        </w:rPr>
        <w:t xml:space="preserve"> on behalf of its citizens’ interests.  State attorneys general use </w:t>
      </w:r>
      <w:r w:rsidRPr="00C639B0">
        <w:rPr>
          <w:rFonts w:cs="Times New Roman"/>
          <w:i/>
          <w:iCs/>
          <w:color w:val="001D35"/>
          <w:kern w:val="0"/>
          <w:szCs w:val="24"/>
          <w:shd w:val="clear" w:color="auto" w:fill="FFFFFF"/>
          <w14:ligatures w14:val="none"/>
        </w:rPr>
        <w:t>parens patriae</w:t>
      </w:r>
      <w:r w:rsidRPr="00C639B0">
        <w:rPr>
          <w:rFonts w:cs="Times New Roman"/>
          <w:color w:val="001D35"/>
          <w:kern w:val="0"/>
          <w:szCs w:val="24"/>
          <w:shd w:val="clear" w:color="auto" w:fill="FFFFFF"/>
          <w14:ligatures w14:val="none"/>
        </w:rPr>
        <w:t xml:space="preserve"> standing to obtain monetary relief and damages for wrongs done to the public.</w:t>
      </w:r>
      <w:r w:rsidRPr="00C639B0">
        <w:rPr>
          <w:rFonts w:cs="Times New Roman"/>
          <w:color w:val="001D35"/>
          <w:kern w:val="0"/>
          <w:szCs w:val="24"/>
          <w:shd w:val="clear" w:color="auto" w:fill="FFFFFF"/>
          <w:vertAlign w:val="superscript"/>
          <w14:ligatures w14:val="none"/>
        </w:rPr>
        <w:footnoteReference w:id="32"/>
      </w:r>
      <w:r w:rsidRPr="00C639B0">
        <w:rPr>
          <w:rFonts w:cs="Times New Roman"/>
          <w:color w:val="001D35"/>
          <w:kern w:val="0"/>
          <w:szCs w:val="24"/>
          <w:shd w:val="clear" w:color="auto" w:fill="FFFFFF"/>
          <w14:ligatures w14:val="none"/>
        </w:rPr>
        <w:t xml:space="preserve">  The authority to file such lawsuits is vested in state </w:t>
      </w:r>
      <w:r w:rsidRPr="00C639B0">
        <w:rPr>
          <w:rFonts w:cs="Times New Roman"/>
          <w:color w:val="001D35"/>
          <w:kern w:val="0"/>
          <w:szCs w:val="24"/>
          <w:shd w:val="clear" w:color="auto" w:fill="FFFFFF"/>
          <w14:ligatures w14:val="none"/>
        </w:rPr>
        <w:lastRenderedPageBreak/>
        <w:t xml:space="preserve">attorneys general by their consumer protection statutes, false claims acts, constitutional or judicially developed </w:t>
      </w:r>
      <w:r w:rsidRPr="00C639B0">
        <w:rPr>
          <w:rFonts w:cs="Times New Roman"/>
          <w:i/>
          <w:iCs/>
          <w:color w:val="001D35"/>
          <w:kern w:val="0"/>
          <w:szCs w:val="24"/>
          <w:shd w:val="clear" w:color="auto" w:fill="FFFFFF"/>
          <w14:ligatures w14:val="none"/>
        </w:rPr>
        <w:t>parens patriae</w:t>
      </w:r>
      <w:r w:rsidRPr="00C639B0">
        <w:rPr>
          <w:rFonts w:cs="Times New Roman"/>
          <w:color w:val="001D35"/>
          <w:kern w:val="0"/>
          <w:szCs w:val="24"/>
          <w:shd w:val="clear" w:color="auto" w:fill="FFFFFF"/>
          <w14:ligatures w14:val="none"/>
        </w:rPr>
        <w:t xml:space="preserve"> authority, and other statutory grants of power.</w:t>
      </w:r>
      <w:r w:rsidRPr="00C639B0">
        <w:rPr>
          <w:rFonts w:cs="Times New Roman"/>
          <w:color w:val="001D35"/>
          <w:kern w:val="0"/>
          <w:szCs w:val="24"/>
          <w:shd w:val="clear" w:color="auto" w:fill="FFFFFF"/>
          <w:vertAlign w:val="superscript"/>
          <w14:ligatures w14:val="none"/>
        </w:rPr>
        <w:footnoteReference w:id="33"/>
      </w:r>
      <w:r w:rsidRPr="00C639B0">
        <w:rPr>
          <w:rFonts w:cs="Times New Roman"/>
          <w:color w:val="001D35"/>
          <w:kern w:val="0"/>
          <w:szCs w:val="24"/>
          <w:shd w:val="clear" w:color="auto" w:fill="FFFFFF"/>
          <w14:ligatures w14:val="none"/>
        </w:rPr>
        <w:t xml:space="preserve"> </w:t>
      </w:r>
    </w:p>
    <w:p w14:paraId="7FD6D83F" w14:textId="77777777" w:rsidR="00C639B0" w:rsidRPr="00C639B0" w:rsidRDefault="00C639B0" w:rsidP="00C639B0">
      <w:pPr>
        <w:spacing w:after="0" w:line="360" w:lineRule="auto"/>
        <w:ind w:firstLine="720"/>
        <w:jc w:val="both"/>
        <w:rPr>
          <w:rFonts w:cs="Times New Roman"/>
          <w:color w:val="001D35"/>
          <w:kern w:val="0"/>
          <w:szCs w:val="24"/>
          <w:shd w:val="clear" w:color="auto" w:fill="FFFFFF"/>
          <w14:ligatures w14:val="none"/>
        </w:rPr>
      </w:pPr>
      <w:r w:rsidRPr="00C639B0">
        <w:rPr>
          <w:color w:val="000000" w:themeColor="text1"/>
          <w:kern w:val="0"/>
          <w:szCs w:val="24"/>
          <w14:ligatures w14:val="none"/>
        </w:rPr>
        <w:t>Local branches of government, including c</w:t>
      </w:r>
      <w:r w:rsidRPr="00C639B0">
        <w:rPr>
          <w:rFonts w:cs="Times New Roman"/>
          <w:color w:val="001D35"/>
          <w:kern w:val="0"/>
          <w:szCs w:val="24"/>
          <w:shd w:val="clear" w:color="auto" w:fill="FFFFFF"/>
          <w14:ligatures w14:val="none"/>
        </w:rPr>
        <w:t>ities and counties, are “creatures of the State” and derive their power from the state. Each state is responsible for granting broad or limited authority to local branches of government, including counties, municipalities, school districts, and other political subdivisions. States have adopted: (i) some version of the Dillon Rule,</w:t>
      </w:r>
      <w:r w:rsidRPr="00C639B0">
        <w:rPr>
          <w:rFonts w:cs="Times New Roman"/>
          <w:color w:val="001D35"/>
          <w:kern w:val="0"/>
          <w:szCs w:val="24"/>
          <w:shd w:val="clear" w:color="auto" w:fill="FFFFFF"/>
          <w:vertAlign w:val="superscript"/>
          <w14:ligatures w14:val="none"/>
        </w:rPr>
        <w:footnoteReference w:id="34"/>
      </w:r>
      <w:r w:rsidRPr="00C639B0">
        <w:rPr>
          <w:rFonts w:cs="Times New Roman"/>
          <w:color w:val="001D35"/>
          <w:kern w:val="0"/>
          <w:szCs w:val="24"/>
          <w:shd w:val="clear" w:color="auto" w:fill="FFFFFF"/>
          <w14:ligatures w14:val="none"/>
        </w:rPr>
        <w:t xml:space="preserve"> which limits local branches of government to only those powers expressly granted by the state or fairly implied as well as those that are indispensable; or (ii) some version of Home Rule granted under a state constitutional or statutory provision, which implies separate independent authority.</w:t>
      </w:r>
      <w:r w:rsidRPr="00C639B0">
        <w:rPr>
          <w:rFonts w:cs="Times New Roman"/>
          <w:color w:val="001D35"/>
          <w:kern w:val="0"/>
          <w:szCs w:val="24"/>
          <w:shd w:val="clear" w:color="auto" w:fill="FFFFFF"/>
          <w:vertAlign w:val="superscript"/>
          <w14:ligatures w14:val="none"/>
        </w:rPr>
        <w:footnoteReference w:id="35"/>
      </w:r>
    </w:p>
    <w:p w14:paraId="7032F73F" w14:textId="77777777" w:rsidR="00C639B0" w:rsidRPr="00C639B0" w:rsidRDefault="00C639B0" w:rsidP="00C639B0">
      <w:pPr>
        <w:spacing w:after="0" w:line="360" w:lineRule="auto"/>
        <w:jc w:val="both"/>
        <w:rPr>
          <w:rFonts w:cs="Times New Roman"/>
          <w:color w:val="001D35"/>
          <w:kern w:val="0"/>
          <w:szCs w:val="24"/>
          <w:shd w:val="clear" w:color="auto" w:fill="FFFFFF"/>
          <w14:ligatures w14:val="none"/>
        </w:rPr>
      </w:pPr>
      <w:r w:rsidRPr="00C639B0">
        <w:rPr>
          <w:rFonts w:cs="Times New Roman"/>
          <w:color w:val="001D35"/>
          <w:kern w:val="0"/>
          <w:szCs w:val="24"/>
          <w:shd w:val="clear" w:color="auto" w:fill="FFFFFF"/>
          <w14:ligatures w14:val="none"/>
        </w:rPr>
        <w:tab/>
        <w:t xml:space="preserve">Whether a </w:t>
      </w:r>
      <w:r w:rsidRPr="00C639B0">
        <w:rPr>
          <w:color w:val="000000" w:themeColor="text1"/>
          <w:kern w:val="0"/>
          <w:szCs w:val="24"/>
          <w14:ligatures w14:val="none"/>
        </w:rPr>
        <w:t xml:space="preserve">local branch of government </w:t>
      </w:r>
      <w:r w:rsidRPr="00C639B0">
        <w:rPr>
          <w:rFonts w:cs="Times New Roman"/>
          <w:color w:val="001D35"/>
          <w:kern w:val="0"/>
          <w:szCs w:val="24"/>
          <w:shd w:val="clear" w:color="auto" w:fill="FFFFFF"/>
          <w14:ligatures w14:val="none"/>
        </w:rPr>
        <w:t xml:space="preserve">has standing to file a </w:t>
      </w:r>
      <w:r w:rsidRPr="00C639B0">
        <w:rPr>
          <w:rFonts w:cs="Times New Roman"/>
          <w:i/>
          <w:iCs/>
          <w:color w:val="001D35"/>
          <w:kern w:val="0"/>
          <w:szCs w:val="24"/>
          <w:shd w:val="clear" w:color="auto" w:fill="FFFFFF"/>
          <w14:ligatures w14:val="none"/>
        </w:rPr>
        <w:t>parens patriae</w:t>
      </w:r>
      <w:r w:rsidRPr="00C639B0">
        <w:rPr>
          <w:rFonts w:cs="Times New Roman"/>
          <w:color w:val="001D35"/>
          <w:kern w:val="0"/>
          <w:szCs w:val="24"/>
          <w:shd w:val="clear" w:color="auto" w:fill="FFFFFF"/>
          <w14:ligatures w14:val="none"/>
        </w:rPr>
        <w:t xml:space="preserve"> claim in bankruptcy on behalf of its citizens depends on its grant of power from the state. Because standing is required and affects the court’s power to decide a case, standing issues are jurisdictional.  Standing issues must be addressed whenever raised and should be resolved early in the litigation, though the issue can be raised at any time during the litigation.</w:t>
      </w:r>
      <w:r w:rsidRPr="00C639B0">
        <w:rPr>
          <w:rFonts w:cs="Times New Roman"/>
          <w:color w:val="001D35"/>
          <w:kern w:val="0"/>
          <w:szCs w:val="24"/>
          <w:shd w:val="clear" w:color="auto" w:fill="FFFFFF"/>
          <w:vertAlign w:val="superscript"/>
          <w14:ligatures w14:val="none"/>
        </w:rPr>
        <w:footnoteReference w:id="36"/>
      </w:r>
      <w:r w:rsidRPr="00C639B0">
        <w:rPr>
          <w:rFonts w:cs="Times New Roman"/>
          <w:color w:val="001D35"/>
          <w:kern w:val="0"/>
          <w:szCs w:val="24"/>
          <w:shd w:val="clear" w:color="auto" w:fill="FFFFFF"/>
          <w14:ligatures w14:val="none"/>
        </w:rPr>
        <w:t xml:space="preserve">  Determining whether a </w:t>
      </w:r>
      <w:r w:rsidRPr="00C639B0">
        <w:rPr>
          <w:color w:val="000000" w:themeColor="text1"/>
          <w:kern w:val="0"/>
          <w:szCs w:val="24"/>
          <w14:ligatures w14:val="none"/>
        </w:rPr>
        <w:t xml:space="preserve">local branch of government </w:t>
      </w:r>
      <w:r w:rsidRPr="00C639B0">
        <w:rPr>
          <w:rFonts w:cs="Times New Roman"/>
          <w:color w:val="001D35"/>
          <w:kern w:val="0"/>
          <w:szCs w:val="24"/>
          <w:shd w:val="clear" w:color="auto" w:fill="FFFFFF"/>
          <w14:ligatures w14:val="none"/>
        </w:rPr>
        <w:t xml:space="preserve">has standing to file a </w:t>
      </w:r>
      <w:r w:rsidRPr="00C639B0">
        <w:rPr>
          <w:rFonts w:cs="Times New Roman"/>
          <w:i/>
          <w:iCs/>
          <w:color w:val="001D35"/>
          <w:kern w:val="0"/>
          <w:szCs w:val="24"/>
          <w:shd w:val="clear" w:color="auto" w:fill="FFFFFF"/>
          <w14:ligatures w14:val="none"/>
        </w:rPr>
        <w:t>parens patriae</w:t>
      </w:r>
      <w:r w:rsidRPr="00C639B0">
        <w:rPr>
          <w:rFonts w:cs="Times New Roman"/>
          <w:color w:val="001D35"/>
          <w:kern w:val="0"/>
          <w:szCs w:val="24"/>
          <w:shd w:val="clear" w:color="auto" w:fill="FFFFFF"/>
          <w14:ligatures w14:val="none"/>
        </w:rPr>
        <w:t xml:space="preserve"> claim in bankruptcy requires analysis of the pertinent state law and caselaw, which often are not well defined and open to conflicting interpretations.  Although the role of a local political subdivision when it files a proof of claim is usually self-evident, the proof of claim should clearly indicate that the filing is on behalf of its citizens, so that the notice can be easily recognized by the respective state attorney general’s office for appropriate action, if any.</w:t>
      </w:r>
      <w:r w:rsidRPr="00C639B0">
        <w:rPr>
          <w:rFonts w:cs="Times New Roman"/>
          <w:color w:val="001D35"/>
          <w:kern w:val="0"/>
          <w:szCs w:val="24"/>
          <w:shd w:val="clear" w:color="auto" w:fill="FFFFFF"/>
          <w:vertAlign w:val="superscript"/>
          <w14:ligatures w14:val="none"/>
        </w:rPr>
        <w:footnoteReference w:id="37"/>
      </w:r>
      <w:r w:rsidRPr="00C639B0">
        <w:rPr>
          <w:rFonts w:cs="Times New Roman"/>
          <w:color w:val="001D35"/>
          <w:kern w:val="0"/>
          <w:szCs w:val="24"/>
          <w:shd w:val="clear" w:color="auto" w:fill="FFFFFF"/>
          <w14:ligatures w14:val="none"/>
        </w:rPr>
        <w:t xml:space="preserve"> For good reasons, the court should be open to considering a request from the state attorney general’s office to add a checkbox on the proof-of-claim form indicating that the local political subdivision is filing  a </w:t>
      </w:r>
      <w:r w:rsidRPr="00C639B0">
        <w:rPr>
          <w:rFonts w:cs="Times New Roman"/>
          <w:i/>
          <w:iCs/>
          <w:color w:val="001D35"/>
          <w:kern w:val="0"/>
          <w:szCs w:val="24"/>
          <w:shd w:val="clear" w:color="auto" w:fill="FFFFFF"/>
          <w14:ligatures w14:val="none"/>
        </w:rPr>
        <w:t>parens patriae</w:t>
      </w:r>
      <w:r w:rsidRPr="00C639B0">
        <w:rPr>
          <w:rFonts w:cs="Times New Roman"/>
          <w:color w:val="001D35"/>
          <w:kern w:val="0"/>
          <w:szCs w:val="24"/>
          <w:shd w:val="clear" w:color="auto" w:fill="FFFFFF"/>
          <w14:ligatures w14:val="none"/>
        </w:rPr>
        <w:t xml:space="preserve"> claim. </w:t>
      </w:r>
    </w:p>
    <w:p w14:paraId="6E443095" w14:textId="77777777" w:rsidR="00C639B0" w:rsidRPr="00C639B0" w:rsidRDefault="00C639B0" w:rsidP="00C639B0">
      <w:pPr>
        <w:spacing w:after="0" w:line="360" w:lineRule="auto"/>
        <w:ind w:firstLine="720"/>
        <w:jc w:val="both"/>
        <w:rPr>
          <w:rFonts w:cs="Times New Roman"/>
          <w:color w:val="001D35"/>
          <w:kern w:val="0"/>
          <w:szCs w:val="24"/>
          <w:shd w:val="clear" w:color="auto" w:fill="FFFFFF"/>
          <w14:ligatures w14:val="none"/>
        </w:rPr>
      </w:pPr>
      <w:r w:rsidRPr="00C639B0">
        <w:rPr>
          <w:rFonts w:cs="Times New Roman"/>
          <w:color w:val="001D35"/>
          <w:kern w:val="0"/>
          <w:szCs w:val="24"/>
          <w:shd w:val="clear" w:color="auto" w:fill="FFFFFF"/>
          <w14:ligatures w14:val="none"/>
        </w:rPr>
        <w:lastRenderedPageBreak/>
        <w:t xml:space="preserve">The trustee should, and a creditor may, object to a </w:t>
      </w:r>
      <w:r w:rsidRPr="00C639B0">
        <w:rPr>
          <w:rFonts w:cs="Times New Roman"/>
          <w:i/>
          <w:iCs/>
          <w:color w:val="001D35"/>
          <w:kern w:val="0"/>
          <w:szCs w:val="24"/>
          <w:shd w:val="clear" w:color="auto" w:fill="FFFFFF"/>
          <w14:ligatures w14:val="none"/>
        </w:rPr>
        <w:t>parens patriae</w:t>
      </w:r>
      <w:r w:rsidRPr="00C639B0">
        <w:rPr>
          <w:rFonts w:cs="Times New Roman"/>
          <w:color w:val="001D35"/>
          <w:kern w:val="0"/>
          <w:szCs w:val="24"/>
          <w:shd w:val="clear" w:color="auto" w:fill="FFFFFF"/>
          <w14:ligatures w14:val="none"/>
        </w:rPr>
        <w:t xml:space="preserve"> claim filed by a </w:t>
      </w:r>
      <w:r w:rsidRPr="00C639B0">
        <w:rPr>
          <w:color w:val="000000" w:themeColor="text1"/>
          <w:kern w:val="0"/>
          <w:szCs w:val="24"/>
          <w14:ligatures w14:val="none"/>
        </w:rPr>
        <w:t xml:space="preserve">local branch of government </w:t>
      </w:r>
      <w:r w:rsidRPr="00C639B0">
        <w:rPr>
          <w:rFonts w:cs="Times New Roman"/>
          <w:color w:val="001D35"/>
          <w:kern w:val="0"/>
          <w:szCs w:val="24"/>
          <w:shd w:val="clear" w:color="auto" w:fill="FFFFFF"/>
          <w14:ligatures w14:val="none"/>
        </w:rPr>
        <w:t xml:space="preserve">on standing grounds, disputing its authority.  Fed. R. Bk. P. 3007 implements the Bankruptcy Code’s governing provisions and indicates a clear preference for the trustee to assume the responsibility to make the objection, explaining that: </w:t>
      </w:r>
    </w:p>
    <w:p w14:paraId="4908B858" w14:textId="77777777" w:rsidR="00C639B0" w:rsidRPr="00C639B0" w:rsidRDefault="00C639B0" w:rsidP="00C639B0">
      <w:pPr>
        <w:spacing w:after="0" w:line="240" w:lineRule="auto"/>
        <w:ind w:left="720" w:right="720"/>
        <w:jc w:val="both"/>
        <w:rPr>
          <w:rFonts w:cs="Times New Roman"/>
          <w:color w:val="001D35"/>
          <w:kern w:val="0"/>
          <w:szCs w:val="24"/>
          <w:shd w:val="clear" w:color="auto" w:fill="FFFFFF"/>
          <w14:ligatures w14:val="none"/>
        </w:rPr>
      </w:pPr>
      <w:r w:rsidRPr="00C639B0">
        <w:rPr>
          <w:rFonts w:cs="Times New Roman"/>
          <w:color w:val="001D35"/>
          <w:kern w:val="0"/>
          <w:szCs w:val="24"/>
          <w:shd w:val="clear" w:color="auto" w:fill="FFFFFF"/>
          <w14:ligatures w14:val="none"/>
        </w:rPr>
        <w:t>While the debtor’s other creditors may make objections to the allowance of a claim, the demands of orderly and expeditious administration have led to a recognition that the right to object is generally exercised by the trustee.  Pursuant to § 502(a) of the Code, however, any party in interest may object to a claim.  But under § 704 the trustee, if any purpose would be served thereby, has the duty to examine proofs of claim and object to improper claims.</w:t>
      </w:r>
      <w:r w:rsidRPr="00C639B0">
        <w:rPr>
          <w:rFonts w:cs="Times New Roman"/>
          <w:color w:val="001D35"/>
          <w:kern w:val="0"/>
          <w:szCs w:val="24"/>
          <w:shd w:val="clear" w:color="auto" w:fill="FFFFFF"/>
          <w:vertAlign w:val="superscript"/>
          <w14:ligatures w14:val="none"/>
        </w:rPr>
        <w:footnoteReference w:id="38"/>
      </w:r>
      <w:r w:rsidRPr="00C639B0">
        <w:rPr>
          <w:rFonts w:cs="Times New Roman"/>
          <w:color w:val="001D35"/>
          <w:kern w:val="0"/>
          <w:szCs w:val="24"/>
          <w:shd w:val="clear" w:color="auto" w:fill="FFFFFF"/>
          <w14:ligatures w14:val="none"/>
        </w:rPr>
        <w:t xml:space="preserve">  </w:t>
      </w:r>
    </w:p>
    <w:p w14:paraId="6E94D751"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p>
    <w:p w14:paraId="5F1525FA" w14:textId="77777777" w:rsidR="00C639B0" w:rsidRPr="00C639B0" w:rsidRDefault="00C639B0" w:rsidP="00C639B0">
      <w:pPr>
        <w:spacing w:after="0" w:line="240" w:lineRule="auto"/>
        <w:jc w:val="both"/>
        <w:rPr>
          <w:rFonts w:cs="Times New Roman"/>
          <w:color w:val="000000" w:themeColor="text1"/>
          <w:kern w:val="0"/>
          <w:szCs w:val="24"/>
          <w14:ligatures w14:val="none"/>
        </w:rPr>
      </w:pPr>
      <w:r w:rsidRPr="00C639B0">
        <w:rPr>
          <w:rFonts w:cs="Times New Roman"/>
          <w:b/>
          <w:bCs/>
          <w:color w:val="000000" w:themeColor="text1"/>
          <w:kern w:val="0"/>
          <w:szCs w:val="24"/>
          <w:u w:val="single"/>
          <w14:ligatures w14:val="none"/>
        </w:rPr>
        <w:t>GUIDELINE MDL-§ 16:</w:t>
      </w:r>
      <w:r w:rsidRPr="00C639B0">
        <w:rPr>
          <w:rFonts w:cs="Times New Roman"/>
          <w:color w:val="000000" w:themeColor="text1"/>
          <w:kern w:val="0"/>
          <w:szCs w:val="24"/>
          <w14:ligatures w14:val="none"/>
        </w:rPr>
        <w:t xml:space="preserve"> A bankruptcy court’s authority to appoint a neutral to assist it manage a mass-tort bankruptcy is limited.</w:t>
      </w:r>
      <w:r w:rsidRPr="00C639B0">
        <w:rPr>
          <w:color w:val="000000" w:themeColor="text1"/>
          <w:kern w:val="0"/>
          <w:szCs w:val="24"/>
          <w14:ligatures w14:val="none"/>
        </w:rPr>
        <w:t xml:space="preserve"> Permanent No. </w:t>
      </w:r>
      <w:r w:rsidRPr="00C639B0">
        <w:rPr>
          <w:rFonts w:cs="Times New Roman"/>
          <w:color w:val="000000" w:themeColor="text1"/>
          <w:kern w:val="0"/>
          <w:szCs w:val="24"/>
          <w14:ligatures w14:val="none"/>
        </w:rPr>
        <w:t>MDL-§ 20.</w:t>
      </w:r>
    </w:p>
    <w:p w14:paraId="495EC2DC"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p>
    <w:p w14:paraId="53663FFF"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A bankruptcy court can appoint a mediator and a Rule 706 expert, and can approve the appointment of a trustee or an examiner by the United States trustee under the Bankruptcy Code and rules.</w:t>
      </w:r>
      <w:r w:rsidRPr="00C639B0">
        <w:rPr>
          <w:rFonts w:cs="Times New Roman"/>
          <w:color w:val="000000" w:themeColor="text1"/>
          <w:kern w:val="0"/>
          <w:szCs w:val="24"/>
          <w:vertAlign w:val="superscript"/>
          <w14:ligatures w14:val="none"/>
        </w:rPr>
        <w:footnoteReference w:id="39"/>
      </w:r>
      <w:r w:rsidRPr="00C639B0">
        <w:rPr>
          <w:rFonts w:cs="Times New Roman"/>
          <w:color w:val="000000" w:themeColor="text1"/>
          <w:kern w:val="0"/>
          <w:szCs w:val="24"/>
          <w14:ligatures w14:val="none"/>
        </w:rPr>
        <w:t xml:space="preserve"> But these options have inherent limitations and often incur substantial costs.</w:t>
      </w:r>
      <w:r w:rsidRPr="00C639B0">
        <w:rPr>
          <w:rFonts w:cs="Times New Roman"/>
          <w:color w:val="000000" w:themeColor="text1"/>
          <w:kern w:val="0"/>
          <w:szCs w:val="24"/>
          <w:vertAlign w:val="superscript"/>
          <w14:ligatures w14:val="none"/>
        </w:rPr>
        <w:footnoteReference w:id="40"/>
      </w:r>
      <w:r w:rsidRPr="00C639B0">
        <w:rPr>
          <w:rFonts w:cs="Times New Roman"/>
          <w:color w:val="000000" w:themeColor="text1"/>
          <w:kern w:val="0"/>
          <w:szCs w:val="24"/>
          <w14:ligatures w14:val="none"/>
        </w:rPr>
        <w:t xml:space="preserve"> Unlike a district court, which can appoint a special master to handle a wide range of duties in a civil action to assist in case management, a bankruptcy court is not authorized to appoint a special master under Fed. R. Bk. P. 9031 in a bankruptcy case or proceeding.  As a result, bankruptcy courts have relied on their inherent authority to appoint neutrals,</w:t>
      </w:r>
      <w:r w:rsidRPr="00C639B0">
        <w:rPr>
          <w:rFonts w:cs="Times New Roman"/>
          <w:color w:val="000000" w:themeColor="text1"/>
          <w:kern w:val="0"/>
          <w:szCs w:val="24"/>
          <w:vertAlign w:val="superscript"/>
          <w14:ligatures w14:val="none"/>
        </w:rPr>
        <w:footnoteReference w:id="41"/>
      </w:r>
      <w:r w:rsidRPr="00C639B0">
        <w:rPr>
          <w:rFonts w:cs="Times New Roman"/>
          <w:color w:val="000000" w:themeColor="text1"/>
          <w:kern w:val="0"/>
          <w:szCs w:val="24"/>
          <w14:ligatures w14:val="none"/>
        </w:rPr>
        <w:t xml:space="preserve"> who provide assistance similar to the assistance provided by a special master.   </w:t>
      </w:r>
    </w:p>
    <w:p w14:paraId="14B1FDD2"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lastRenderedPageBreak/>
        <w:t>FED. R. CIV. P. 53, which governs the appointment of a special master in a civil action, was comprehensively revised in 2003, many years after Fed. R. Bk. P. 9031 was last substantively amended.</w:t>
      </w:r>
      <w:r w:rsidRPr="00C639B0">
        <w:rPr>
          <w:rFonts w:cs="Times New Roman"/>
          <w:color w:val="000000" w:themeColor="text1"/>
          <w:kern w:val="0"/>
          <w:szCs w:val="24"/>
          <w:vertAlign w:val="superscript"/>
          <w14:ligatures w14:val="none"/>
        </w:rPr>
        <w:t xml:space="preserve"> </w:t>
      </w:r>
      <w:r w:rsidRPr="00C639B0">
        <w:rPr>
          <w:rFonts w:cs="Times New Roman"/>
          <w:color w:val="000000" w:themeColor="text1"/>
          <w:kern w:val="0"/>
          <w:szCs w:val="24"/>
          <w:vertAlign w:val="superscript"/>
          <w14:ligatures w14:val="none"/>
        </w:rPr>
        <w:footnoteReference w:id="42"/>
      </w:r>
      <w:r w:rsidRPr="00C639B0">
        <w:rPr>
          <w:rFonts w:cs="Times New Roman"/>
          <w:color w:val="000000" w:themeColor="text1"/>
          <w:kern w:val="0"/>
          <w:szCs w:val="24"/>
          <w14:ligatures w14:val="none"/>
        </w:rPr>
        <w:t xml:space="preserve">  The amendments updated Rule 53 to reflect contemporaneous practices of district courts, which expanded the duties assigned to masters. The range of assistance from masters was recognized and highlighted in an earlier draft of the Committee Note to Rule 53, which relates to bankruptcy cases with equal strength:</w:t>
      </w:r>
    </w:p>
    <w:p w14:paraId="0B630F26" w14:textId="77777777" w:rsidR="00C639B0" w:rsidRPr="00C639B0" w:rsidRDefault="00C639B0" w:rsidP="00C639B0">
      <w:pPr>
        <w:spacing w:after="0" w:line="240" w:lineRule="auto"/>
        <w:ind w:left="720" w:right="720"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[T]he demands of complex litigation may present needs that can be addressed only with appointment of a special master.  Some cases may require more attention than a judge can devote while attending to the needs of other cases, and the most demanding cases may require more than the full time of a single judicial officer.  Other cases may call for expert knowledge in a particular subject.  The entrenched and legitimate concern that appointment of a special master may engender delay and added expense must be balanced against recognition that an appropriate appointment can reduce costs and delay.  Recognition of the essential help that a master can provide is reflected in the wide variety of responsibilities that have been assigned to pretrial masters.  Settlement masters are used to mediate or otherwise facilitate settlement. Masters are used to supervise discovery, particularly when the parties have been unable to manage discovery as they should or when it is necessary to deal with claims that thousands of documents are protected by privilege, work product, or protective order. In special circumstances, a master may be asked to conduct preliminary pretrial conferences; a pretrial conference directed to shaping the trial should be conducted by the officer who will preside at the trial.  Masters may be used to hear and either decide or make recommendations on pretrial motions.  More general pretrial management duties may be assigned as well.</w:t>
      </w:r>
      <w:r w:rsidRPr="00C639B0">
        <w:rPr>
          <w:rFonts w:cs="Times New Roman"/>
          <w:color w:val="000000" w:themeColor="text1"/>
          <w:kern w:val="0"/>
          <w:szCs w:val="24"/>
          <w:vertAlign w:val="superscript"/>
          <w14:ligatures w14:val="none"/>
        </w:rPr>
        <w:footnoteReference w:id="43"/>
      </w:r>
    </w:p>
    <w:p w14:paraId="7248DE92"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p>
    <w:p w14:paraId="708F88F6"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Amended Rule 53 contains many safeguards and procedures that protect the court, lawyers, and the special master, which were developed after a particularly rigorous rulemaking process.</w:t>
      </w:r>
      <w:r w:rsidRPr="00C639B0">
        <w:rPr>
          <w:rFonts w:cs="Times New Roman"/>
          <w:color w:val="000000" w:themeColor="text1"/>
          <w:kern w:val="0"/>
          <w:szCs w:val="24"/>
          <w:vertAlign w:val="superscript"/>
          <w14:ligatures w14:val="none"/>
        </w:rPr>
        <w:footnoteReference w:id="44"/>
      </w:r>
      <w:r w:rsidRPr="00C639B0">
        <w:rPr>
          <w:rFonts w:cs="Times New Roman"/>
          <w:color w:val="000000" w:themeColor="text1"/>
          <w:kern w:val="0"/>
          <w:szCs w:val="24"/>
          <w14:ligatures w14:val="none"/>
        </w:rPr>
        <w:t xml:space="preserve">  Bankruptcy courts have appointed neutrals on ad hoc basis without the benefit of a rule that </w:t>
      </w:r>
      <w:r w:rsidRPr="00C639B0">
        <w:rPr>
          <w:rFonts w:cs="Times New Roman"/>
          <w:color w:val="000000" w:themeColor="text1"/>
          <w:kern w:val="0"/>
          <w:szCs w:val="24"/>
          <w14:ligatures w14:val="none"/>
        </w:rPr>
        <w:lastRenderedPageBreak/>
        <w:t xml:space="preserve">provides uniform practices and procedures. The lack of official guidance increases the risk that ad hoc procedures in bankruptcy cases and proceedings may not include safeguards and protections for the appointment of a neutral that were determined to be important in civil actions. </w:t>
      </w:r>
    </w:p>
    <w:p w14:paraId="4D86445F" w14:textId="77777777" w:rsidR="00C639B0" w:rsidRPr="00C639B0" w:rsidRDefault="00C639B0" w:rsidP="00C639B0">
      <w:pPr>
        <w:spacing w:after="0" w:line="240" w:lineRule="auto"/>
        <w:ind w:left="720" w:right="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 </w:t>
      </w:r>
      <w:r w:rsidRPr="00C639B0">
        <w:rPr>
          <w:rFonts w:cs="Times New Roman"/>
          <w:b/>
          <w:bCs/>
          <w:color w:val="000000" w:themeColor="text1"/>
          <w:kern w:val="0"/>
          <w:szCs w:val="24"/>
          <w14:ligatures w14:val="none"/>
        </w:rPr>
        <w:t>Best Practice MDL-§ 16(a):</w:t>
      </w:r>
      <w:r w:rsidRPr="00C639B0">
        <w:rPr>
          <w:b/>
          <w:bCs/>
          <w:color w:val="000000" w:themeColor="text1"/>
          <w:kern w:val="0"/>
          <w:szCs w:val="24"/>
          <w14:ligatures w14:val="none"/>
        </w:rPr>
        <w:t xml:space="preserve"> </w:t>
      </w:r>
      <w:r w:rsidRPr="00C639B0">
        <w:rPr>
          <w:color w:val="000000" w:themeColor="text1"/>
          <w:kern w:val="0"/>
          <w:szCs w:val="24"/>
          <w14:ligatures w14:val="none"/>
        </w:rPr>
        <w:t>W</w:t>
      </w:r>
      <w:r w:rsidRPr="00C639B0">
        <w:rPr>
          <w:rFonts w:cs="Times New Roman"/>
          <w:color w:val="000000" w:themeColor="text1"/>
          <w:kern w:val="0"/>
          <w:szCs w:val="24"/>
          <w14:ligatures w14:val="none"/>
        </w:rPr>
        <w:t>hen appointing a neutral under its inherent authority or under its authority to govern discovery, a bankruptcy court should adopt the safeguards and procedures  of FED. R. CIV. P. 53, which governs the appointment of a special master in a civil action, with appropriate revisions consistent with the rule and the circumstances of the bankruptcy case or proceeding.</w:t>
      </w:r>
      <w:r w:rsidRPr="00C639B0">
        <w:rPr>
          <w:rFonts w:cs="Times New Roman"/>
          <w:color w:val="000000" w:themeColor="text1"/>
          <w:kern w:val="0"/>
          <w:szCs w:val="24"/>
          <w:vertAlign w:val="superscript"/>
          <w14:ligatures w14:val="none"/>
        </w:rPr>
        <w:footnoteReference w:id="45"/>
      </w:r>
      <w:r w:rsidRPr="00C639B0">
        <w:rPr>
          <w:rFonts w:cs="Times New Roman"/>
          <w:color w:val="000000" w:themeColor="text1"/>
          <w:kern w:val="0"/>
          <w:szCs w:val="24"/>
          <w14:ligatures w14:val="none"/>
        </w:rPr>
        <w:t xml:space="preserve"> </w:t>
      </w:r>
      <w:r w:rsidRPr="00C639B0">
        <w:rPr>
          <w:color w:val="000000" w:themeColor="text1"/>
          <w:kern w:val="0"/>
          <w:szCs w:val="24"/>
          <w14:ligatures w14:val="none"/>
        </w:rPr>
        <w:t xml:space="preserve">Permanent No. </w:t>
      </w:r>
      <w:r w:rsidRPr="00C639B0">
        <w:rPr>
          <w:rFonts w:cs="Times New Roman"/>
          <w:color w:val="000000" w:themeColor="text1"/>
          <w:kern w:val="0"/>
          <w:szCs w:val="24"/>
          <w14:ligatures w14:val="none"/>
        </w:rPr>
        <w:t>MDL-§ 20(a).</w:t>
      </w:r>
    </w:p>
    <w:p w14:paraId="32F9C5DB"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p>
    <w:p w14:paraId="33283821" w14:textId="77777777" w:rsidR="00C639B0" w:rsidRPr="00C639B0" w:rsidRDefault="00C639B0" w:rsidP="00C639B0">
      <w:pPr>
        <w:spacing w:after="0"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 In 2024, the Advisory Committee on Bankruptcy Rules began considering proposed amendments to Fed. R. Bk. P. 9031, which would permit a bankruptcy court to appoint a special master in a bankruptcy action in accordance with the provisions of Rule 53.</w:t>
      </w:r>
      <w:r w:rsidRPr="00C639B0">
        <w:rPr>
          <w:rFonts w:cs="Times New Roman"/>
          <w:color w:val="000000" w:themeColor="text1"/>
          <w:kern w:val="0"/>
          <w:szCs w:val="24"/>
          <w:vertAlign w:val="superscript"/>
          <w14:ligatures w14:val="none"/>
        </w:rPr>
        <w:footnoteReference w:id="46"/>
      </w:r>
      <w:r w:rsidRPr="00C639B0">
        <w:rPr>
          <w:rFonts w:cs="Times New Roman"/>
          <w:color w:val="000000" w:themeColor="text1"/>
          <w:kern w:val="0"/>
          <w:szCs w:val="24"/>
          <w14:ligatures w14:val="none"/>
        </w:rPr>
        <w:t xml:space="preserve">  Until the rule is amended, a bankruptcy court should, under its inherent authority, incorporate the protections and procedures in FED. R. CIV. P. 53 when it appoints a neutral.</w:t>
      </w:r>
      <w:r w:rsidRPr="00C639B0">
        <w:rPr>
          <w:rFonts w:cs="Times New Roman"/>
          <w:color w:val="000000" w:themeColor="text1"/>
          <w:kern w:val="0"/>
          <w:szCs w:val="24"/>
          <w:vertAlign w:val="superscript"/>
          <w14:ligatures w14:val="none"/>
        </w:rPr>
        <w:footnoteReference w:id="47"/>
      </w:r>
      <w:r w:rsidRPr="00C639B0">
        <w:rPr>
          <w:rFonts w:cs="Times New Roman"/>
          <w:color w:val="000000" w:themeColor="text1"/>
          <w:kern w:val="0"/>
          <w:szCs w:val="24"/>
          <w14:ligatures w14:val="none"/>
        </w:rPr>
        <w:t xml:space="preserve">  The order appointing the neutral should address the following Rule 53 provisions:</w:t>
      </w:r>
    </w:p>
    <w:p w14:paraId="28FE0E1A" w14:textId="77777777" w:rsidR="00C639B0" w:rsidRPr="00C639B0" w:rsidRDefault="00C639B0" w:rsidP="00C639B0">
      <w:pPr>
        <w:numPr>
          <w:ilvl w:val="0"/>
          <w:numId w:val="1"/>
        </w:numPr>
        <w:spacing w:after="0" w:line="360" w:lineRule="auto"/>
        <w:ind w:left="1505"/>
        <w:contextualSpacing/>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Scope of Authority – delineation of duties assigned to the master, including any investigation or enforcement duties and any limits on the master’s authority;</w:t>
      </w:r>
      <w:r w:rsidRPr="00C639B0">
        <w:rPr>
          <w:rFonts w:cs="Times New Roman"/>
          <w:color w:val="000000" w:themeColor="text1"/>
          <w:kern w:val="0"/>
          <w:szCs w:val="24"/>
          <w:vertAlign w:val="superscript"/>
          <w14:ligatures w14:val="none"/>
        </w:rPr>
        <w:footnoteReference w:id="48"/>
      </w:r>
    </w:p>
    <w:p w14:paraId="356FB331" w14:textId="77777777" w:rsidR="00C639B0" w:rsidRPr="00C639B0" w:rsidRDefault="00C639B0" w:rsidP="00C639B0">
      <w:pPr>
        <w:numPr>
          <w:ilvl w:val="0"/>
          <w:numId w:val="1"/>
        </w:numPr>
        <w:spacing w:after="0" w:line="360" w:lineRule="auto"/>
        <w:ind w:left="1505"/>
        <w:contextualSpacing/>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Eligibility Requirements – disqualification if based on relationship to the parties, attorneys, action, or court as required under 28 U.S.C.§ 455;</w:t>
      </w:r>
      <w:r w:rsidRPr="00C639B0">
        <w:rPr>
          <w:rFonts w:cs="Times New Roman"/>
          <w:color w:val="000000" w:themeColor="text1"/>
          <w:kern w:val="0"/>
          <w:szCs w:val="24"/>
          <w:vertAlign w:val="superscript"/>
          <w14:ligatures w14:val="none"/>
        </w:rPr>
        <w:footnoteReference w:id="49"/>
      </w:r>
    </w:p>
    <w:p w14:paraId="193A3E0A" w14:textId="77777777" w:rsidR="00C639B0" w:rsidRPr="00C639B0" w:rsidRDefault="00C639B0" w:rsidP="00C639B0">
      <w:pPr>
        <w:numPr>
          <w:ilvl w:val="0"/>
          <w:numId w:val="1"/>
        </w:numPr>
        <w:spacing w:after="0" w:line="360" w:lineRule="auto"/>
        <w:ind w:left="1505"/>
        <w:contextualSpacing/>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Notice of Proposed Appointment – “court must give the parties notice and an opportunity to be heard” on the proposed appointment;</w:t>
      </w:r>
      <w:r w:rsidRPr="00C639B0">
        <w:rPr>
          <w:rFonts w:cs="Times New Roman"/>
          <w:color w:val="000000" w:themeColor="text1"/>
          <w:kern w:val="0"/>
          <w:szCs w:val="24"/>
          <w:vertAlign w:val="superscript"/>
          <w14:ligatures w14:val="none"/>
        </w:rPr>
        <w:footnoteReference w:id="50"/>
      </w:r>
    </w:p>
    <w:p w14:paraId="6A6AB3F0" w14:textId="77777777" w:rsidR="00C639B0" w:rsidRPr="00C639B0" w:rsidRDefault="00C639B0" w:rsidP="00C639B0">
      <w:pPr>
        <w:numPr>
          <w:ilvl w:val="0"/>
          <w:numId w:val="1"/>
        </w:numPr>
        <w:spacing w:after="0" w:line="360" w:lineRule="auto"/>
        <w:ind w:left="1505"/>
        <w:contextualSpacing/>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lastRenderedPageBreak/>
        <w:t>Parties May Suggest Candidates – any party may suggest a candidate for appointment;</w:t>
      </w:r>
      <w:r w:rsidRPr="00C639B0">
        <w:rPr>
          <w:rFonts w:cs="Times New Roman"/>
          <w:color w:val="000000" w:themeColor="text1"/>
          <w:kern w:val="0"/>
          <w:szCs w:val="24"/>
          <w:vertAlign w:val="superscript"/>
          <w14:ligatures w14:val="none"/>
        </w:rPr>
        <w:footnoteReference w:id="51"/>
      </w:r>
    </w:p>
    <w:p w14:paraId="1A85E1C5" w14:textId="77777777" w:rsidR="00C639B0" w:rsidRPr="00C639B0" w:rsidRDefault="00C639B0" w:rsidP="00C639B0">
      <w:pPr>
        <w:numPr>
          <w:ilvl w:val="0"/>
          <w:numId w:val="1"/>
        </w:numPr>
        <w:spacing w:after="0" w:line="360" w:lineRule="auto"/>
        <w:ind w:left="1505"/>
        <w:contextualSpacing/>
        <w:jc w:val="both"/>
        <w:rPr>
          <w:rFonts w:cs="Times New Roman"/>
          <w:color w:val="000000" w:themeColor="text1"/>
          <w:kern w:val="0"/>
          <w:szCs w:val="24"/>
          <w14:ligatures w14:val="none"/>
        </w:rPr>
      </w:pPr>
      <w:r w:rsidRPr="00C639B0">
        <w:rPr>
          <w:rFonts w:cs="Times New Roman"/>
          <w:i/>
          <w:iCs/>
          <w:color w:val="000000" w:themeColor="text1"/>
          <w:kern w:val="0"/>
          <w:szCs w:val="24"/>
          <w14:ligatures w14:val="none"/>
        </w:rPr>
        <w:t>Ex Parte</w:t>
      </w:r>
      <w:r w:rsidRPr="00C639B0">
        <w:rPr>
          <w:rFonts w:cs="Times New Roman"/>
          <w:color w:val="000000" w:themeColor="text1"/>
          <w:kern w:val="0"/>
          <w:szCs w:val="24"/>
          <w14:ligatures w14:val="none"/>
        </w:rPr>
        <w:t xml:space="preserve"> Communications – “circumstances, if any, in which the master may communicate </w:t>
      </w:r>
      <w:r w:rsidRPr="00C639B0">
        <w:rPr>
          <w:rFonts w:cs="Times New Roman"/>
          <w:i/>
          <w:iCs/>
          <w:color w:val="000000" w:themeColor="text1"/>
          <w:kern w:val="0"/>
          <w:szCs w:val="24"/>
          <w14:ligatures w14:val="none"/>
        </w:rPr>
        <w:t>ex parte</w:t>
      </w:r>
      <w:r w:rsidRPr="00C639B0">
        <w:rPr>
          <w:rFonts w:cs="Times New Roman"/>
          <w:color w:val="000000" w:themeColor="text1"/>
          <w:kern w:val="0"/>
          <w:szCs w:val="24"/>
          <w14:ligatures w14:val="none"/>
        </w:rPr>
        <w:t xml:space="preserve"> with the court or a party;”</w:t>
      </w:r>
      <w:r w:rsidRPr="00C639B0">
        <w:rPr>
          <w:rFonts w:cs="Times New Roman"/>
          <w:color w:val="000000" w:themeColor="text1"/>
          <w:kern w:val="0"/>
          <w:szCs w:val="24"/>
          <w:vertAlign w:val="superscript"/>
          <w14:ligatures w14:val="none"/>
        </w:rPr>
        <w:footnoteReference w:id="52"/>
      </w:r>
    </w:p>
    <w:p w14:paraId="1D330568" w14:textId="77777777" w:rsidR="00C639B0" w:rsidRPr="00C639B0" w:rsidRDefault="00C639B0" w:rsidP="00C639B0">
      <w:pPr>
        <w:numPr>
          <w:ilvl w:val="0"/>
          <w:numId w:val="1"/>
        </w:numPr>
        <w:spacing w:after="0" w:line="360" w:lineRule="auto"/>
        <w:ind w:left="1505"/>
        <w:contextualSpacing/>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Preservation of Materials – “nature of the materials to be preserved and filed as the record of the master’s activities;”</w:t>
      </w:r>
      <w:r w:rsidRPr="00C639B0">
        <w:rPr>
          <w:rFonts w:cs="Times New Roman"/>
          <w:color w:val="000000" w:themeColor="text1"/>
          <w:kern w:val="0"/>
          <w:szCs w:val="24"/>
          <w:vertAlign w:val="superscript"/>
          <w14:ligatures w14:val="none"/>
        </w:rPr>
        <w:footnoteReference w:id="53"/>
      </w:r>
    </w:p>
    <w:p w14:paraId="49631B28" w14:textId="77777777" w:rsidR="00C639B0" w:rsidRPr="00C639B0" w:rsidRDefault="00C639B0" w:rsidP="00C639B0">
      <w:pPr>
        <w:numPr>
          <w:ilvl w:val="0"/>
          <w:numId w:val="1"/>
        </w:numPr>
        <w:spacing w:after="0" w:line="360" w:lineRule="auto"/>
        <w:ind w:left="1505"/>
        <w:contextualSpacing/>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Procedures and Standards for Reviewing the Master’s Orders, Findings, and Recommendations – “the time limits, method of filing the record;”</w:t>
      </w:r>
      <w:r w:rsidRPr="00C639B0">
        <w:rPr>
          <w:rFonts w:cs="Times New Roman"/>
          <w:color w:val="000000" w:themeColor="text1"/>
          <w:kern w:val="0"/>
          <w:szCs w:val="24"/>
          <w:vertAlign w:val="superscript"/>
          <w14:ligatures w14:val="none"/>
        </w:rPr>
        <w:footnoteReference w:id="54"/>
      </w:r>
    </w:p>
    <w:p w14:paraId="7A15A618" w14:textId="77777777" w:rsidR="00C639B0" w:rsidRPr="00C639B0" w:rsidRDefault="00C639B0" w:rsidP="00C639B0">
      <w:pPr>
        <w:numPr>
          <w:ilvl w:val="0"/>
          <w:numId w:val="1"/>
        </w:numPr>
        <w:spacing w:after="0" w:line="360" w:lineRule="auto"/>
        <w:ind w:left="1505"/>
        <w:contextualSpacing/>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Master’s Compensation – “basis, terms, and procedure for fixing the master’s compensation;”</w:t>
      </w:r>
      <w:r w:rsidRPr="00C639B0">
        <w:rPr>
          <w:rFonts w:cs="Times New Roman"/>
          <w:color w:val="000000" w:themeColor="text1"/>
          <w:kern w:val="0"/>
          <w:szCs w:val="24"/>
          <w:vertAlign w:val="superscript"/>
          <w14:ligatures w14:val="none"/>
        </w:rPr>
        <w:footnoteReference w:id="55"/>
      </w:r>
    </w:p>
    <w:p w14:paraId="2B91DB62" w14:textId="77777777" w:rsidR="00C639B0" w:rsidRPr="00C639B0" w:rsidRDefault="00C639B0" w:rsidP="00C639B0">
      <w:pPr>
        <w:numPr>
          <w:ilvl w:val="0"/>
          <w:numId w:val="1"/>
        </w:numPr>
        <w:spacing w:after="0" w:line="360" w:lineRule="auto"/>
        <w:ind w:left="1505"/>
        <w:contextualSpacing/>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Filing Master’s Orders – “A master who issues an order must file it and promptly serve a copy on each party.”</w:t>
      </w:r>
      <w:r w:rsidRPr="00C639B0">
        <w:rPr>
          <w:rFonts w:cs="Times New Roman"/>
          <w:color w:val="000000" w:themeColor="text1"/>
          <w:kern w:val="0"/>
          <w:szCs w:val="24"/>
          <w:vertAlign w:val="superscript"/>
          <w14:ligatures w14:val="none"/>
        </w:rPr>
        <w:footnoteReference w:id="56"/>
      </w:r>
    </w:p>
    <w:p w14:paraId="159A1166" w14:textId="77777777" w:rsidR="00C639B0" w:rsidRPr="00C639B0" w:rsidRDefault="00C639B0" w:rsidP="00C639B0">
      <w:pPr>
        <w:numPr>
          <w:ilvl w:val="0"/>
          <w:numId w:val="1"/>
        </w:numPr>
        <w:spacing w:after="0" w:line="360" w:lineRule="auto"/>
        <w:ind w:left="1512"/>
        <w:contextualSpacing/>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Parties’ Opportunity for a Hearing – “court must give the parties notice and an opportunity to be heard” when acting on a master’s order, report, or recommendation;</w:t>
      </w:r>
      <w:r w:rsidRPr="00C639B0">
        <w:rPr>
          <w:rFonts w:cs="Times New Roman"/>
          <w:color w:val="000000" w:themeColor="text1"/>
          <w:kern w:val="0"/>
          <w:szCs w:val="24"/>
          <w:vertAlign w:val="superscript"/>
          <w14:ligatures w14:val="none"/>
        </w:rPr>
        <w:footnoteReference w:id="57"/>
      </w:r>
    </w:p>
    <w:p w14:paraId="529A44E1" w14:textId="77777777" w:rsidR="00C639B0" w:rsidRPr="00C639B0" w:rsidRDefault="00C639B0" w:rsidP="00C639B0">
      <w:pPr>
        <w:numPr>
          <w:ilvl w:val="0"/>
          <w:numId w:val="1"/>
        </w:numPr>
        <w:spacing w:after="0" w:line="360" w:lineRule="auto"/>
        <w:ind w:left="1512"/>
        <w:contextualSpacing/>
        <w:jc w:val="both"/>
        <w:rPr>
          <w:rFonts w:cs="Times New Roman"/>
          <w:b/>
          <w:bCs/>
          <w:color w:val="000000" w:themeColor="text1"/>
          <w:kern w:val="0"/>
          <w:szCs w:val="24"/>
          <w14:ligatures w14:val="none"/>
        </w:rPr>
      </w:pPr>
      <w:r w:rsidRPr="00C639B0">
        <w:rPr>
          <w:rFonts w:cs="Times New Roman"/>
          <w:color w:val="000000" w:themeColor="text1"/>
          <w:kern w:val="0"/>
          <w:szCs w:val="24"/>
          <w14:ligatures w14:val="none"/>
        </w:rPr>
        <w:t>Parties’ Objections – unless the court sets a different time, parties may object to the master’s order, report, or recommendation no later than 21 days after a copy is served;</w:t>
      </w:r>
      <w:r w:rsidRPr="00C639B0">
        <w:rPr>
          <w:rFonts w:cs="Times New Roman"/>
          <w:color w:val="000000" w:themeColor="text1"/>
          <w:kern w:val="0"/>
          <w:szCs w:val="24"/>
          <w:vertAlign w:val="superscript"/>
          <w14:ligatures w14:val="none"/>
        </w:rPr>
        <w:footnoteReference w:id="58"/>
      </w:r>
    </w:p>
    <w:p w14:paraId="035148E1" w14:textId="77777777" w:rsidR="00C639B0" w:rsidRPr="00C639B0" w:rsidRDefault="00C639B0" w:rsidP="00C639B0">
      <w:pPr>
        <w:numPr>
          <w:ilvl w:val="0"/>
          <w:numId w:val="1"/>
        </w:numPr>
        <w:spacing w:after="0" w:line="360" w:lineRule="auto"/>
        <w:ind w:left="1512"/>
        <w:contextualSpacing/>
        <w:jc w:val="both"/>
        <w:rPr>
          <w:rFonts w:cs="Times New Roman"/>
          <w:b/>
          <w:bCs/>
          <w:color w:val="000000" w:themeColor="text1"/>
          <w:kern w:val="0"/>
          <w:szCs w:val="24"/>
          <w14:ligatures w14:val="none"/>
        </w:rPr>
      </w:pPr>
      <w:r w:rsidRPr="00C639B0">
        <w:rPr>
          <w:rFonts w:cs="Times New Roman"/>
          <w:color w:val="000000" w:themeColor="text1"/>
          <w:kern w:val="0"/>
          <w:szCs w:val="24"/>
          <w14:ligatures w14:val="none"/>
        </w:rPr>
        <w:t>Reviewing Factual Findings and Legal Conclusions – court must decide de novo all objections to master’s findings of fact and conclusions of law;</w:t>
      </w:r>
      <w:r w:rsidRPr="00C639B0">
        <w:rPr>
          <w:rFonts w:cs="Times New Roman"/>
          <w:color w:val="000000" w:themeColor="text1"/>
          <w:kern w:val="0"/>
          <w:szCs w:val="24"/>
          <w:vertAlign w:val="superscript"/>
          <w14:ligatures w14:val="none"/>
        </w:rPr>
        <w:footnoteReference w:id="59"/>
      </w:r>
      <w:r w:rsidRPr="00C639B0">
        <w:rPr>
          <w:rFonts w:cs="Times New Roman"/>
          <w:color w:val="000000" w:themeColor="text1"/>
          <w:kern w:val="0"/>
          <w:szCs w:val="24"/>
          <w14:ligatures w14:val="none"/>
        </w:rPr>
        <w:t xml:space="preserve"> and</w:t>
      </w:r>
    </w:p>
    <w:p w14:paraId="60658ABF" w14:textId="77777777" w:rsidR="00C639B0" w:rsidRPr="00C639B0" w:rsidRDefault="00C639B0" w:rsidP="00C639B0">
      <w:pPr>
        <w:numPr>
          <w:ilvl w:val="0"/>
          <w:numId w:val="1"/>
        </w:numPr>
        <w:spacing w:after="0" w:line="360" w:lineRule="auto"/>
        <w:ind w:left="1512"/>
        <w:contextualSpacing/>
        <w:jc w:val="both"/>
        <w:rPr>
          <w:rFonts w:cs="Times New Roman"/>
          <w:b/>
          <w:bCs/>
          <w:color w:val="000000" w:themeColor="text1"/>
          <w:kern w:val="0"/>
          <w:szCs w:val="24"/>
          <w14:ligatures w14:val="none"/>
        </w:rPr>
      </w:pPr>
      <w:r w:rsidRPr="00C639B0">
        <w:rPr>
          <w:rFonts w:cs="Times New Roman"/>
          <w:color w:val="000000" w:themeColor="text1"/>
          <w:kern w:val="0"/>
          <w:szCs w:val="24"/>
          <w14:ligatures w14:val="none"/>
        </w:rPr>
        <w:lastRenderedPageBreak/>
        <w:t>Payment of Master’s Compensation – master’s compensation must be paid either by a party or parties or from a fund or subject matter of the action within the court’s control.</w:t>
      </w:r>
      <w:r w:rsidRPr="00C639B0">
        <w:rPr>
          <w:rFonts w:cs="Times New Roman"/>
          <w:color w:val="000000" w:themeColor="text1"/>
          <w:kern w:val="0"/>
          <w:szCs w:val="24"/>
          <w:vertAlign w:val="superscript"/>
          <w14:ligatures w14:val="none"/>
        </w:rPr>
        <w:footnoteReference w:id="60"/>
      </w:r>
      <w:r w:rsidRPr="00C639B0">
        <w:rPr>
          <w:rFonts w:cs="Times New Roman"/>
          <w:b/>
          <w:bCs/>
          <w:color w:val="000000" w:themeColor="text1"/>
          <w:kern w:val="0"/>
          <w:szCs w:val="24"/>
          <w14:ligatures w14:val="none"/>
        </w:rPr>
        <w:t xml:space="preserve"> </w:t>
      </w:r>
    </w:p>
    <w:p w14:paraId="3288A545" w14:textId="77777777" w:rsidR="00C639B0" w:rsidRPr="00C639B0" w:rsidRDefault="00C639B0" w:rsidP="00C639B0">
      <w:pPr>
        <w:spacing w:after="0" w:line="240" w:lineRule="auto"/>
        <w:ind w:left="720" w:right="720"/>
        <w:jc w:val="both"/>
        <w:rPr>
          <w:color w:val="000000" w:themeColor="text1"/>
          <w:kern w:val="0"/>
          <w:szCs w:val="24"/>
          <w14:ligatures w14:val="none"/>
        </w:rPr>
      </w:pPr>
      <w:r w:rsidRPr="00C639B0">
        <w:rPr>
          <w:rFonts w:cs="Times New Roman"/>
          <w:b/>
          <w:bCs/>
          <w:color w:val="000000" w:themeColor="text1"/>
          <w:kern w:val="0"/>
          <w:szCs w:val="24"/>
          <w14:ligatures w14:val="none"/>
        </w:rPr>
        <w:t>Best Practice MDL-§ 16(b):</w:t>
      </w:r>
      <w:r w:rsidRPr="00C639B0">
        <w:rPr>
          <w:b/>
          <w:bCs/>
          <w:color w:val="000000" w:themeColor="text1"/>
          <w:kern w:val="0"/>
          <w:szCs w:val="24"/>
          <w14:ligatures w14:val="none"/>
        </w:rPr>
        <w:t xml:space="preserve"> </w:t>
      </w:r>
      <w:r w:rsidRPr="00C639B0">
        <w:rPr>
          <w:color w:val="000000" w:themeColor="text1"/>
          <w:kern w:val="0"/>
          <w:szCs w:val="24"/>
          <w14:ligatures w14:val="none"/>
        </w:rPr>
        <w:t xml:space="preserve">After notice and a hearing, the court must fix the neutral’s compensation, which is payable as an administrative expense.  Permanent No. </w:t>
      </w:r>
      <w:r w:rsidRPr="00C639B0">
        <w:rPr>
          <w:rFonts w:cs="Times New Roman"/>
          <w:color w:val="000000" w:themeColor="text1"/>
          <w:kern w:val="0"/>
          <w:szCs w:val="24"/>
          <w14:ligatures w14:val="none"/>
        </w:rPr>
        <w:t>MDL-§ 20(b).</w:t>
      </w:r>
    </w:p>
    <w:p w14:paraId="3F39176A" w14:textId="77777777" w:rsidR="00C639B0" w:rsidRPr="00C639B0" w:rsidRDefault="00C639B0" w:rsidP="00C639B0">
      <w:pPr>
        <w:spacing w:after="0" w:line="240" w:lineRule="auto"/>
        <w:ind w:left="720" w:right="720"/>
        <w:jc w:val="both"/>
        <w:rPr>
          <w:color w:val="000000" w:themeColor="text1"/>
          <w:kern w:val="0"/>
          <w:szCs w:val="24"/>
          <w14:ligatures w14:val="none"/>
        </w:rPr>
      </w:pPr>
    </w:p>
    <w:p w14:paraId="0C442510"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The order appointing a neutral</w:t>
      </w:r>
      <w:r w:rsidRPr="00C639B0" w:rsidDel="000310E3">
        <w:rPr>
          <w:color w:val="000000" w:themeColor="text1"/>
          <w:kern w:val="0"/>
          <w:szCs w:val="24"/>
          <w14:ligatures w14:val="none"/>
        </w:rPr>
        <w:t xml:space="preserve"> </w:t>
      </w:r>
      <w:r w:rsidRPr="00C639B0">
        <w:rPr>
          <w:color w:val="000000" w:themeColor="text1"/>
          <w:kern w:val="0"/>
          <w:szCs w:val="24"/>
          <w14:ligatures w14:val="none"/>
        </w:rPr>
        <w:t>must state the basis, terms, and procedures for fixing the neutral’s</w:t>
      </w:r>
      <w:r w:rsidRPr="00C639B0" w:rsidDel="000310E3">
        <w:rPr>
          <w:color w:val="000000" w:themeColor="text1"/>
          <w:kern w:val="0"/>
          <w:szCs w:val="24"/>
          <w14:ligatures w14:val="none"/>
        </w:rPr>
        <w:t xml:space="preserve"> </w:t>
      </w:r>
      <w:r w:rsidRPr="00C639B0">
        <w:rPr>
          <w:color w:val="000000" w:themeColor="text1"/>
          <w:kern w:val="0"/>
          <w:szCs w:val="24"/>
          <w14:ligatures w14:val="none"/>
        </w:rPr>
        <w:t>compensation.</w:t>
      </w:r>
      <w:r w:rsidRPr="00C639B0">
        <w:rPr>
          <w:color w:val="000000" w:themeColor="text1"/>
          <w:kern w:val="0"/>
          <w:szCs w:val="24"/>
          <w:vertAlign w:val="superscript"/>
          <w14:ligatures w14:val="none"/>
        </w:rPr>
        <w:footnoteReference w:id="61"/>
      </w:r>
      <w:r w:rsidRPr="00C639B0">
        <w:rPr>
          <w:color w:val="000000" w:themeColor="text1"/>
          <w:kern w:val="0"/>
          <w:szCs w:val="24"/>
          <w14:ligatures w14:val="none"/>
        </w:rPr>
        <w:t xml:space="preserve">  In setting the rate of the neutral’s</w:t>
      </w:r>
      <w:r w:rsidRPr="00C639B0" w:rsidDel="000310E3">
        <w:rPr>
          <w:color w:val="000000" w:themeColor="text1"/>
          <w:kern w:val="0"/>
          <w:szCs w:val="24"/>
          <w14:ligatures w14:val="none"/>
        </w:rPr>
        <w:t xml:space="preserve"> </w:t>
      </w:r>
      <w:r w:rsidRPr="00C639B0">
        <w:rPr>
          <w:color w:val="000000" w:themeColor="text1"/>
          <w:kern w:val="0"/>
          <w:szCs w:val="24"/>
          <w14:ligatures w14:val="none"/>
        </w:rPr>
        <w:t>compensation, the court should consider: (i) the time, nature, extent, and value of the services; (ii) the amount in controversy; and (iii) the cost of comparable services in non-bankruptcy cases.</w:t>
      </w:r>
      <w:r w:rsidRPr="00C639B0">
        <w:rPr>
          <w:color w:val="000000" w:themeColor="text1"/>
          <w:kern w:val="0"/>
          <w:szCs w:val="24"/>
          <w:vertAlign w:val="superscript"/>
          <w14:ligatures w14:val="none"/>
        </w:rPr>
        <w:footnoteReference w:id="62"/>
      </w:r>
      <w:r w:rsidRPr="00C639B0">
        <w:rPr>
          <w:color w:val="000000" w:themeColor="text1"/>
          <w:kern w:val="0"/>
          <w:szCs w:val="24"/>
          <w14:ligatures w14:val="none"/>
        </w:rPr>
        <w:t xml:space="preserve">  The parties should provide the court with information about rates of compensation in other cases, most notably mass-tort MDLs.</w:t>
      </w:r>
      <w:r w:rsidRPr="00C639B0">
        <w:rPr>
          <w:color w:val="000000" w:themeColor="text1"/>
          <w:kern w:val="0"/>
          <w:szCs w:val="24"/>
          <w:vertAlign w:val="superscript"/>
          <w14:ligatures w14:val="none"/>
        </w:rPr>
        <w:footnoteReference w:id="63"/>
      </w:r>
    </w:p>
    <w:p w14:paraId="2D4E8B57"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The neutral’s</w:t>
      </w:r>
      <w:r w:rsidRPr="00C639B0" w:rsidDel="000310E3">
        <w:rPr>
          <w:color w:val="000000" w:themeColor="text1"/>
          <w:kern w:val="0"/>
          <w:szCs w:val="24"/>
          <w14:ligatures w14:val="none"/>
        </w:rPr>
        <w:t xml:space="preserve"> </w:t>
      </w:r>
      <w:r w:rsidRPr="00C639B0">
        <w:rPr>
          <w:color w:val="000000" w:themeColor="text1"/>
          <w:kern w:val="0"/>
          <w:szCs w:val="24"/>
          <w14:ligatures w14:val="none"/>
        </w:rPr>
        <w:t>compensation is payable as an administrative expense and given higher priority than other creditor claims.</w:t>
      </w:r>
      <w:r w:rsidRPr="00C639B0">
        <w:rPr>
          <w:color w:val="000000" w:themeColor="text1"/>
          <w:kern w:val="0"/>
          <w:szCs w:val="24"/>
          <w:vertAlign w:val="superscript"/>
          <w14:ligatures w14:val="none"/>
        </w:rPr>
        <w:footnoteReference w:id="64"/>
      </w:r>
      <w:r w:rsidRPr="00C639B0">
        <w:rPr>
          <w:color w:val="000000" w:themeColor="text1"/>
          <w:kern w:val="0"/>
          <w:szCs w:val="24"/>
          <w14:ligatures w14:val="none"/>
        </w:rPr>
        <w:t xml:space="preserve">  The court may revise the initial basis and terms of the neutral’s</w:t>
      </w:r>
      <w:r w:rsidRPr="00C639B0" w:rsidDel="000310E3">
        <w:rPr>
          <w:color w:val="000000" w:themeColor="text1"/>
          <w:kern w:val="0"/>
          <w:szCs w:val="24"/>
          <w14:ligatures w14:val="none"/>
        </w:rPr>
        <w:t xml:space="preserve"> </w:t>
      </w:r>
      <w:r w:rsidRPr="00C639B0">
        <w:rPr>
          <w:color w:val="000000" w:themeColor="text1"/>
          <w:kern w:val="0"/>
          <w:szCs w:val="24"/>
          <w14:ligatures w14:val="none"/>
        </w:rPr>
        <w:t>compensation after notice and an opportunity to be heard but should protect the parties against unfair surprises.</w:t>
      </w:r>
      <w:r w:rsidRPr="00C639B0">
        <w:rPr>
          <w:color w:val="000000" w:themeColor="text1"/>
          <w:kern w:val="0"/>
          <w:szCs w:val="24"/>
          <w:vertAlign w:val="superscript"/>
          <w14:ligatures w14:val="none"/>
        </w:rPr>
        <w:footnoteReference w:id="65"/>
      </w:r>
      <w:r w:rsidRPr="00C639B0">
        <w:rPr>
          <w:color w:val="000000" w:themeColor="text1"/>
          <w:kern w:val="0"/>
          <w:szCs w:val="24"/>
          <w14:ligatures w14:val="none"/>
        </w:rPr>
        <w:t xml:space="preserve"> A neutral</w:t>
      </w:r>
      <w:r w:rsidRPr="00C639B0" w:rsidDel="005723A9">
        <w:rPr>
          <w:color w:val="000000" w:themeColor="text1"/>
          <w:kern w:val="0"/>
          <w:szCs w:val="24"/>
          <w14:ligatures w14:val="none"/>
        </w:rPr>
        <w:t xml:space="preserve"> </w:t>
      </w:r>
      <w:r w:rsidRPr="00C639B0">
        <w:rPr>
          <w:color w:val="000000" w:themeColor="text1"/>
          <w:kern w:val="0"/>
          <w:szCs w:val="24"/>
          <w14:ligatures w14:val="none"/>
        </w:rPr>
        <w:t>seeking compensation from the estate for services authorized by the court must file a detailed statement of the “services rendered, time expended and expenses incurred, and (2) the amounts requested.”</w:t>
      </w:r>
      <w:r w:rsidRPr="00C639B0">
        <w:rPr>
          <w:color w:val="000000" w:themeColor="text1"/>
          <w:kern w:val="0"/>
          <w:szCs w:val="24"/>
          <w:vertAlign w:val="superscript"/>
          <w14:ligatures w14:val="none"/>
        </w:rPr>
        <w:footnoteReference w:id="66"/>
      </w:r>
      <w:r w:rsidRPr="00C639B0">
        <w:rPr>
          <w:color w:val="000000" w:themeColor="text1"/>
          <w:kern w:val="0"/>
          <w:szCs w:val="24"/>
          <w14:ligatures w14:val="none"/>
        </w:rPr>
        <w:t xml:space="preserve">  </w:t>
      </w:r>
    </w:p>
    <w:p w14:paraId="394448BF" w14:textId="77777777" w:rsidR="00C639B0" w:rsidRPr="00C639B0" w:rsidRDefault="00C639B0" w:rsidP="00C639B0">
      <w:pPr>
        <w:spacing w:after="0" w:line="360" w:lineRule="auto"/>
        <w:ind w:firstLine="720"/>
        <w:jc w:val="both"/>
        <w:rPr>
          <w:b/>
          <w:bCs/>
          <w:color w:val="000000" w:themeColor="text1"/>
          <w:kern w:val="0"/>
          <w:szCs w:val="24"/>
          <w:u w:val="single"/>
          <w14:ligatures w14:val="none"/>
        </w:rPr>
      </w:pPr>
      <w:r w:rsidRPr="00C639B0">
        <w:rPr>
          <w:color w:val="000000" w:themeColor="text1"/>
          <w:kern w:val="0"/>
          <w:szCs w:val="24"/>
          <w14:ligatures w14:val="none"/>
        </w:rPr>
        <w:t>In a bankruptcy case, one or more parties, including non-debtor insurance companies, may request that the court appoint a neutral</w:t>
      </w:r>
      <w:r w:rsidRPr="00C639B0" w:rsidDel="005723A9">
        <w:rPr>
          <w:color w:val="000000" w:themeColor="text1"/>
          <w:kern w:val="0"/>
          <w:szCs w:val="24"/>
          <w14:ligatures w14:val="none"/>
        </w:rPr>
        <w:t xml:space="preserve"> </w:t>
      </w:r>
      <w:r w:rsidRPr="00C639B0">
        <w:rPr>
          <w:color w:val="000000" w:themeColor="text1"/>
          <w:kern w:val="0"/>
          <w:szCs w:val="24"/>
          <w14:ligatures w14:val="none"/>
        </w:rPr>
        <w:t>and may be willing to bear the cost themselves. Under such circumstances, a bankruptcy court may exercise its inherent case-management authority to appoint a neutral</w:t>
      </w:r>
      <w:r w:rsidRPr="00C639B0" w:rsidDel="005723A9">
        <w:rPr>
          <w:color w:val="000000" w:themeColor="text1"/>
          <w:kern w:val="0"/>
          <w:szCs w:val="24"/>
          <w14:ligatures w14:val="none"/>
        </w:rPr>
        <w:t xml:space="preserve"> </w:t>
      </w:r>
      <w:r w:rsidRPr="00C639B0">
        <w:rPr>
          <w:color w:val="000000" w:themeColor="text1"/>
          <w:kern w:val="0"/>
          <w:szCs w:val="24"/>
          <w14:ligatures w14:val="none"/>
        </w:rPr>
        <w:t>subject to payment by the parties.  The court should consider the same factors that a district judge considers in allocating payment for the neutral’s</w:t>
      </w:r>
      <w:r w:rsidRPr="00C639B0" w:rsidDel="005723A9">
        <w:rPr>
          <w:color w:val="000000" w:themeColor="text1"/>
          <w:kern w:val="0"/>
          <w:szCs w:val="24"/>
          <w14:ligatures w14:val="none"/>
        </w:rPr>
        <w:t xml:space="preserve"> </w:t>
      </w:r>
      <w:r w:rsidRPr="00C639B0">
        <w:rPr>
          <w:color w:val="000000" w:themeColor="text1"/>
          <w:kern w:val="0"/>
          <w:szCs w:val="24"/>
          <w14:ligatures w14:val="none"/>
        </w:rPr>
        <w:t xml:space="preserve">compensation. In a civil action, a court can allocate payment among the parties “after considering the nature and amount of the </w:t>
      </w:r>
      <w:r w:rsidRPr="00C639B0">
        <w:rPr>
          <w:color w:val="000000" w:themeColor="text1"/>
          <w:kern w:val="0"/>
          <w:szCs w:val="24"/>
          <w14:ligatures w14:val="none"/>
        </w:rPr>
        <w:lastRenderedPageBreak/>
        <w:t>controversy, the parties’ means, and the extent to which any party is more responsible than other parties for the reference to a master.”</w:t>
      </w:r>
      <w:r w:rsidRPr="00C639B0">
        <w:rPr>
          <w:color w:val="000000" w:themeColor="text1"/>
          <w:kern w:val="0"/>
          <w:szCs w:val="24"/>
          <w:vertAlign w:val="superscript"/>
          <w14:ligatures w14:val="none"/>
        </w:rPr>
        <w:footnoteReference w:id="67"/>
      </w:r>
      <w:r w:rsidRPr="00C639B0">
        <w:rPr>
          <w:color w:val="000000" w:themeColor="text1"/>
          <w:kern w:val="0"/>
          <w:szCs w:val="24"/>
          <w14:ligatures w14:val="none"/>
        </w:rPr>
        <w:t xml:space="preserve"> </w:t>
      </w:r>
    </w:p>
    <w:p w14:paraId="0BA78D73" w14:textId="77777777" w:rsidR="00C639B0" w:rsidRPr="00C639B0" w:rsidRDefault="00C639B0" w:rsidP="00C639B0">
      <w:pPr>
        <w:spacing w:line="240" w:lineRule="auto"/>
        <w:ind w:left="1498"/>
        <w:contextualSpacing/>
        <w:jc w:val="both"/>
        <w:rPr>
          <w:rFonts w:cs="Times New Roman"/>
          <w:kern w:val="0"/>
          <w:szCs w:val="24"/>
          <w14:ligatures w14:val="none"/>
        </w:rPr>
      </w:pPr>
    </w:p>
    <w:p w14:paraId="35EA21E3" w14:textId="77777777" w:rsidR="00C639B0" w:rsidRPr="00C639B0" w:rsidRDefault="00C639B0" w:rsidP="00C639B0">
      <w:pPr>
        <w:spacing w:after="0" w:line="240" w:lineRule="auto"/>
        <w:jc w:val="both"/>
        <w:rPr>
          <w:color w:val="000000" w:themeColor="text1"/>
          <w:kern w:val="0"/>
          <w:szCs w:val="24"/>
          <w14:ligatures w14:val="none"/>
        </w:rPr>
      </w:pPr>
      <w:r w:rsidRPr="00C639B0">
        <w:rPr>
          <w:b/>
          <w:bCs/>
          <w:color w:val="000000" w:themeColor="text1"/>
          <w:kern w:val="0"/>
          <w:szCs w:val="24"/>
          <w:u w:val="single"/>
          <w14:ligatures w14:val="none"/>
        </w:rPr>
        <w:t xml:space="preserve">GUIDELINE </w:t>
      </w:r>
      <w:r w:rsidRPr="00C639B0">
        <w:rPr>
          <w:rFonts w:cs="Times New Roman"/>
          <w:b/>
          <w:bCs/>
          <w:color w:val="000000" w:themeColor="text1"/>
          <w:kern w:val="0"/>
          <w:szCs w:val="24"/>
          <w:u w:val="single"/>
          <w14:ligatures w14:val="none"/>
        </w:rPr>
        <w:t>MDL-§ 17</w:t>
      </w:r>
      <w:r w:rsidRPr="00C639B0">
        <w:rPr>
          <w:rFonts w:cs="Times New Roman"/>
          <w:b/>
          <w:bCs/>
          <w:color w:val="000000" w:themeColor="text1"/>
          <w:kern w:val="0"/>
          <w:szCs w:val="24"/>
          <w14:ligatures w14:val="none"/>
        </w:rPr>
        <w:t>:</w:t>
      </w:r>
      <w:r w:rsidRPr="00C639B0">
        <w:rPr>
          <w:b/>
          <w:bCs/>
          <w:color w:val="000000" w:themeColor="text1"/>
          <w:kern w:val="0"/>
          <w:szCs w:val="24"/>
          <w14:ligatures w14:val="none"/>
        </w:rPr>
        <w:t xml:space="preserve"> </w:t>
      </w:r>
      <w:r w:rsidRPr="00C639B0">
        <w:rPr>
          <w:color w:val="000000" w:themeColor="text1"/>
          <w:kern w:val="0"/>
          <w:szCs w:val="24"/>
          <w14:ligatures w14:val="none"/>
        </w:rPr>
        <w:t xml:space="preserve">The Supreme Court held in </w:t>
      </w:r>
      <w:r w:rsidRPr="00C639B0">
        <w:rPr>
          <w:i/>
          <w:iCs/>
          <w:color w:val="000000" w:themeColor="text1"/>
          <w:kern w:val="0"/>
          <w:szCs w:val="24"/>
          <w14:ligatures w14:val="none"/>
        </w:rPr>
        <w:t>Purdue Pharma</w:t>
      </w:r>
      <w:r w:rsidRPr="00C639B0">
        <w:rPr>
          <w:color w:val="000000" w:themeColor="text1"/>
          <w:kern w:val="0"/>
          <w:szCs w:val="24"/>
          <w14:ligatures w14:val="none"/>
        </w:rPr>
        <w:t xml:space="preserve"> that the Bankruptcy Code does not authorize the release of claims against nondebtors as part of a Chapter 11 reorganization plan in a non-asbestos mass-tort bankruptcy without the consent of tort claimants. Permanent No. </w:t>
      </w:r>
      <w:r w:rsidRPr="00C639B0">
        <w:rPr>
          <w:rFonts w:cs="Times New Roman"/>
          <w:color w:val="000000" w:themeColor="text1"/>
          <w:kern w:val="0"/>
          <w:szCs w:val="24"/>
          <w14:ligatures w14:val="none"/>
        </w:rPr>
        <w:t>MDL-§ 21.</w:t>
      </w:r>
    </w:p>
    <w:p w14:paraId="7222C246" w14:textId="77777777" w:rsidR="00C639B0" w:rsidRPr="00C639B0" w:rsidRDefault="00C639B0" w:rsidP="00C639B0">
      <w:pPr>
        <w:spacing w:after="0" w:line="240" w:lineRule="auto"/>
        <w:ind w:left="720" w:right="720"/>
        <w:jc w:val="both"/>
        <w:rPr>
          <w:color w:val="000000" w:themeColor="text1"/>
          <w:kern w:val="0"/>
          <w:szCs w:val="24"/>
          <w14:ligatures w14:val="none"/>
        </w:rPr>
      </w:pPr>
    </w:p>
    <w:p w14:paraId="3A83FC34"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Generally, a discharge in bankruptcy operates only for the benefit of the debtor against its creditors and does not affect the liability of any other entity.</w:t>
      </w:r>
      <w:r w:rsidRPr="00C639B0">
        <w:rPr>
          <w:color w:val="000000" w:themeColor="text1"/>
          <w:kern w:val="0"/>
          <w:szCs w:val="24"/>
          <w:vertAlign w:val="superscript"/>
          <w14:ligatures w14:val="none"/>
        </w:rPr>
        <w:footnoteReference w:id="68"/>
      </w:r>
      <w:r w:rsidRPr="00C639B0">
        <w:rPr>
          <w:color w:val="000000" w:themeColor="text1"/>
          <w:kern w:val="0"/>
          <w:szCs w:val="24"/>
          <w14:ligatures w14:val="none"/>
        </w:rPr>
        <w:t xml:space="preserve"> But for decades, some, but not all, bankruptcy courts and courts of appeals determined that nonconsensual releases of nondebtors from liability could be appropriate and essential in mass-tort bankruptcy cases, though in certain narrow circumstances under 11 U.S.C. </w:t>
      </w:r>
      <w:r w:rsidRPr="00C639B0">
        <w:rPr>
          <w:rFonts w:cs="Times New Roman"/>
          <w:color w:val="000000" w:themeColor="text1"/>
          <w:kern w:val="0"/>
          <w:szCs w:val="24"/>
          <w14:ligatures w14:val="none"/>
        </w:rPr>
        <w:t xml:space="preserve">§ </w:t>
      </w:r>
      <w:r w:rsidRPr="00C639B0">
        <w:rPr>
          <w:color w:val="000000" w:themeColor="text1"/>
          <w:kern w:val="0"/>
          <w:szCs w:val="24"/>
          <w14:ligatures w14:val="none"/>
        </w:rPr>
        <w:t>1123(b)(6).</w:t>
      </w:r>
      <w:r w:rsidRPr="00C639B0">
        <w:rPr>
          <w:color w:val="000000" w:themeColor="text1"/>
          <w:kern w:val="0"/>
          <w:szCs w:val="24"/>
          <w:vertAlign w:val="superscript"/>
          <w14:ligatures w14:val="none"/>
        </w:rPr>
        <w:footnoteReference w:id="69"/>
      </w:r>
      <w:r w:rsidRPr="00C639B0">
        <w:rPr>
          <w:color w:val="000000" w:themeColor="text1"/>
          <w:kern w:val="0"/>
          <w:szCs w:val="24"/>
          <w14:ligatures w14:val="none"/>
        </w:rPr>
        <w:t xml:space="preserve"> These courts developed and applied non-exhaustive lists of factors determining whether a nonconsensual, nondebtor release was “appropriate” in a given case, usually in exchange for a substantial monetary contribution to the debtor’s estate.</w:t>
      </w:r>
      <w:r w:rsidRPr="00C639B0">
        <w:rPr>
          <w:color w:val="000000" w:themeColor="text1"/>
          <w:kern w:val="0"/>
          <w:szCs w:val="24"/>
          <w:vertAlign w:val="superscript"/>
          <w14:ligatures w14:val="none"/>
        </w:rPr>
        <w:footnoteReference w:id="70"/>
      </w:r>
      <w:r w:rsidRPr="00C639B0">
        <w:rPr>
          <w:color w:val="000000" w:themeColor="text1"/>
          <w:kern w:val="0"/>
          <w:szCs w:val="24"/>
          <w14:ligatures w14:val="none"/>
        </w:rPr>
        <w:t xml:space="preserve"> The factors were applied in a holistic inquiry that depended on the precise facts and circumstances of each case.  </w:t>
      </w:r>
    </w:p>
    <w:p w14:paraId="746F2BA2"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Among the factors considered for approval of nonconsensual releases of claims against third parties were the degree to which the released claims and claims against the debtor were intertwined, the importance of the releases to the reorganization, the contributions made by the releasing parties to the debtor’s estate, whether affected creditors overwhelmingly supported the plan, and whether the plan provided for fair payment of enjoined claims.</w:t>
      </w:r>
      <w:r w:rsidRPr="00C639B0">
        <w:rPr>
          <w:color w:val="000000" w:themeColor="text1"/>
          <w:kern w:val="0"/>
          <w:szCs w:val="24"/>
          <w:vertAlign w:val="superscript"/>
          <w14:ligatures w14:val="none"/>
        </w:rPr>
        <w:footnoteReference w:id="71"/>
      </w:r>
      <w:r w:rsidRPr="00C639B0">
        <w:rPr>
          <w:color w:val="000000" w:themeColor="text1"/>
          <w:kern w:val="0"/>
          <w:szCs w:val="24"/>
          <w14:ligatures w14:val="none"/>
        </w:rPr>
        <w:t xml:space="preserve">  Illustrative examples </w:t>
      </w:r>
      <w:r w:rsidRPr="00C639B0">
        <w:rPr>
          <w:color w:val="000000" w:themeColor="text1"/>
          <w:kern w:val="0"/>
          <w:szCs w:val="24"/>
          <w14:ligatures w14:val="none"/>
        </w:rPr>
        <w:lastRenderedPageBreak/>
        <w:t xml:space="preserve">of nondebtors whose liability was discharged under nonconsensual releases were directors, officers, shareholders, and affiliates of bankrupt companies, insurance and other indemnification entities, and franchisees and other entities who provided substantial contributions to the debtor’s estate. </w:t>
      </w:r>
    </w:p>
    <w:p w14:paraId="67E9D066"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 xml:space="preserve">The Supreme Court in </w:t>
      </w:r>
      <w:r w:rsidRPr="00C639B0">
        <w:rPr>
          <w:i/>
          <w:iCs/>
          <w:color w:val="000000" w:themeColor="text1"/>
          <w:kern w:val="0"/>
          <w:szCs w:val="24"/>
          <w14:ligatures w14:val="none"/>
        </w:rPr>
        <w:t>Purdue Pharma</w:t>
      </w:r>
      <w:r w:rsidRPr="00C639B0">
        <w:rPr>
          <w:color w:val="000000" w:themeColor="text1"/>
          <w:kern w:val="0"/>
          <w:szCs w:val="24"/>
          <w14:ligatures w14:val="none"/>
        </w:rPr>
        <w:t xml:space="preserve"> overturned the court decisions granting nonconsensual releases of claims against nondebtors outside the asbestos context, holding that the bankruptcy code does not authorize a release and injunction that, as part of a plan of reorganization under Chapter 11, effectively seek to discharge claims against a nondebtor without the consent of the affected claimants.</w:t>
      </w:r>
      <w:r w:rsidRPr="00C639B0">
        <w:rPr>
          <w:color w:val="000000" w:themeColor="text1"/>
          <w:kern w:val="0"/>
          <w:szCs w:val="24"/>
          <w:vertAlign w:val="superscript"/>
          <w14:ligatures w14:val="none"/>
        </w:rPr>
        <w:footnoteReference w:id="72"/>
      </w:r>
      <w:r w:rsidRPr="00C639B0">
        <w:rPr>
          <w:color w:val="000000" w:themeColor="text1"/>
          <w:kern w:val="0"/>
          <w:szCs w:val="24"/>
          <w14:ligatures w14:val="none"/>
        </w:rPr>
        <w:t xml:space="preserve"> But the holding did not question </w:t>
      </w:r>
      <w:r w:rsidRPr="00C639B0">
        <w:rPr>
          <w:i/>
          <w:iCs/>
          <w:color w:val="000000" w:themeColor="text1"/>
          <w:kern w:val="0"/>
          <w:szCs w:val="24"/>
          <w14:ligatures w14:val="none"/>
        </w:rPr>
        <w:t>consensual</w:t>
      </w:r>
      <w:r w:rsidRPr="00C639B0">
        <w:rPr>
          <w:color w:val="000000" w:themeColor="text1"/>
          <w:kern w:val="0"/>
          <w:szCs w:val="24"/>
          <w14:ligatures w14:val="none"/>
        </w:rPr>
        <w:t xml:space="preserve"> third-party releases offered in connection with a bankruptcy reorganization plan nor what qualified as a consensual release or a plan that provided for the full satisfaction of claims against a third-party nondebtor.</w:t>
      </w:r>
      <w:r w:rsidRPr="00C639B0">
        <w:rPr>
          <w:color w:val="000000" w:themeColor="text1"/>
          <w:kern w:val="0"/>
          <w:szCs w:val="24"/>
          <w:vertAlign w:val="superscript"/>
          <w14:ligatures w14:val="none"/>
        </w:rPr>
        <w:footnoteReference w:id="73"/>
      </w:r>
    </w:p>
    <w:p w14:paraId="0FECBE49" w14:textId="77777777" w:rsidR="00C639B0" w:rsidRPr="00C639B0" w:rsidRDefault="00C639B0" w:rsidP="00C639B0">
      <w:pPr>
        <w:spacing w:after="0" w:line="240" w:lineRule="auto"/>
        <w:ind w:left="720" w:right="720"/>
        <w:jc w:val="both"/>
        <w:rPr>
          <w:color w:val="000000" w:themeColor="text1"/>
          <w:kern w:val="0"/>
          <w:szCs w:val="24"/>
          <w14:ligatures w14:val="none"/>
        </w:rPr>
      </w:pPr>
      <w:r w:rsidRPr="00C639B0">
        <w:rPr>
          <w:rFonts w:cs="Times New Roman"/>
          <w:b/>
          <w:bCs/>
          <w:color w:val="000000" w:themeColor="text1"/>
          <w:kern w:val="0"/>
          <w:szCs w:val="24"/>
          <w14:ligatures w14:val="none"/>
        </w:rPr>
        <w:t>Best Practice MDL-§ 17(a):</w:t>
      </w:r>
      <w:r w:rsidRPr="00C639B0">
        <w:rPr>
          <w:b/>
          <w:bCs/>
          <w:color w:val="000000" w:themeColor="text1"/>
          <w:kern w:val="0"/>
          <w:szCs w:val="24"/>
          <w14:ligatures w14:val="none"/>
        </w:rPr>
        <w:t xml:space="preserve"> </w:t>
      </w:r>
      <w:r w:rsidRPr="00C639B0">
        <w:rPr>
          <w:color w:val="000000" w:themeColor="text1"/>
          <w:kern w:val="0"/>
          <w:szCs w:val="24"/>
          <w14:ligatures w14:val="none"/>
        </w:rPr>
        <w:t xml:space="preserve">Parties in a mass-tort bankruptcy should recommend procedures governing the consensual release of claims against nondebtors if they are important to the reorganization and are consistent with the ruling in </w:t>
      </w:r>
      <w:r w:rsidRPr="00C639B0">
        <w:rPr>
          <w:i/>
          <w:iCs/>
          <w:color w:val="000000" w:themeColor="text1"/>
          <w:kern w:val="0"/>
          <w:szCs w:val="24"/>
          <w14:ligatures w14:val="none"/>
        </w:rPr>
        <w:t>Purdue Pharma</w:t>
      </w:r>
      <w:r w:rsidRPr="00C639B0">
        <w:rPr>
          <w:color w:val="000000" w:themeColor="text1"/>
          <w:kern w:val="0"/>
          <w:szCs w:val="24"/>
          <w14:ligatures w14:val="none"/>
        </w:rPr>
        <w:t>.</w:t>
      </w:r>
      <w:r w:rsidRPr="00C639B0">
        <w:rPr>
          <w:color w:val="000000" w:themeColor="text1"/>
          <w:kern w:val="0"/>
          <w:szCs w:val="24"/>
          <w:vertAlign w:val="superscript"/>
          <w14:ligatures w14:val="none"/>
        </w:rPr>
        <w:footnoteReference w:id="74"/>
      </w:r>
      <w:r w:rsidRPr="00C639B0">
        <w:rPr>
          <w:color w:val="000000" w:themeColor="text1"/>
          <w:kern w:val="0"/>
          <w:szCs w:val="24"/>
          <w14:ligatures w14:val="none"/>
        </w:rPr>
        <w:t xml:space="preserve"> Permanent No. </w:t>
      </w:r>
      <w:r w:rsidRPr="00C639B0">
        <w:rPr>
          <w:rFonts w:cs="Times New Roman"/>
          <w:color w:val="000000" w:themeColor="text1"/>
          <w:kern w:val="0"/>
          <w:szCs w:val="24"/>
          <w14:ligatures w14:val="none"/>
        </w:rPr>
        <w:t>MDL-§ 21(a).</w:t>
      </w:r>
    </w:p>
    <w:p w14:paraId="084CB936" w14:textId="77777777" w:rsidR="00C639B0" w:rsidRPr="00C639B0" w:rsidRDefault="00C639B0" w:rsidP="00C639B0">
      <w:pPr>
        <w:spacing w:after="0" w:line="240" w:lineRule="auto"/>
        <w:ind w:left="720" w:right="720"/>
        <w:jc w:val="both"/>
        <w:rPr>
          <w:color w:val="000000" w:themeColor="text1"/>
          <w:kern w:val="0"/>
          <w:szCs w:val="24"/>
          <w14:ligatures w14:val="none"/>
        </w:rPr>
      </w:pPr>
    </w:p>
    <w:p w14:paraId="0269F30F" w14:textId="77777777" w:rsidR="00C639B0" w:rsidRPr="00C639B0" w:rsidRDefault="00C639B0" w:rsidP="00C639B0">
      <w:pPr>
        <w:spacing w:after="0" w:line="360" w:lineRule="auto"/>
        <w:jc w:val="both"/>
        <w:rPr>
          <w:color w:val="000000" w:themeColor="text1"/>
          <w:kern w:val="0"/>
          <w:szCs w:val="24"/>
          <w14:ligatures w14:val="none"/>
        </w:rPr>
      </w:pPr>
      <w:r w:rsidRPr="00C639B0">
        <w:rPr>
          <w:color w:val="000000" w:themeColor="text1"/>
          <w:kern w:val="0"/>
          <w:szCs w:val="24"/>
          <w14:ligatures w14:val="none"/>
        </w:rPr>
        <w:t xml:space="preserve"> </w:t>
      </w:r>
      <w:r w:rsidRPr="00C639B0">
        <w:rPr>
          <w:color w:val="000000" w:themeColor="text1"/>
          <w:kern w:val="0"/>
          <w:szCs w:val="24"/>
          <w14:ligatures w14:val="none"/>
        </w:rPr>
        <w:tab/>
        <w:t xml:space="preserve">Before </w:t>
      </w:r>
      <w:r w:rsidRPr="00C639B0">
        <w:rPr>
          <w:i/>
          <w:iCs/>
          <w:color w:val="000000" w:themeColor="text1"/>
          <w:kern w:val="0"/>
          <w:szCs w:val="24"/>
          <w14:ligatures w14:val="none"/>
        </w:rPr>
        <w:t>Purdue Pharma</w:t>
      </w:r>
      <w:r w:rsidRPr="00C639B0">
        <w:rPr>
          <w:color w:val="000000" w:themeColor="text1"/>
          <w:kern w:val="0"/>
          <w:szCs w:val="24"/>
          <w14:ligatures w14:val="none"/>
        </w:rPr>
        <w:t>, it was generally accepted that a Chapter 11 plan could release claims against nondebtors if the releases were consensual, or nonconsensual in limited circumstances.</w:t>
      </w:r>
      <w:r w:rsidRPr="00C639B0">
        <w:rPr>
          <w:color w:val="000000" w:themeColor="text1"/>
          <w:kern w:val="0"/>
          <w:szCs w:val="24"/>
          <w:vertAlign w:val="superscript"/>
          <w14:ligatures w14:val="none"/>
        </w:rPr>
        <w:footnoteReference w:id="75"/>
      </w:r>
      <w:r w:rsidRPr="00C639B0">
        <w:rPr>
          <w:color w:val="000000" w:themeColor="text1"/>
          <w:kern w:val="0"/>
          <w:szCs w:val="24"/>
          <w14:ligatures w14:val="none"/>
        </w:rPr>
        <w:t xml:space="preserve"> These releases were granted in favor of parties who made sizable contributions to the debtor’s estate but did not file their own bankruptcies. The release agreements absolved the nondebtor of all current and future claims related to the mass tort, which typically was the nondebtor’s </w:t>
      </w:r>
      <w:r w:rsidRPr="00C639B0">
        <w:rPr>
          <w:i/>
          <w:iCs/>
          <w:color w:val="000000" w:themeColor="text1"/>
          <w:kern w:val="0"/>
          <w:szCs w:val="24"/>
          <w14:ligatures w14:val="none"/>
        </w:rPr>
        <w:t>sine qua non</w:t>
      </w:r>
      <w:r w:rsidRPr="00C639B0">
        <w:rPr>
          <w:color w:val="000000" w:themeColor="text1"/>
          <w:kern w:val="0"/>
          <w:szCs w:val="24"/>
          <w14:ligatures w14:val="none"/>
        </w:rPr>
        <w:t xml:space="preserve"> to make sizable contributions to the debtor’s estate. </w:t>
      </w:r>
    </w:p>
    <w:p w14:paraId="359E40E5"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The Supreme Court invalidated nonconsensual releases but expressly took no position on the validity of consensual releases, stating that “[n]othing in what we have said should be construed to call into question consensual third-party releases offered in connection with a bankruptcy reorganization plan.”</w:t>
      </w:r>
      <w:r w:rsidRPr="00C639B0">
        <w:rPr>
          <w:color w:val="000000" w:themeColor="text1"/>
          <w:kern w:val="0"/>
          <w:szCs w:val="24"/>
          <w:vertAlign w:val="superscript"/>
          <w14:ligatures w14:val="none"/>
        </w:rPr>
        <w:footnoteReference w:id="76"/>
      </w:r>
      <w:r w:rsidRPr="00C639B0">
        <w:rPr>
          <w:color w:val="000000" w:themeColor="text1"/>
          <w:kern w:val="0"/>
          <w:szCs w:val="24"/>
          <w14:ligatures w14:val="none"/>
        </w:rPr>
        <w:t xml:space="preserve">  In some mass-tort bankruptcies, funding of a Chapter 11 reorganization </w:t>
      </w:r>
      <w:r w:rsidRPr="00C639B0">
        <w:rPr>
          <w:color w:val="000000" w:themeColor="text1"/>
          <w:kern w:val="0"/>
          <w:szCs w:val="24"/>
          <w14:ligatures w14:val="none"/>
        </w:rPr>
        <w:lastRenderedPageBreak/>
        <w:t xml:space="preserve">plan will depend on contributions to a trust established to compensate tort claimants from nondebtors. The likelihood that some creditors, </w:t>
      </w:r>
      <w:r w:rsidRPr="00C639B0">
        <w:rPr>
          <w:i/>
          <w:iCs/>
          <w:color w:val="000000" w:themeColor="text1"/>
          <w:kern w:val="0"/>
          <w:szCs w:val="24"/>
          <w14:ligatures w14:val="none"/>
        </w:rPr>
        <w:t>e.g</w:t>
      </w:r>
      <w:r w:rsidRPr="00C639B0">
        <w:rPr>
          <w:color w:val="000000" w:themeColor="text1"/>
          <w:kern w:val="0"/>
          <w:szCs w:val="24"/>
          <w14:ligatures w14:val="none"/>
        </w:rPr>
        <w:t>., tort claimants, will withhold their consent to releases and  the extent nondebtors are open to consensual partial-release agreements -- which do not absolve them of liability from all claimants -- will depend on the facts of the case.</w:t>
      </w:r>
      <w:r w:rsidRPr="00C639B0">
        <w:rPr>
          <w:color w:val="000000" w:themeColor="text1"/>
          <w:kern w:val="0"/>
          <w:szCs w:val="24"/>
          <w:vertAlign w:val="superscript"/>
          <w14:ligatures w14:val="none"/>
        </w:rPr>
        <w:footnoteReference w:id="77"/>
      </w:r>
      <w:r w:rsidRPr="00C639B0">
        <w:rPr>
          <w:color w:val="000000" w:themeColor="text1"/>
          <w:kern w:val="0"/>
          <w:szCs w:val="24"/>
          <w14:ligatures w14:val="none"/>
        </w:rPr>
        <w:t xml:space="preserve">  But the Court raised the possibility that the benefit of releases may induce nondebtors to negotiate consensual releases that are more favorable to tort claimants.</w:t>
      </w:r>
      <w:r w:rsidRPr="00C639B0">
        <w:rPr>
          <w:color w:val="000000" w:themeColor="text1"/>
          <w:kern w:val="0"/>
          <w:szCs w:val="24"/>
          <w:vertAlign w:val="superscript"/>
          <w14:ligatures w14:val="none"/>
        </w:rPr>
        <w:footnoteReference w:id="78"/>
      </w:r>
      <w:r w:rsidRPr="00C639B0">
        <w:rPr>
          <w:color w:val="000000" w:themeColor="text1"/>
          <w:kern w:val="0"/>
          <w:szCs w:val="24"/>
          <w14:ligatures w14:val="none"/>
        </w:rPr>
        <w:t xml:space="preserve"> </w:t>
      </w:r>
    </w:p>
    <w:p w14:paraId="132C5EBF"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i/>
          <w:iCs/>
          <w:color w:val="000000" w:themeColor="text1"/>
          <w:kern w:val="0"/>
          <w:szCs w:val="24"/>
          <w14:ligatures w14:val="none"/>
        </w:rPr>
        <w:t>Purdue Pharma</w:t>
      </w:r>
      <w:r w:rsidRPr="00C639B0">
        <w:rPr>
          <w:color w:val="000000" w:themeColor="text1"/>
          <w:kern w:val="0"/>
          <w:szCs w:val="24"/>
          <w14:ligatures w14:val="none"/>
        </w:rPr>
        <w:t xml:space="preserve"> provided no guidance, other than citing </w:t>
      </w:r>
      <w:r w:rsidRPr="00C639B0">
        <w:rPr>
          <w:i/>
          <w:iCs/>
          <w:color w:val="000000" w:themeColor="text1"/>
          <w:kern w:val="0"/>
          <w:szCs w:val="24"/>
          <w14:ligatures w14:val="none"/>
        </w:rPr>
        <w:t>In re Speciality Equipment</w:t>
      </w:r>
      <w:r w:rsidRPr="00C639B0">
        <w:rPr>
          <w:color w:val="000000" w:themeColor="text1"/>
          <w:kern w:val="0"/>
          <w:szCs w:val="24"/>
          <w14:ligatures w14:val="none"/>
        </w:rPr>
        <w:t xml:space="preserve"> </w:t>
      </w:r>
      <w:r w:rsidRPr="00C639B0">
        <w:rPr>
          <w:i/>
          <w:iCs/>
          <w:color w:val="000000" w:themeColor="text1"/>
          <w:kern w:val="0"/>
          <w:szCs w:val="24"/>
          <w14:ligatures w14:val="none"/>
        </w:rPr>
        <w:t>Cos</w:t>
      </w:r>
      <w:r w:rsidRPr="00C639B0">
        <w:rPr>
          <w:color w:val="000000" w:themeColor="text1"/>
          <w:kern w:val="0"/>
          <w:szCs w:val="24"/>
          <w14:ligatures w14:val="none"/>
        </w:rPr>
        <w:t>.,</w:t>
      </w:r>
      <w:r w:rsidRPr="00C639B0">
        <w:rPr>
          <w:color w:val="000000" w:themeColor="text1"/>
          <w:kern w:val="0"/>
          <w:szCs w:val="24"/>
          <w:vertAlign w:val="superscript"/>
          <w14:ligatures w14:val="none"/>
        </w:rPr>
        <w:footnoteReference w:id="79"/>
      </w:r>
      <w:r w:rsidRPr="00C639B0">
        <w:rPr>
          <w:color w:val="000000" w:themeColor="text1"/>
          <w:kern w:val="0"/>
          <w:szCs w:val="24"/>
          <w14:ligatures w14:val="none"/>
        </w:rPr>
        <w:t xml:space="preserve"> for the proposition that consensual releases “pose different questions and may rest on different legal grounds than the nonconsensual release at issue here.”</w:t>
      </w:r>
      <w:r w:rsidRPr="00C639B0">
        <w:rPr>
          <w:color w:val="000000" w:themeColor="text1"/>
          <w:kern w:val="0"/>
          <w:szCs w:val="24"/>
          <w:vertAlign w:val="superscript"/>
          <w14:ligatures w14:val="none"/>
        </w:rPr>
        <w:footnoteReference w:id="80"/>
      </w:r>
      <w:r w:rsidRPr="00C639B0">
        <w:rPr>
          <w:color w:val="000000" w:themeColor="text1"/>
          <w:kern w:val="0"/>
          <w:szCs w:val="24"/>
          <w14:ligatures w14:val="none"/>
        </w:rPr>
        <w:t xml:space="preserve"> Under pre-</w:t>
      </w:r>
      <w:r w:rsidRPr="00C639B0">
        <w:rPr>
          <w:i/>
          <w:iCs/>
          <w:color w:val="000000" w:themeColor="text1"/>
          <w:kern w:val="0"/>
          <w:szCs w:val="24"/>
          <w14:ligatures w14:val="none"/>
        </w:rPr>
        <w:t>Purdue</w:t>
      </w:r>
      <w:r w:rsidRPr="00C639B0">
        <w:rPr>
          <w:color w:val="000000" w:themeColor="text1"/>
          <w:kern w:val="0"/>
          <w:szCs w:val="24"/>
          <w14:ligatures w14:val="none"/>
        </w:rPr>
        <w:t xml:space="preserve"> practice, while courts only approved nonconsensual agreements occasionally, they often approved consensual release agreements as part of a reorganization plan.  In mass-tort bankruptcies, plans often include a mechanism for claimants to “opt out” from a release agreement, which adds sizable contributions from nondebtors to a trust in return for a release from all liability.  The key issue in approving these consensual release agreements was whether the notice of the opt-out provision provided adequate information that was conspicuous, clearly stated, and understandable sufficient to make an informed judgment.</w:t>
      </w:r>
      <w:r w:rsidRPr="00C639B0">
        <w:rPr>
          <w:color w:val="000000" w:themeColor="text1"/>
          <w:kern w:val="0"/>
          <w:szCs w:val="24"/>
          <w:vertAlign w:val="superscript"/>
          <w14:ligatures w14:val="none"/>
        </w:rPr>
        <w:footnoteReference w:id="81"/>
      </w:r>
    </w:p>
    <w:p w14:paraId="283B8FCB"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 xml:space="preserve">Courts addressing the consensual-release issue left open in </w:t>
      </w:r>
      <w:r w:rsidRPr="00C639B0">
        <w:rPr>
          <w:i/>
          <w:iCs/>
          <w:color w:val="000000" w:themeColor="text1"/>
          <w:kern w:val="0"/>
          <w:szCs w:val="24"/>
          <w14:ligatures w14:val="none"/>
        </w:rPr>
        <w:t>Purdue</w:t>
      </w:r>
      <w:r w:rsidRPr="00C639B0">
        <w:rPr>
          <w:color w:val="000000" w:themeColor="text1"/>
          <w:kern w:val="0"/>
          <w:szCs w:val="24"/>
          <w14:ligatures w14:val="none"/>
        </w:rPr>
        <w:t>, have found such agreements valid largely on contractual grounds but have disagreed on how these releases are implemented. Some courts require affirmative opt-in provisions, while others permit opt-out provisions.</w:t>
      </w:r>
      <w:r w:rsidRPr="00C639B0">
        <w:rPr>
          <w:color w:val="000000" w:themeColor="text1"/>
          <w:kern w:val="0"/>
          <w:szCs w:val="24"/>
          <w:vertAlign w:val="superscript"/>
          <w14:ligatures w14:val="none"/>
        </w:rPr>
        <w:footnoteReference w:id="82"/>
      </w:r>
      <w:r w:rsidRPr="00C639B0">
        <w:rPr>
          <w:color w:val="000000" w:themeColor="text1"/>
          <w:kern w:val="0"/>
          <w:szCs w:val="24"/>
          <w14:ligatures w14:val="none"/>
        </w:rPr>
        <w:t xml:space="preserve"> Courts that require an opt-in provision conclude that an affirmative manifestation </w:t>
      </w:r>
      <w:r w:rsidRPr="00C639B0">
        <w:rPr>
          <w:color w:val="000000" w:themeColor="text1"/>
          <w:kern w:val="0"/>
          <w:szCs w:val="24"/>
          <w14:ligatures w14:val="none"/>
        </w:rPr>
        <w:lastRenderedPageBreak/>
        <w:t>indicating consent is important because one’s rights to pursue separate lawsuits may otherwise be extinguished unintentionally.</w:t>
      </w:r>
      <w:r w:rsidRPr="00C639B0">
        <w:rPr>
          <w:color w:val="000000" w:themeColor="text1"/>
          <w:kern w:val="0"/>
          <w:szCs w:val="24"/>
          <w:vertAlign w:val="superscript"/>
          <w14:ligatures w14:val="none"/>
        </w:rPr>
        <w:footnoteReference w:id="83"/>
      </w:r>
      <w:r w:rsidRPr="00C639B0">
        <w:rPr>
          <w:color w:val="000000" w:themeColor="text1"/>
          <w:kern w:val="0"/>
          <w:szCs w:val="24"/>
          <w14:ligatures w14:val="none"/>
        </w:rPr>
        <w:t xml:space="preserve"> Conversely, other courts allow opt-out provisions to protect tort claimants from unintentionally forgoing  added contributions established for their benefit.</w:t>
      </w:r>
      <w:r w:rsidRPr="00C639B0">
        <w:rPr>
          <w:color w:val="000000" w:themeColor="text1"/>
          <w:kern w:val="0"/>
          <w:szCs w:val="24"/>
          <w:vertAlign w:val="superscript"/>
          <w14:ligatures w14:val="none"/>
        </w:rPr>
        <w:footnoteReference w:id="84"/>
      </w:r>
      <w:r w:rsidRPr="00C639B0">
        <w:rPr>
          <w:color w:val="000000" w:themeColor="text1"/>
          <w:kern w:val="0"/>
          <w:szCs w:val="24"/>
          <w14:ligatures w14:val="none"/>
        </w:rPr>
        <w:t xml:space="preserve"> These courts are also concerned that tort claimants underestimate the costs, burdens, and chance of success in pursuing separate litigation as well as difficulty in securing counsel willing to pursue such litigation. </w:t>
      </w:r>
    </w:p>
    <w:p w14:paraId="10082063"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The touchstone for assessing whether opt-in or opt-out provisions meet constitutional due-process considerations is whether the notice enables the tort creditors to make informed decision about whether to accept or decline a release agreement.</w:t>
      </w:r>
      <w:r w:rsidRPr="00C639B0">
        <w:rPr>
          <w:color w:val="000000" w:themeColor="text1"/>
          <w:kern w:val="0"/>
          <w:szCs w:val="24"/>
          <w:vertAlign w:val="superscript"/>
          <w14:ligatures w14:val="none"/>
        </w:rPr>
        <w:footnoteReference w:id="85"/>
      </w:r>
      <w:r w:rsidRPr="00C639B0">
        <w:rPr>
          <w:color w:val="000000" w:themeColor="text1"/>
          <w:kern w:val="0"/>
          <w:szCs w:val="24"/>
          <w14:ligatures w14:val="none"/>
        </w:rPr>
        <w:t xml:space="preserve"> Jurisprudence governing notices to opt out from proposed class-action settlements under FED. R. CIV. P. 23(c), including the means, format, and content of notices that meet constitutional due-process requirements, provides guidance on effecting a valid consensual release in a mass-tort bankruptcy.</w:t>
      </w:r>
      <w:r w:rsidRPr="00C639B0">
        <w:rPr>
          <w:color w:val="000000" w:themeColor="text1"/>
          <w:kern w:val="0"/>
          <w:szCs w:val="24"/>
          <w:vertAlign w:val="superscript"/>
          <w14:ligatures w14:val="none"/>
        </w:rPr>
        <w:footnoteReference w:id="86"/>
      </w:r>
      <w:r w:rsidRPr="00C639B0">
        <w:rPr>
          <w:color w:val="000000" w:themeColor="text1"/>
          <w:kern w:val="0"/>
          <w:szCs w:val="24"/>
          <w14:ligatures w14:val="none"/>
        </w:rPr>
        <w:t xml:space="preserve">  </w:t>
      </w:r>
      <w:r w:rsidRPr="00C639B0">
        <w:rPr>
          <w:i/>
          <w:iCs/>
          <w:color w:val="000000" w:themeColor="text1"/>
          <w:kern w:val="0"/>
          <w:szCs w:val="24"/>
          <w14:ligatures w14:val="none"/>
        </w:rPr>
        <w:t>See</w:t>
      </w:r>
      <w:r w:rsidRPr="00C639B0">
        <w:rPr>
          <w:color w:val="000000" w:themeColor="text1"/>
          <w:kern w:val="0"/>
          <w:szCs w:val="24"/>
          <w14:ligatures w14:val="none"/>
        </w:rPr>
        <w:t xml:space="preserve"> </w:t>
      </w:r>
      <w:r w:rsidRPr="00C639B0">
        <w:rPr>
          <w:rFonts w:eastAsia="Times New Roman" w:cs="Times New Roman"/>
          <w:b/>
          <w:bCs/>
          <w:color w:val="000000"/>
          <w:kern w:val="0"/>
          <w:szCs w:val="24"/>
          <w14:ligatures w14:val="none"/>
        </w:rPr>
        <w:t xml:space="preserve">GUIDELINE </w:t>
      </w:r>
      <w:r w:rsidRPr="00C639B0">
        <w:rPr>
          <w:rFonts w:eastAsia="Times New Roman" w:cs="Times New Roman"/>
          <w:b/>
          <w:bCs/>
          <w:color w:val="000000"/>
          <w:kern w:val="0"/>
          <w:szCs w:val="24"/>
          <w14:ligatures w14:val="none"/>
        </w:rPr>
        <w:lastRenderedPageBreak/>
        <w:t>MDL-§ 17</w:t>
      </w:r>
      <w:r w:rsidRPr="00C639B0">
        <w:rPr>
          <w:rFonts w:eastAsia="Times New Roman" w:cs="Times New Roman"/>
          <w:color w:val="000000"/>
          <w:kern w:val="0"/>
          <w:szCs w:val="24"/>
          <w14:ligatures w14:val="none"/>
        </w:rPr>
        <w:t xml:space="preserve"> for a discussion of best practices promoting clarity in writing notices, including release provisions.</w:t>
      </w:r>
      <w:r w:rsidRPr="00C639B0">
        <w:rPr>
          <w:rFonts w:eastAsia="Times New Roman" w:cs="Times New Roman"/>
          <w:b/>
          <w:bCs/>
          <w:color w:val="000000"/>
          <w:kern w:val="0"/>
          <w:szCs w:val="24"/>
          <w14:ligatures w14:val="none"/>
        </w:rPr>
        <w:t xml:space="preserve"> </w:t>
      </w:r>
    </w:p>
    <w:p w14:paraId="22CF2DF0" w14:textId="77777777" w:rsidR="00C639B0" w:rsidRPr="00C639B0" w:rsidRDefault="00C639B0" w:rsidP="00C639B0">
      <w:pPr>
        <w:spacing w:after="0" w:line="240" w:lineRule="auto"/>
        <w:ind w:left="720" w:right="720"/>
        <w:contextualSpacing/>
        <w:jc w:val="both"/>
        <w:rPr>
          <w:rFonts w:cs="Times New Roman"/>
          <w:kern w:val="0"/>
          <w:szCs w:val="24"/>
          <w14:ligatures w14:val="none"/>
        </w:rPr>
      </w:pPr>
      <w:r w:rsidRPr="00C639B0">
        <w:rPr>
          <w:rFonts w:eastAsia="Times New Roman" w:cs="Times New Roman"/>
          <w:b/>
          <w:bCs/>
          <w:color w:val="000000"/>
          <w:kern w:val="0"/>
          <w:szCs w:val="24"/>
          <w14:ligatures w14:val="none"/>
        </w:rPr>
        <w:t>Best Practice MDL-§ 17(b): </w:t>
      </w:r>
      <w:r w:rsidRPr="00C639B0">
        <w:rPr>
          <w:rFonts w:eastAsia="Times New Roman" w:cs="Times New Roman"/>
          <w:color w:val="000000"/>
          <w:kern w:val="0"/>
          <w:szCs w:val="24"/>
          <w14:ligatures w14:val="none"/>
        </w:rPr>
        <w:t xml:space="preserve">A notice asking creditors to release claims against a nondebtor and waive their rights to sue the nondebtor must fully and clearly explain the request, instructions, and consequences. </w:t>
      </w:r>
      <w:r w:rsidRPr="00C639B0">
        <w:rPr>
          <w:color w:val="000000" w:themeColor="text1"/>
          <w:kern w:val="0"/>
          <w:szCs w:val="24"/>
          <w14:ligatures w14:val="none"/>
        </w:rPr>
        <w:t xml:space="preserve">Permanent No. </w:t>
      </w:r>
      <w:r w:rsidRPr="00C639B0">
        <w:rPr>
          <w:rFonts w:cs="Times New Roman"/>
          <w:color w:val="000000" w:themeColor="text1"/>
          <w:kern w:val="0"/>
          <w:szCs w:val="24"/>
          <w14:ligatures w14:val="none"/>
        </w:rPr>
        <w:t>MDL-§ 21(b).</w:t>
      </w:r>
    </w:p>
    <w:p w14:paraId="01221DF8" w14:textId="77777777" w:rsidR="00C639B0" w:rsidRPr="00C639B0" w:rsidRDefault="00C639B0" w:rsidP="00C639B0">
      <w:pPr>
        <w:spacing w:after="0" w:line="240" w:lineRule="auto"/>
        <w:ind w:right="720"/>
        <w:contextualSpacing/>
        <w:jc w:val="both"/>
        <w:rPr>
          <w:rFonts w:cs="Times New Roman"/>
          <w:kern w:val="0"/>
          <w:szCs w:val="24"/>
          <w14:ligatures w14:val="none"/>
        </w:rPr>
      </w:pPr>
    </w:p>
    <w:p w14:paraId="14E4550A" w14:textId="77777777" w:rsidR="00C639B0" w:rsidRPr="00C639B0" w:rsidRDefault="00C639B0" w:rsidP="00C639B0">
      <w:pPr>
        <w:spacing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The principles described in Best Practice MDL-§ 17(a) above, with respect to notices to tort claimants generally, apply with at least equal force to releases of claims against nondebtors.  Contributions from nondebtors to the debtor’s estate (or, increasingly commonly, to a trust for the benefit of tort claimants) will often be a significant part of the funding for tort claimants’ recoveries.  And those contributions can be an important consideration for those eligible to vote to confirm a proposed reorganization plan.  </w:t>
      </w:r>
    </w:p>
    <w:p w14:paraId="169F1EFA" w14:textId="77777777" w:rsidR="00C639B0" w:rsidRPr="00C639B0" w:rsidRDefault="00C639B0" w:rsidP="00C639B0">
      <w:pPr>
        <w:spacing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But the nondebtor’s contributions are contingent on releases from claims—which must be described in a notice incident to confirmation of the plan.  Releases (and notices relating to them) must be written in plain, easily understood English.  </w:t>
      </w:r>
      <w:r w:rsidRPr="00C639B0">
        <w:rPr>
          <w:rFonts w:cs="Times New Roman"/>
          <w:i/>
          <w:iCs/>
          <w:color w:val="000000" w:themeColor="text1"/>
          <w:kern w:val="0"/>
          <w:szCs w:val="24"/>
          <w14:ligatures w14:val="none"/>
        </w:rPr>
        <w:t>See</w:t>
      </w:r>
      <w:r w:rsidRPr="00C639B0">
        <w:rPr>
          <w:rFonts w:cs="Times New Roman"/>
          <w:color w:val="000000" w:themeColor="text1"/>
          <w:kern w:val="0"/>
          <w:szCs w:val="24"/>
          <w14:ligatures w14:val="none"/>
        </w:rPr>
        <w:t xml:space="preserve"> GUIDELINE </w:t>
      </w:r>
      <w:r w:rsidRPr="00C639B0">
        <w:rPr>
          <w:rFonts w:eastAsia="Times New Roman" w:cs="Times New Roman"/>
          <w:color w:val="000000"/>
          <w:kern w:val="0"/>
          <w:szCs w:val="24"/>
          <w14:ligatures w14:val="none"/>
        </w:rPr>
        <w:t>MDL-§ 16 for a discussion</w:t>
      </w:r>
      <w:r w:rsidRPr="00C639B0">
        <w:rPr>
          <w:rFonts w:eastAsia="Times New Roman" w:cs="Times New Roman"/>
          <w:b/>
          <w:bCs/>
          <w:color w:val="000000"/>
          <w:kern w:val="0"/>
          <w:szCs w:val="24"/>
          <w14:ligatures w14:val="none"/>
        </w:rPr>
        <w:t xml:space="preserve"> </w:t>
      </w:r>
      <w:r w:rsidRPr="00C639B0">
        <w:rPr>
          <w:rFonts w:eastAsia="Times New Roman" w:cs="Times New Roman"/>
          <w:color w:val="000000"/>
          <w:kern w:val="0"/>
          <w:szCs w:val="24"/>
          <w14:ligatures w14:val="none"/>
        </w:rPr>
        <w:t>of release provisions</w:t>
      </w:r>
      <w:r w:rsidRPr="00C639B0">
        <w:rPr>
          <w:rFonts w:eastAsia="Times New Roman" w:cs="Times New Roman"/>
          <w:b/>
          <w:bCs/>
          <w:color w:val="000000"/>
          <w:kern w:val="0"/>
          <w:szCs w:val="24"/>
          <w14:ligatures w14:val="none"/>
        </w:rPr>
        <w:t xml:space="preserve"> </w:t>
      </w:r>
      <w:r w:rsidRPr="00C639B0">
        <w:rPr>
          <w:rFonts w:eastAsia="Times New Roman" w:cs="Times New Roman"/>
          <w:color w:val="000000"/>
          <w:kern w:val="0"/>
          <w:szCs w:val="24"/>
          <w14:ligatures w14:val="none"/>
        </w:rPr>
        <w:t xml:space="preserve">and the effect of the Supreme Court’s decision in </w:t>
      </w:r>
      <w:r w:rsidRPr="00C639B0">
        <w:rPr>
          <w:rFonts w:eastAsia="Times New Roman" w:cs="Times New Roman"/>
          <w:i/>
          <w:iCs/>
          <w:color w:val="000000"/>
          <w:kern w:val="0"/>
          <w:szCs w:val="24"/>
          <w14:ligatures w14:val="none"/>
        </w:rPr>
        <w:t>Purdue Pharma</w:t>
      </w:r>
      <w:r w:rsidRPr="00C639B0">
        <w:rPr>
          <w:rFonts w:eastAsia="Times New Roman" w:cs="Times New Roman"/>
          <w:b/>
          <w:bCs/>
          <w:color w:val="000000"/>
          <w:kern w:val="0"/>
          <w:szCs w:val="24"/>
          <w14:ligatures w14:val="none"/>
        </w:rPr>
        <w:t>.</w:t>
      </w:r>
    </w:p>
    <w:p w14:paraId="71742097"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i/>
          <w:iCs/>
          <w:color w:val="000000" w:themeColor="text1"/>
          <w:kern w:val="0"/>
          <w:szCs w:val="24"/>
          <w14:ligatures w14:val="none"/>
        </w:rPr>
        <w:t>Purdue Pharma</w:t>
      </w:r>
      <w:r w:rsidRPr="00C639B0">
        <w:rPr>
          <w:color w:val="000000" w:themeColor="text1"/>
          <w:kern w:val="0"/>
          <w:szCs w:val="24"/>
          <w14:ligatures w14:val="none"/>
        </w:rPr>
        <w:t xml:space="preserve"> prohibits nonconsensual release provisions but provides little guidance for the use of consensual releases. Post-</w:t>
      </w:r>
      <w:r w:rsidRPr="00C639B0">
        <w:rPr>
          <w:i/>
          <w:iCs/>
          <w:color w:val="000000" w:themeColor="text1"/>
          <w:kern w:val="0"/>
          <w:szCs w:val="24"/>
          <w14:ligatures w14:val="none"/>
        </w:rPr>
        <w:t>Purdue</w:t>
      </w:r>
      <w:r w:rsidRPr="00C639B0">
        <w:rPr>
          <w:color w:val="000000" w:themeColor="text1"/>
          <w:kern w:val="0"/>
          <w:szCs w:val="24"/>
          <w14:ligatures w14:val="none"/>
        </w:rPr>
        <w:t xml:space="preserve"> courts addressing the consensual-release issue left open in </w:t>
      </w:r>
      <w:r w:rsidRPr="00C639B0">
        <w:rPr>
          <w:i/>
          <w:iCs/>
          <w:color w:val="000000" w:themeColor="text1"/>
          <w:kern w:val="0"/>
          <w:szCs w:val="24"/>
          <w14:ligatures w14:val="none"/>
        </w:rPr>
        <w:t>Purdue</w:t>
      </w:r>
      <w:r w:rsidRPr="00C639B0">
        <w:rPr>
          <w:color w:val="000000" w:themeColor="text1"/>
          <w:kern w:val="0"/>
          <w:szCs w:val="24"/>
          <w14:ligatures w14:val="none"/>
        </w:rPr>
        <w:t>, have disagreed on how these releases are effected, with some courts requiring affirmative opt-in provisions and others permitting opt-out provisions.</w:t>
      </w:r>
      <w:r w:rsidRPr="00C639B0">
        <w:rPr>
          <w:color w:val="000000" w:themeColor="text1"/>
          <w:kern w:val="0"/>
          <w:szCs w:val="24"/>
          <w:vertAlign w:val="superscript"/>
          <w14:ligatures w14:val="none"/>
        </w:rPr>
        <w:footnoteReference w:id="87"/>
      </w:r>
      <w:r w:rsidRPr="00C639B0">
        <w:rPr>
          <w:color w:val="000000" w:themeColor="text1"/>
          <w:kern w:val="0"/>
          <w:szCs w:val="24"/>
          <w14:ligatures w14:val="none"/>
        </w:rPr>
        <w:t xml:space="preserve">  In either event, the notice of the opt-out or opt-in provision must provide adequate information that is conspicuous, clearly stated, and sufficiently understandable to make an informed judgment.</w:t>
      </w:r>
      <w:r w:rsidRPr="00C639B0">
        <w:rPr>
          <w:color w:val="000000" w:themeColor="text1"/>
          <w:kern w:val="0"/>
          <w:szCs w:val="24"/>
          <w:vertAlign w:val="superscript"/>
          <w14:ligatures w14:val="none"/>
        </w:rPr>
        <w:footnoteReference w:id="88"/>
      </w:r>
      <w:r w:rsidRPr="00C639B0">
        <w:rPr>
          <w:color w:val="000000" w:themeColor="text1"/>
          <w:kern w:val="0"/>
          <w:szCs w:val="24"/>
          <w14:ligatures w14:val="none"/>
        </w:rPr>
        <w:t xml:space="preserve">  Such information should explain the </w:t>
      </w:r>
      <w:r w:rsidRPr="00C639B0">
        <w:rPr>
          <w:i/>
          <w:iCs/>
          <w:color w:val="000000" w:themeColor="text1"/>
          <w:kern w:val="0"/>
          <w:szCs w:val="24"/>
          <w14:ligatures w14:val="none"/>
        </w:rPr>
        <w:t>quid pro quo</w:t>
      </w:r>
      <w:r w:rsidRPr="00C639B0">
        <w:rPr>
          <w:color w:val="000000" w:themeColor="text1"/>
          <w:kern w:val="0"/>
          <w:szCs w:val="24"/>
          <w14:ligatures w14:val="none"/>
        </w:rPr>
        <w:t xml:space="preserve"> in exchange for the release, </w:t>
      </w:r>
      <w:r w:rsidRPr="00C639B0">
        <w:rPr>
          <w:i/>
          <w:iCs/>
          <w:color w:val="000000" w:themeColor="text1"/>
          <w:kern w:val="0"/>
          <w:szCs w:val="24"/>
          <w14:ligatures w14:val="none"/>
        </w:rPr>
        <w:t>e.g</w:t>
      </w:r>
      <w:r w:rsidRPr="00C639B0">
        <w:rPr>
          <w:color w:val="000000" w:themeColor="text1"/>
          <w:kern w:val="0"/>
          <w:szCs w:val="24"/>
          <w14:ligatures w14:val="none"/>
        </w:rPr>
        <w:t>., the amount of contributions from the nondebtor to the trust fund, the anticipated recovery per type of injury, and the initial payment percentage.</w:t>
      </w:r>
      <w:r w:rsidRPr="00C639B0">
        <w:rPr>
          <w:color w:val="000000" w:themeColor="text1"/>
          <w:kern w:val="0"/>
          <w:szCs w:val="24"/>
          <w:vertAlign w:val="superscript"/>
          <w14:ligatures w14:val="none"/>
        </w:rPr>
        <w:footnoteReference w:id="89"/>
      </w:r>
      <w:r w:rsidRPr="00C639B0">
        <w:rPr>
          <w:color w:val="000000" w:themeColor="text1"/>
          <w:kern w:val="0"/>
          <w:szCs w:val="24"/>
          <w14:ligatures w14:val="none"/>
        </w:rPr>
        <w:t xml:space="preserve">  </w:t>
      </w:r>
    </w:p>
    <w:p w14:paraId="0F133928" w14:textId="77777777" w:rsidR="00C639B0" w:rsidRPr="00C639B0" w:rsidRDefault="00C639B0" w:rsidP="00C639B0">
      <w:pPr>
        <w:spacing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In many cases, the master ballot for a plan’s confirmation contains space for a release provision, which provides an efficient means to secure tort claimants’ consents.  The release provisions in the ballot typically notify tort-claimant creditors of their rights to: </w:t>
      </w:r>
    </w:p>
    <w:p w14:paraId="6F846BCD" w14:textId="77777777" w:rsidR="00C639B0" w:rsidRPr="00C639B0" w:rsidRDefault="00C639B0" w:rsidP="00C639B0">
      <w:pPr>
        <w:numPr>
          <w:ilvl w:val="0"/>
          <w:numId w:val="6"/>
        </w:numPr>
        <w:tabs>
          <w:tab w:val="left" w:pos="432"/>
        </w:tabs>
        <w:spacing w:after="240" w:line="240" w:lineRule="auto"/>
        <w:ind w:left="1080" w:right="720"/>
        <w:jc w:val="both"/>
      </w:pPr>
      <w:r w:rsidRPr="00C639B0">
        <w:lastRenderedPageBreak/>
        <w:t>consent to release claims against nondebtors and share in the nondebtors’ contributions to a trust established for their benefit; or</w:t>
      </w:r>
    </w:p>
    <w:p w14:paraId="4628811F" w14:textId="77777777" w:rsidR="00C639B0" w:rsidRPr="00C639B0" w:rsidRDefault="00C639B0" w:rsidP="00C639B0">
      <w:pPr>
        <w:numPr>
          <w:ilvl w:val="0"/>
          <w:numId w:val="6"/>
        </w:numPr>
        <w:tabs>
          <w:tab w:val="left" w:pos="432"/>
        </w:tabs>
        <w:spacing w:after="240" w:line="240" w:lineRule="auto"/>
        <w:ind w:left="1080" w:right="720"/>
        <w:jc w:val="both"/>
      </w:pPr>
      <w:r w:rsidRPr="00C639B0">
        <w:t>reject releasing claims against nondebtors, leaving open the opportunity to sue, continue to sue, or be part of any other lawsuit against the nondebtors about the legal issues in this case.</w:t>
      </w:r>
    </w:p>
    <w:p w14:paraId="1AEE6099" w14:textId="77777777" w:rsidR="00C639B0" w:rsidRPr="00C639B0" w:rsidRDefault="00C639B0" w:rsidP="00C639B0">
      <w:pPr>
        <w:spacing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To achieve that end, master ballots often contain an opt-out checkbox, which must be checked by anyone who wants to be excluded from an agreement releasing claims against nondebtors.  A note accompanies the checkbox, which explains the consequences of checking or failing to check the opt-out box when the creditor votes to accept or reject the plan.  A full explanation of the consequences of the possible voting scenarios is required, addressing consequences when a tort-claimant creditor, for example: </w:t>
      </w:r>
    </w:p>
    <w:p w14:paraId="45FC9B5C" w14:textId="77777777" w:rsidR="00C639B0" w:rsidRPr="00C639B0" w:rsidRDefault="00C639B0" w:rsidP="00C639B0">
      <w:pPr>
        <w:numPr>
          <w:ilvl w:val="0"/>
          <w:numId w:val="5"/>
        </w:numPr>
        <w:tabs>
          <w:tab w:val="left" w:pos="432"/>
        </w:tabs>
        <w:spacing w:after="240" w:line="240" w:lineRule="auto"/>
        <w:ind w:left="1080" w:right="720"/>
        <w:jc w:val="both"/>
      </w:pPr>
      <w:r w:rsidRPr="00C639B0">
        <w:t>approves</w:t>
      </w:r>
      <w:r w:rsidRPr="00C639B0">
        <w:rPr>
          <w:b/>
          <w:bCs/>
        </w:rPr>
        <w:t xml:space="preserve"> </w:t>
      </w:r>
      <w:r w:rsidRPr="00C639B0">
        <w:t>plan confirmation, and fails to check the opt-out box;</w:t>
      </w:r>
    </w:p>
    <w:p w14:paraId="06E0E0BB" w14:textId="77777777" w:rsidR="00C639B0" w:rsidRPr="00C639B0" w:rsidRDefault="00C639B0" w:rsidP="00C639B0">
      <w:pPr>
        <w:numPr>
          <w:ilvl w:val="0"/>
          <w:numId w:val="5"/>
        </w:numPr>
        <w:tabs>
          <w:tab w:val="left" w:pos="432"/>
        </w:tabs>
        <w:spacing w:after="240" w:line="240" w:lineRule="auto"/>
        <w:ind w:left="1080" w:right="720"/>
        <w:jc w:val="both"/>
      </w:pPr>
      <w:r w:rsidRPr="00C639B0">
        <w:t>approves plan confirmation, and checks the opt-out box;</w:t>
      </w:r>
    </w:p>
    <w:p w14:paraId="7C1A2445" w14:textId="77777777" w:rsidR="00C639B0" w:rsidRPr="00C639B0" w:rsidRDefault="00C639B0" w:rsidP="00C639B0">
      <w:pPr>
        <w:numPr>
          <w:ilvl w:val="0"/>
          <w:numId w:val="5"/>
        </w:numPr>
        <w:tabs>
          <w:tab w:val="left" w:pos="432"/>
        </w:tabs>
        <w:spacing w:after="240" w:line="240" w:lineRule="auto"/>
        <w:ind w:left="1080" w:right="720"/>
        <w:jc w:val="both"/>
      </w:pPr>
      <w:r w:rsidRPr="00C639B0">
        <w:t>fails to approve plan confirmation (by abstaining, or failing to vote, on the confirmation vote) and fails to</w:t>
      </w:r>
      <w:r w:rsidRPr="00C639B0">
        <w:rPr>
          <w:b/>
          <w:bCs/>
        </w:rPr>
        <w:t xml:space="preserve"> </w:t>
      </w:r>
      <w:r w:rsidRPr="00C639B0">
        <w:t>check the op-out box; or</w:t>
      </w:r>
    </w:p>
    <w:p w14:paraId="11EE7011" w14:textId="77777777" w:rsidR="00C639B0" w:rsidRPr="00C639B0" w:rsidRDefault="00C639B0" w:rsidP="00C639B0">
      <w:pPr>
        <w:numPr>
          <w:ilvl w:val="0"/>
          <w:numId w:val="5"/>
        </w:numPr>
        <w:tabs>
          <w:tab w:val="left" w:pos="432"/>
        </w:tabs>
        <w:spacing w:after="240" w:line="240" w:lineRule="auto"/>
        <w:ind w:left="1080" w:right="720"/>
        <w:jc w:val="both"/>
      </w:pPr>
      <w:r w:rsidRPr="00C639B0">
        <w:t>fails to approve the plan confirmation (by a vote against it) and checks the opt-out box.</w:t>
      </w:r>
      <w:r w:rsidRPr="00C639B0">
        <w:rPr>
          <w:rFonts w:cs="Times New Roman"/>
          <w:vertAlign w:val="superscript"/>
        </w:rPr>
        <w:footnoteReference w:id="90"/>
      </w:r>
    </w:p>
    <w:p w14:paraId="034DFF8A"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rFonts w:cs="Times New Roman"/>
          <w:color w:val="000000" w:themeColor="text1"/>
          <w:kern w:val="0"/>
          <w:szCs w:val="24"/>
          <w14:ligatures w14:val="none"/>
        </w:rPr>
        <w:t xml:space="preserve">These opt-out release mechanisms will be particularly scrutinized after </w:t>
      </w:r>
      <w:r w:rsidRPr="00C639B0">
        <w:rPr>
          <w:rFonts w:cs="Times New Roman"/>
          <w:i/>
          <w:iCs/>
          <w:color w:val="000000" w:themeColor="text1"/>
          <w:kern w:val="0"/>
          <w:szCs w:val="24"/>
          <w14:ligatures w14:val="none"/>
        </w:rPr>
        <w:t>Purdue Pharma</w:t>
      </w:r>
      <w:r w:rsidRPr="00C639B0">
        <w:rPr>
          <w:rFonts w:cs="Times New Roman"/>
          <w:color w:val="000000" w:themeColor="text1"/>
          <w:kern w:val="0"/>
          <w:szCs w:val="24"/>
          <w14:ligatures w14:val="none"/>
        </w:rPr>
        <w:t xml:space="preserve"> to assess whether the action or inaction of the claimant qualifies as a knowing and consensual release.  </w:t>
      </w:r>
      <w:r w:rsidRPr="00C639B0">
        <w:rPr>
          <w:color w:val="000000" w:themeColor="text1"/>
          <w:kern w:val="0"/>
          <w:szCs w:val="24"/>
          <w14:ligatures w14:val="none"/>
        </w:rPr>
        <w:t>The touchstone for assessing whether opt-in or opt-out provisions meet constitutional due-process considerations is whether the notice to tort creditors enables them to make informed decisions about whether to accept or decline a release agreement and understand the consequences of their action or inaction.</w:t>
      </w:r>
      <w:r w:rsidRPr="00C639B0">
        <w:rPr>
          <w:color w:val="000000" w:themeColor="text1"/>
          <w:kern w:val="0"/>
          <w:szCs w:val="24"/>
          <w:vertAlign w:val="superscript"/>
          <w14:ligatures w14:val="none"/>
        </w:rPr>
        <w:footnoteReference w:id="91"/>
      </w:r>
      <w:r w:rsidRPr="00C639B0">
        <w:rPr>
          <w:color w:val="000000" w:themeColor="text1"/>
          <w:kern w:val="0"/>
          <w:szCs w:val="24"/>
          <w14:ligatures w14:val="none"/>
        </w:rPr>
        <w:t xml:space="preserve">  </w:t>
      </w:r>
    </w:p>
    <w:p w14:paraId="62510FEC" w14:textId="77777777" w:rsidR="00C639B0" w:rsidRPr="00C639B0" w:rsidRDefault="00C639B0" w:rsidP="00C639B0">
      <w:pPr>
        <w:spacing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lastRenderedPageBreak/>
        <w:t>Courts have held “opt-out” release boxes contained in the middle of a master ballot located next to the box for accepting or rejecting a proposed plan adequate—if the language explaining the consequences of checking the box is conspicuously and clearly stated.</w:t>
      </w:r>
      <w:r w:rsidRPr="00C639B0">
        <w:rPr>
          <w:rFonts w:cs="Times New Roman"/>
          <w:color w:val="000000" w:themeColor="text1"/>
          <w:kern w:val="0"/>
          <w:szCs w:val="24"/>
          <w:vertAlign w:val="superscript"/>
          <w14:ligatures w14:val="none"/>
        </w:rPr>
        <w:footnoteReference w:id="92"/>
      </w:r>
      <w:r w:rsidRPr="00C639B0">
        <w:rPr>
          <w:rFonts w:cs="Times New Roman"/>
          <w:color w:val="000000" w:themeColor="text1"/>
          <w:kern w:val="0"/>
          <w:szCs w:val="24"/>
          <w14:ligatures w14:val="none"/>
        </w:rPr>
        <w:t xml:space="preserve">  But too often the text explaining these release provisions is full of legalese, overlong, in all caps, and contained in long block paragraphs, which obfuscate—instead of clarifying—the issue for the tort-claimant creditor.</w:t>
      </w:r>
      <w:r w:rsidRPr="00C639B0">
        <w:rPr>
          <w:rFonts w:cs="Times New Roman"/>
          <w:color w:val="000000" w:themeColor="text1"/>
          <w:kern w:val="0"/>
          <w:szCs w:val="24"/>
          <w:vertAlign w:val="superscript"/>
          <w14:ligatures w14:val="none"/>
        </w:rPr>
        <w:footnoteReference w:id="93"/>
      </w:r>
      <w:r w:rsidRPr="00C639B0">
        <w:rPr>
          <w:rFonts w:cs="Times New Roman"/>
          <w:color w:val="000000" w:themeColor="text1"/>
          <w:kern w:val="0"/>
          <w:szCs w:val="24"/>
          <w14:ligatures w14:val="none"/>
        </w:rPr>
        <w:t xml:space="preserve">  In addition, they often fail to explain the </w:t>
      </w:r>
      <w:r w:rsidRPr="00C639B0">
        <w:rPr>
          <w:rFonts w:cs="Times New Roman"/>
          <w:i/>
          <w:iCs/>
          <w:color w:val="000000" w:themeColor="text1"/>
          <w:kern w:val="0"/>
          <w:szCs w:val="24"/>
          <w14:ligatures w14:val="none"/>
        </w:rPr>
        <w:t>quid pro quo</w:t>
      </w:r>
      <w:r w:rsidRPr="00C639B0">
        <w:rPr>
          <w:rFonts w:cs="Times New Roman"/>
          <w:color w:val="000000" w:themeColor="text1"/>
          <w:kern w:val="0"/>
          <w:szCs w:val="24"/>
          <w14:ligatures w14:val="none"/>
        </w:rPr>
        <w:t xml:space="preserve"> in exchange for the release.</w:t>
      </w:r>
    </w:p>
    <w:p w14:paraId="5ADCB2D1" w14:textId="77777777" w:rsidR="00C639B0" w:rsidRPr="00C639B0" w:rsidRDefault="00C639B0" w:rsidP="00C639B0">
      <w:pPr>
        <w:spacing w:line="360" w:lineRule="auto"/>
        <w:ind w:firstLine="720"/>
        <w:jc w:val="both"/>
        <w:rPr>
          <w:rFonts w:cs="Times New Roman"/>
          <w:color w:val="000000" w:themeColor="text1"/>
          <w:kern w:val="0"/>
          <w:szCs w:val="24"/>
          <w14:ligatures w14:val="none"/>
        </w:rPr>
      </w:pPr>
      <w:r w:rsidRPr="00C639B0">
        <w:rPr>
          <w:rFonts w:cs="Times New Roman"/>
          <w:color w:val="000000" w:themeColor="text1"/>
          <w:kern w:val="0"/>
          <w:szCs w:val="24"/>
          <w14:ligatures w14:val="none"/>
        </w:rPr>
        <w:t xml:space="preserve">Highlighting unclear release text in bold print, upper-case letters, and repeating the text in multiple places does not cure bad content; it makes it worse.  And it calls into question whether the claimants’ releases can be fairly said to be knowing and consensual. </w:t>
      </w:r>
    </w:p>
    <w:p w14:paraId="5FC4E3DA" w14:textId="51040111" w:rsidR="00C639B0" w:rsidRPr="00C639B0" w:rsidRDefault="00C639B0" w:rsidP="00C639B0">
      <w:pPr>
        <w:spacing w:line="360" w:lineRule="auto"/>
        <w:ind w:firstLine="720"/>
        <w:jc w:val="both"/>
        <w:rPr>
          <w:rFonts w:cs="Times New Roman"/>
          <w:b/>
          <w:bCs/>
          <w:color w:val="000000" w:themeColor="text1"/>
          <w:kern w:val="0"/>
          <w:szCs w:val="24"/>
          <w14:ligatures w14:val="none"/>
        </w:rPr>
      </w:pPr>
      <w:r w:rsidRPr="00C639B0">
        <w:rPr>
          <w:rFonts w:cs="Times New Roman"/>
          <w:color w:val="000000" w:themeColor="text1"/>
          <w:kern w:val="0"/>
          <w:szCs w:val="24"/>
          <w14:ligatures w14:val="none"/>
        </w:rPr>
        <w:t xml:space="preserve">Appendix B contains a side-by-side comparison with a standard-release provision and a restyled version, which is substantially shorter and clearer </w:t>
      </w:r>
      <w:r w:rsidRPr="00C639B0">
        <w:rPr>
          <w:rFonts w:eastAsia="Times New Roman" w:cs="Times New Roman"/>
          <w:color w:val="000000"/>
          <w:kern w:val="0"/>
          <w:szCs w:val="24"/>
          <w14:ligatures w14:val="none"/>
        </w:rPr>
        <w:t xml:space="preserve">(posted on Center website at </w:t>
      </w:r>
      <w:hyperlink r:id="rId9" w:history="1">
        <w:r w:rsidR="00FD0EB6" w:rsidRPr="007C1677">
          <w:rPr>
            <w:rStyle w:val="Hyperlink"/>
            <w:rFonts w:eastAsia="Times New Roman" w:cs="Times New Roman"/>
            <w:kern w:val="0"/>
            <w:szCs w:val="24"/>
            <w14:ligatures w14:val="none"/>
          </w:rPr>
          <w:t>https://rabiejcenter.org/</w:t>
        </w:r>
      </w:hyperlink>
      <w:r w:rsidR="00FD0EB6">
        <w:rPr>
          <w:rFonts w:eastAsia="Times New Roman" w:cs="Times New Roman"/>
          <w:color w:val="000000"/>
          <w:kern w:val="0"/>
          <w:szCs w:val="24"/>
          <w14:ligatures w14:val="none"/>
        </w:rPr>
        <w:t xml:space="preserve"> .</w:t>
      </w:r>
    </w:p>
    <w:p w14:paraId="1F65F990" w14:textId="77777777" w:rsidR="00C639B0" w:rsidRPr="00C639B0" w:rsidRDefault="00C639B0" w:rsidP="00C639B0">
      <w:pPr>
        <w:spacing w:after="0" w:line="240" w:lineRule="auto"/>
        <w:ind w:left="720" w:right="720"/>
        <w:jc w:val="both"/>
        <w:rPr>
          <w:color w:val="000000" w:themeColor="text1"/>
          <w:kern w:val="0"/>
          <w:szCs w:val="24"/>
          <w14:ligatures w14:val="none"/>
        </w:rPr>
      </w:pPr>
      <w:r w:rsidRPr="00C639B0">
        <w:rPr>
          <w:rFonts w:cs="Times New Roman"/>
          <w:b/>
          <w:bCs/>
          <w:color w:val="000000" w:themeColor="text1"/>
          <w:kern w:val="0"/>
          <w:szCs w:val="24"/>
          <w14:ligatures w14:val="none"/>
        </w:rPr>
        <w:t>Best Practice MDL-§ 17(c):</w:t>
      </w:r>
      <w:r w:rsidRPr="00C639B0">
        <w:rPr>
          <w:b/>
          <w:bCs/>
          <w:color w:val="000000" w:themeColor="text1"/>
          <w:kern w:val="0"/>
          <w:szCs w:val="24"/>
          <w14:ligatures w14:val="none"/>
        </w:rPr>
        <w:t xml:space="preserve"> </w:t>
      </w:r>
      <w:r w:rsidRPr="00C639B0">
        <w:rPr>
          <w:color w:val="000000" w:themeColor="text1"/>
          <w:kern w:val="0"/>
          <w:szCs w:val="24"/>
          <w14:ligatures w14:val="none"/>
        </w:rPr>
        <w:t>If releases are important to the success of a proposed plan of reorganization,</w:t>
      </w:r>
      <w:r w:rsidRPr="00C639B0">
        <w:rPr>
          <w:b/>
          <w:bCs/>
          <w:color w:val="000000" w:themeColor="text1"/>
          <w:kern w:val="0"/>
          <w:szCs w:val="24"/>
          <w14:ligatures w14:val="none"/>
        </w:rPr>
        <w:t xml:space="preserve"> </w:t>
      </w:r>
      <w:r w:rsidRPr="00C639B0">
        <w:rPr>
          <w:color w:val="000000" w:themeColor="text1"/>
          <w:kern w:val="0"/>
          <w:szCs w:val="24"/>
          <w14:ligatures w14:val="none"/>
        </w:rPr>
        <w:t xml:space="preserve">the debtor should consider the feasibility of buying back insurance policies from insurance companies, which cover tort claimants, in return for sizable contributions to a litigation trust as part of a Chapter 11 reorganization plan in a mass-tort bankruptcy. Permanent No. </w:t>
      </w:r>
      <w:r w:rsidRPr="00C639B0">
        <w:rPr>
          <w:rFonts w:cs="Times New Roman"/>
          <w:color w:val="000000" w:themeColor="text1"/>
          <w:kern w:val="0"/>
          <w:szCs w:val="24"/>
          <w14:ligatures w14:val="none"/>
        </w:rPr>
        <w:t>MDL-§ 21(c).</w:t>
      </w:r>
    </w:p>
    <w:p w14:paraId="2623DB36" w14:textId="77777777" w:rsidR="00C639B0" w:rsidRPr="00C639B0" w:rsidRDefault="00C639B0" w:rsidP="00C639B0">
      <w:pPr>
        <w:spacing w:after="0" w:line="240" w:lineRule="auto"/>
        <w:ind w:left="720" w:right="720"/>
        <w:jc w:val="both"/>
        <w:rPr>
          <w:color w:val="000000" w:themeColor="text1"/>
          <w:kern w:val="0"/>
          <w:szCs w:val="24"/>
          <w14:ligatures w14:val="none"/>
        </w:rPr>
      </w:pPr>
    </w:p>
    <w:p w14:paraId="489D6E8C"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In pre-</w:t>
      </w:r>
      <w:r w:rsidRPr="00C639B0">
        <w:rPr>
          <w:i/>
          <w:iCs/>
          <w:color w:val="000000" w:themeColor="text1"/>
          <w:kern w:val="0"/>
          <w:szCs w:val="24"/>
          <w14:ligatures w14:val="none"/>
        </w:rPr>
        <w:t>Purdue</w:t>
      </w:r>
      <w:r w:rsidRPr="00C639B0">
        <w:rPr>
          <w:color w:val="000000" w:themeColor="text1"/>
          <w:kern w:val="0"/>
          <w:szCs w:val="24"/>
          <w14:ligatures w14:val="none"/>
        </w:rPr>
        <w:t xml:space="preserve"> practice, debtor companies bought back their insurance policies back from insurance companies and channeled the proceeds to a litigation trust for payment of tort claims as part of the Chapter 11 plan in return for tort claimants releasing claims against the insurance companies.</w:t>
      </w:r>
      <w:r w:rsidRPr="00C639B0">
        <w:rPr>
          <w:color w:val="000000" w:themeColor="text1"/>
          <w:kern w:val="0"/>
          <w:szCs w:val="24"/>
          <w:vertAlign w:val="superscript"/>
          <w14:ligatures w14:val="none"/>
        </w:rPr>
        <w:footnoteReference w:id="94"/>
      </w:r>
      <w:r w:rsidRPr="00C639B0">
        <w:rPr>
          <w:color w:val="000000" w:themeColor="text1"/>
          <w:kern w:val="0"/>
          <w:szCs w:val="24"/>
          <w14:ligatures w14:val="none"/>
        </w:rPr>
        <w:t xml:space="preserve">  The buyback of insurance policies was authorized either under 11 U.S.C. </w:t>
      </w:r>
      <w:r w:rsidRPr="00C639B0">
        <w:rPr>
          <w:rFonts w:cs="Times New Roman"/>
          <w:color w:val="000000" w:themeColor="text1"/>
          <w:kern w:val="0"/>
          <w:szCs w:val="24"/>
          <w14:ligatures w14:val="none"/>
        </w:rPr>
        <w:t xml:space="preserve">§ </w:t>
      </w:r>
      <w:r w:rsidRPr="00C639B0">
        <w:rPr>
          <w:color w:val="000000" w:themeColor="text1"/>
          <w:kern w:val="0"/>
          <w:szCs w:val="24"/>
          <w14:ligatures w14:val="none"/>
        </w:rPr>
        <w:t xml:space="preserve">363 or </w:t>
      </w:r>
      <w:r w:rsidRPr="00C639B0">
        <w:rPr>
          <w:color w:val="000000" w:themeColor="text1"/>
          <w:kern w:val="0"/>
          <w:szCs w:val="24"/>
          <w14:ligatures w14:val="none"/>
        </w:rPr>
        <w:lastRenderedPageBreak/>
        <w:t xml:space="preserve">assigned to the plan’s trust as part of the plan’s implementation under  11 U.S.C. </w:t>
      </w:r>
      <w:r w:rsidRPr="00C639B0">
        <w:rPr>
          <w:rFonts w:cs="Times New Roman"/>
          <w:color w:val="000000" w:themeColor="text1"/>
          <w:kern w:val="0"/>
          <w:szCs w:val="24"/>
          <w14:ligatures w14:val="none"/>
        </w:rPr>
        <w:t xml:space="preserve">§ </w:t>
      </w:r>
      <w:r w:rsidRPr="00C639B0">
        <w:rPr>
          <w:color w:val="000000" w:themeColor="text1"/>
          <w:kern w:val="0"/>
          <w:szCs w:val="24"/>
          <w14:ligatures w14:val="none"/>
        </w:rPr>
        <w:t xml:space="preserve">1123(a)(5)(B) and (D) as contemplated under 11 U.S.C. </w:t>
      </w:r>
      <w:r w:rsidRPr="00C639B0">
        <w:rPr>
          <w:rFonts w:cs="Times New Roman"/>
          <w:color w:val="000000" w:themeColor="text1"/>
          <w:kern w:val="0"/>
          <w:szCs w:val="24"/>
          <w14:ligatures w14:val="none"/>
        </w:rPr>
        <w:t xml:space="preserve">§ </w:t>
      </w:r>
      <w:r w:rsidRPr="00C639B0">
        <w:rPr>
          <w:color w:val="000000" w:themeColor="text1"/>
          <w:kern w:val="0"/>
          <w:szCs w:val="24"/>
          <w14:ligatures w14:val="none"/>
        </w:rPr>
        <w:t>1123(b)(4).</w:t>
      </w:r>
      <w:r w:rsidRPr="00C639B0">
        <w:rPr>
          <w:color w:val="000000" w:themeColor="text1"/>
          <w:kern w:val="0"/>
          <w:szCs w:val="24"/>
          <w:vertAlign w:val="superscript"/>
          <w14:ligatures w14:val="none"/>
        </w:rPr>
        <w:footnoteReference w:id="95"/>
      </w:r>
    </w:p>
    <w:p w14:paraId="5AA6D915"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 xml:space="preserve">The Court’s decision in </w:t>
      </w:r>
      <w:r w:rsidRPr="00C639B0">
        <w:rPr>
          <w:i/>
          <w:iCs/>
          <w:color w:val="000000" w:themeColor="text1"/>
          <w:kern w:val="0"/>
          <w:szCs w:val="24"/>
          <w14:ligatures w14:val="none"/>
        </w:rPr>
        <w:t>Purdue Pharma</w:t>
      </w:r>
      <w:r w:rsidRPr="00C639B0">
        <w:rPr>
          <w:color w:val="000000" w:themeColor="text1"/>
          <w:kern w:val="0"/>
          <w:szCs w:val="24"/>
          <w14:ligatures w14:val="none"/>
        </w:rPr>
        <w:t xml:space="preserve"> construing </w:t>
      </w:r>
      <w:r w:rsidRPr="00C639B0">
        <w:rPr>
          <w:rFonts w:cs="Times New Roman"/>
          <w:color w:val="000000" w:themeColor="text1"/>
          <w:kern w:val="0"/>
          <w:szCs w:val="24"/>
          <w14:ligatures w14:val="none"/>
        </w:rPr>
        <w:t xml:space="preserve">§ </w:t>
      </w:r>
      <w:r w:rsidRPr="00C639B0">
        <w:rPr>
          <w:color w:val="000000" w:themeColor="text1"/>
          <w:kern w:val="0"/>
          <w:szCs w:val="24"/>
          <w14:ligatures w14:val="none"/>
        </w:rPr>
        <w:t xml:space="preserve">1123(b)(6) is a narrow one and does not address the buyback of insurance policies.  As the Court noted, </w:t>
      </w:r>
      <w:r w:rsidRPr="00C639B0">
        <w:rPr>
          <w:rFonts w:cs="Times New Roman"/>
          <w:color w:val="000000" w:themeColor="text1"/>
          <w:kern w:val="0"/>
          <w:szCs w:val="24"/>
          <w14:ligatures w14:val="none"/>
        </w:rPr>
        <w:t xml:space="preserve">§ </w:t>
      </w:r>
      <w:r w:rsidRPr="00C639B0">
        <w:rPr>
          <w:color w:val="000000" w:themeColor="text1"/>
          <w:kern w:val="0"/>
          <w:szCs w:val="24"/>
          <w14:ligatures w14:val="none"/>
        </w:rPr>
        <w:t xml:space="preserve">1123(b)(1)-(6) addresses the types of provisions that may be included in a Chapter 11 plan.  The section contains five specific paragraphs and one catchall provision. The Court’s holding limits the catchall provision but is not intended to affect the specific provisions describing permissible contents of a Chapter 11 plan under (b)(1) -- (b)(5), which all concern the debtor’s rights and responsibilities.  </w:t>
      </w:r>
    </w:p>
    <w:p w14:paraId="4DE2EDDE"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 xml:space="preserve">The Court confined itself to the questions presented and did not consider whether the bankruptcy code authorized a buyback of insurance policies under one of the specific paragraphs of </w:t>
      </w:r>
      <w:r w:rsidRPr="00C639B0">
        <w:rPr>
          <w:rFonts w:cs="Times New Roman"/>
          <w:color w:val="000000" w:themeColor="text1"/>
          <w:kern w:val="0"/>
          <w:szCs w:val="24"/>
          <w14:ligatures w14:val="none"/>
        </w:rPr>
        <w:t xml:space="preserve">§ </w:t>
      </w:r>
      <w:r w:rsidRPr="00C639B0">
        <w:rPr>
          <w:color w:val="000000" w:themeColor="text1"/>
          <w:kern w:val="0"/>
          <w:szCs w:val="24"/>
          <w14:ligatures w14:val="none"/>
        </w:rPr>
        <w:t xml:space="preserve">1123(b), which it did not address.  Consistent with </w:t>
      </w:r>
      <w:r w:rsidRPr="00C639B0">
        <w:rPr>
          <w:i/>
          <w:iCs/>
          <w:color w:val="000000" w:themeColor="text1"/>
          <w:kern w:val="0"/>
          <w:szCs w:val="24"/>
          <w14:ligatures w14:val="none"/>
        </w:rPr>
        <w:t>Purdue</w:t>
      </w:r>
      <w:r w:rsidRPr="00C639B0">
        <w:rPr>
          <w:color w:val="000000" w:themeColor="text1"/>
          <w:kern w:val="0"/>
          <w:szCs w:val="24"/>
          <w14:ligatures w14:val="none"/>
        </w:rPr>
        <w:t>, a debtor may still buy back its insurance policies from its insurers, under one or more of §§ 363(b), 1123(b)(3), and 1123(b)(6).</w:t>
      </w:r>
      <w:r w:rsidRPr="00C639B0">
        <w:rPr>
          <w:color w:val="000000" w:themeColor="text1"/>
          <w:kern w:val="0"/>
          <w:szCs w:val="24"/>
          <w:vertAlign w:val="superscript"/>
          <w14:ligatures w14:val="none"/>
        </w:rPr>
        <w:footnoteReference w:id="96"/>
      </w:r>
      <w:r w:rsidRPr="00C639B0">
        <w:rPr>
          <w:color w:val="000000" w:themeColor="text1"/>
          <w:kern w:val="0"/>
          <w:szCs w:val="24"/>
          <w14:ligatures w14:val="none"/>
        </w:rPr>
        <w:t xml:space="preserve">   The buyback effectively extinguishes the insurance companies’ liability, and gives insurers comfort that once they have paid the sale consideration to the debtor’s estate, they will not be subjected to further liability on those policies.  The proceeds help fund the trust available to the tort claimants.   The bankruptcy discharge would still apply to the debtor, consistent with </w:t>
      </w:r>
      <w:r w:rsidRPr="00C639B0">
        <w:rPr>
          <w:i/>
          <w:iCs/>
          <w:color w:val="000000" w:themeColor="text1"/>
          <w:kern w:val="0"/>
          <w:szCs w:val="24"/>
          <w14:ligatures w14:val="none"/>
        </w:rPr>
        <w:t>Purdue Pharma</w:t>
      </w:r>
      <w:r w:rsidRPr="00C639B0">
        <w:rPr>
          <w:color w:val="000000" w:themeColor="text1"/>
          <w:kern w:val="0"/>
          <w:szCs w:val="24"/>
          <w14:ligatures w14:val="none"/>
        </w:rPr>
        <w:t xml:space="preserve">.  </w:t>
      </w:r>
    </w:p>
    <w:p w14:paraId="15CC456D" w14:textId="77777777" w:rsidR="00C639B0" w:rsidRPr="00C639B0" w:rsidRDefault="00C639B0" w:rsidP="00C639B0">
      <w:pPr>
        <w:spacing w:after="0" w:line="240" w:lineRule="auto"/>
        <w:ind w:left="720" w:right="720"/>
        <w:jc w:val="both"/>
        <w:rPr>
          <w:color w:val="000000" w:themeColor="text1"/>
          <w:kern w:val="0"/>
          <w:szCs w:val="24"/>
          <w14:ligatures w14:val="none"/>
        </w:rPr>
      </w:pPr>
      <w:r w:rsidRPr="00C639B0">
        <w:rPr>
          <w:rFonts w:cs="Times New Roman"/>
          <w:b/>
          <w:bCs/>
          <w:color w:val="000000" w:themeColor="text1"/>
          <w:kern w:val="0"/>
          <w:szCs w:val="24"/>
          <w14:ligatures w14:val="none"/>
        </w:rPr>
        <w:t>Best Practice MDL-§ 17(d):</w:t>
      </w:r>
      <w:r w:rsidRPr="00C639B0">
        <w:rPr>
          <w:b/>
          <w:bCs/>
          <w:color w:val="000000" w:themeColor="text1"/>
          <w:kern w:val="0"/>
          <w:szCs w:val="24"/>
          <w14:ligatures w14:val="none"/>
        </w:rPr>
        <w:t xml:space="preserve"> </w:t>
      </w:r>
      <w:r w:rsidRPr="00C639B0">
        <w:rPr>
          <w:color w:val="000000" w:themeColor="text1"/>
          <w:kern w:val="0"/>
          <w:szCs w:val="24"/>
          <w14:ligatures w14:val="none"/>
        </w:rPr>
        <w:t>The parties</w:t>
      </w:r>
      <w:r w:rsidRPr="00C639B0">
        <w:rPr>
          <w:b/>
          <w:bCs/>
          <w:color w:val="000000" w:themeColor="text1"/>
          <w:kern w:val="0"/>
          <w:szCs w:val="24"/>
          <w14:ligatures w14:val="none"/>
        </w:rPr>
        <w:t xml:space="preserve"> </w:t>
      </w:r>
      <w:r w:rsidRPr="00C639B0">
        <w:rPr>
          <w:color w:val="000000" w:themeColor="text1"/>
          <w:kern w:val="0"/>
          <w:szCs w:val="24"/>
          <w14:ligatures w14:val="none"/>
        </w:rPr>
        <w:t xml:space="preserve">should consider the feasibility of seeking an injunction proscribing any lawsuit directed at members of the creditors committee and independent directors from bad-faith lawsuits for actions taken in a mass-tort bankruptcy until the court determines that their claims are “colorable.” Permanent No. </w:t>
      </w:r>
      <w:r w:rsidRPr="00C639B0">
        <w:rPr>
          <w:rFonts w:cs="Times New Roman"/>
          <w:color w:val="000000" w:themeColor="text1"/>
          <w:kern w:val="0"/>
          <w:szCs w:val="24"/>
          <w14:ligatures w14:val="none"/>
        </w:rPr>
        <w:t>MDL-§ 21(d).</w:t>
      </w:r>
    </w:p>
    <w:p w14:paraId="58903007" w14:textId="77777777" w:rsidR="00C639B0" w:rsidRPr="00C639B0" w:rsidRDefault="00C639B0" w:rsidP="00C639B0">
      <w:pPr>
        <w:spacing w:after="0" w:line="240" w:lineRule="auto"/>
        <w:ind w:right="720"/>
        <w:jc w:val="both"/>
        <w:rPr>
          <w:color w:val="000000" w:themeColor="text1"/>
          <w:kern w:val="0"/>
          <w:szCs w:val="24"/>
          <w14:ligatures w14:val="none"/>
        </w:rPr>
      </w:pPr>
    </w:p>
    <w:p w14:paraId="2E8F56AF"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 xml:space="preserve">Under </w:t>
      </w:r>
      <w:r w:rsidRPr="00C639B0">
        <w:rPr>
          <w:i/>
          <w:iCs/>
          <w:color w:val="000000" w:themeColor="text1"/>
          <w:kern w:val="0"/>
          <w:szCs w:val="24"/>
          <w14:ligatures w14:val="none"/>
        </w:rPr>
        <w:t>Purdue Pharma</w:t>
      </w:r>
      <w:r w:rsidRPr="00C639B0">
        <w:rPr>
          <w:color w:val="000000" w:themeColor="text1"/>
          <w:kern w:val="0"/>
          <w:szCs w:val="24"/>
          <w14:ligatures w14:val="none"/>
        </w:rPr>
        <w:t xml:space="preserve">, tort claimants have the right not to consent to release their claims against nondebtors as part of a Chapter 11 reorganization plan, and if the tort claimants choose not to consent, they can pursue independent lawsuits against the nondebtors. The filings of a </w:t>
      </w:r>
      <w:r w:rsidRPr="00C639B0">
        <w:rPr>
          <w:color w:val="000000" w:themeColor="text1"/>
          <w:kern w:val="0"/>
          <w:szCs w:val="24"/>
          <w14:ligatures w14:val="none"/>
        </w:rPr>
        <w:lastRenderedPageBreak/>
        <w:t>substantial number of lawsuits, particularly bad-faith or frivolous claims, or claims that those asserting them do not own, could disrupt the Plan’s effectiveness. By means of “Gatekeeper Injunctions,” some, but not all, courts have enjoined putative plaintiffs from filing separate tort actions against nondebtors, at least those who are members of a creditor’s committee and independent directors, until the court has determined that the claims are “colorable.”</w:t>
      </w:r>
      <w:r w:rsidRPr="00C639B0">
        <w:rPr>
          <w:color w:val="000000" w:themeColor="text1"/>
          <w:kern w:val="0"/>
          <w:szCs w:val="24"/>
          <w:vertAlign w:val="superscript"/>
          <w14:ligatures w14:val="none"/>
        </w:rPr>
        <w:footnoteReference w:id="97"/>
      </w:r>
      <w:r w:rsidRPr="00C639B0">
        <w:rPr>
          <w:color w:val="000000" w:themeColor="text1"/>
          <w:kern w:val="0"/>
          <w:szCs w:val="24"/>
          <w14:ligatures w14:val="none"/>
        </w:rPr>
        <w:t xml:space="preserve">  </w:t>
      </w:r>
    </w:p>
    <w:p w14:paraId="4BFD3EC1" w14:textId="77777777" w:rsidR="00C639B0" w:rsidRPr="00C639B0" w:rsidRDefault="00C639B0" w:rsidP="00C639B0">
      <w:pPr>
        <w:spacing w:after="0" w:line="240" w:lineRule="auto"/>
        <w:ind w:left="720" w:right="720"/>
        <w:jc w:val="both"/>
        <w:rPr>
          <w:color w:val="000000" w:themeColor="text1"/>
          <w:kern w:val="0"/>
          <w:szCs w:val="24"/>
          <w14:ligatures w14:val="none"/>
        </w:rPr>
      </w:pPr>
      <w:r w:rsidRPr="00C639B0">
        <w:rPr>
          <w:rFonts w:cs="Times New Roman"/>
          <w:b/>
          <w:bCs/>
          <w:color w:val="000000" w:themeColor="text1"/>
          <w:kern w:val="0"/>
          <w:szCs w:val="24"/>
          <w14:ligatures w14:val="none"/>
        </w:rPr>
        <w:t>Best Practice MDL-§ 17(e):</w:t>
      </w:r>
      <w:r w:rsidRPr="00C639B0">
        <w:rPr>
          <w:b/>
          <w:bCs/>
          <w:color w:val="000000" w:themeColor="text1"/>
          <w:kern w:val="0"/>
          <w:szCs w:val="24"/>
          <w14:ligatures w14:val="none"/>
        </w:rPr>
        <w:t xml:space="preserve"> </w:t>
      </w:r>
      <w:r w:rsidRPr="00C639B0">
        <w:rPr>
          <w:color w:val="000000" w:themeColor="text1"/>
          <w:kern w:val="0"/>
          <w:szCs w:val="24"/>
          <w14:ligatures w14:val="none"/>
        </w:rPr>
        <w:t xml:space="preserve">The parties in a mass-tort bankruptcy should consider the feasibility of recommending alternative processes that facilitate the resolution of unreleased tort claims against nondebtors who are essential to an effective reorganization plan. Permanent No. </w:t>
      </w:r>
      <w:r w:rsidRPr="00C639B0">
        <w:rPr>
          <w:rFonts w:cs="Times New Roman"/>
          <w:color w:val="000000" w:themeColor="text1"/>
          <w:kern w:val="0"/>
          <w:szCs w:val="24"/>
          <w14:ligatures w14:val="none"/>
        </w:rPr>
        <w:t>MDL-§ 21(e).</w:t>
      </w:r>
      <w:r w:rsidRPr="00C639B0">
        <w:rPr>
          <w:color w:val="000000" w:themeColor="text1"/>
          <w:kern w:val="0"/>
          <w:szCs w:val="24"/>
          <w14:ligatures w14:val="none"/>
        </w:rPr>
        <w:t xml:space="preserve">  </w:t>
      </w:r>
    </w:p>
    <w:p w14:paraId="4D5D6162" w14:textId="77777777" w:rsidR="00C639B0" w:rsidRPr="00C639B0" w:rsidRDefault="00C639B0" w:rsidP="00C639B0">
      <w:pPr>
        <w:spacing w:after="0" w:line="240" w:lineRule="auto"/>
        <w:ind w:left="720" w:right="864"/>
        <w:jc w:val="both"/>
        <w:rPr>
          <w:color w:val="000000" w:themeColor="text1"/>
          <w:kern w:val="0"/>
          <w:szCs w:val="24"/>
          <w14:ligatures w14:val="none"/>
        </w:rPr>
      </w:pPr>
    </w:p>
    <w:p w14:paraId="126DBC54"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lastRenderedPageBreak/>
        <w:t xml:space="preserve">To the extent that tort claimants in a mass-tort bankruptcy do not consent to release claims related to the mass tort against nondebtors who are essential for an effective chapter 11 reorganization plan, the parties should consider the feasibility of alternative processes to resolve their claims in a single forum.  One option is for the district court to exercise jurisdiction over the claims under 28 U.S.C. </w:t>
      </w:r>
      <w:r w:rsidRPr="00C639B0">
        <w:rPr>
          <w:rFonts w:cs="Times New Roman"/>
          <w:color w:val="000000" w:themeColor="text1"/>
          <w:kern w:val="0"/>
          <w:szCs w:val="24"/>
          <w14:ligatures w14:val="none"/>
        </w:rPr>
        <w:t>§</w:t>
      </w:r>
      <w:r w:rsidRPr="00C639B0">
        <w:rPr>
          <w:color w:val="000000" w:themeColor="text1"/>
          <w:kern w:val="0"/>
          <w:szCs w:val="24"/>
          <w14:ligatures w14:val="none"/>
        </w:rPr>
        <w:t>157(b)(5), which authorizes the direct transfer of cases from state court to federal court without requiring cumbersome removal proceedings.  The reasons for such transfers may be “to achieve the efficiencies of a unified resolution; to prevent the potential unfairness of continuing the prosecution of actions against derivative defendants while the actions against a major defendant, the debtor, are stayed; to prevent the dissipation of a jointly held asset; and to delay.”</w:t>
      </w:r>
      <w:r w:rsidRPr="00C639B0">
        <w:rPr>
          <w:color w:val="000000" w:themeColor="text1"/>
          <w:kern w:val="0"/>
          <w:szCs w:val="24"/>
          <w:vertAlign w:val="superscript"/>
          <w14:ligatures w14:val="none"/>
        </w:rPr>
        <w:footnoteReference w:id="98"/>
      </w:r>
    </w:p>
    <w:p w14:paraId="16DEA02F"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A district court may order that all personal-injury claims arising in or related to the mass-tort bankruptcy be tried in the district court.</w:t>
      </w:r>
      <w:r w:rsidRPr="00C639B0">
        <w:rPr>
          <w:color w:val="000000" w:themeColor="text1"/>
          <w:kern w:val="0"/>
          <w:szCs w:val="24"/>
          <w:vertAlign w:val="superscript"/>
          <w14:ligatures w14:val="none"/>
        </w:rPr>
        <w:footnoteReference w:id="99"/>
      </w:r>
      <w:r w:rsidRPr="00C639B0">
        <w:rPr>
          <w:color w:val="000000" w:themeColor="text1"/>
          <w:kern w:val="0"/>
          <w:szCs w:val="24"/>
          <w14:ligatures w14:val="none"/>
        </w:rPr>
        <w:t xml:space="preserve">  Courts have discretion to accept jurisdiction over these related actions, applying a 12-factor test.</w:t>
      </w:r>
      <w:r w:rsidRPr="00C639B0">
        <w:rPr>
          <w:color w:val="000000" w:themeColor="text1"/>
          <w:kern w:val="0"/>
          <w:szCs w:val="24"/>
          <w:vertAlign w:val="superscript"/>
          <w14:ligatures w14:val="none"/>
        </w:rPr>
        <w:footnoteReference w:id="100"/>
      </w:r>
      <w:r w:rsidRPr="00C639B0">
        <w:rPr>
          <w:color w:val="000000" w:themeColor="text1"/>
          <w:kern w:val="0"/>
          <w:szCs w:val="24"/>
          <w14:ligatures w14:val="none"/>
        </w:rPr>
        <w:t xml:space="preserve">  Several factors relate to the burdens imposed on the court and difficulty in applying various state laws.  Removing actions filed against nondebtor parties who are unable to secure release agreements from all tort claimants into a single forum can facilitate negotiations and possibly lead to a global settlement short of an actual trial, which would become part of the reorganization plan.  If the claims can be settled with few, if any, trials, the burdens on the court to try cases and apply conflict of law analyses are materially reduced.</w:t>
      </w:r>
      <w:r w:rsidRPr="00C639B0">
        <w:rPr>
          <w:color w:val="000000" w:themeColor="text1"/>
          <w:kern w:val="0"/>
          <w:szCs w:val="24"/>
          <w:vertAlign w:val="superscript"/>
          <w14:ligatures w14:val="none"/>
        </w:rPr>
        <w:footnoteReference w:id="101"/>
      </w:r>
    </w:p>
    <w:p w14:paraId="75B3F15B"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 xml:space="preserve">In exercising its trial jurisdiction, a court can establish procedures under FED. R. CIV. P. 16(c)(2)(L) and 42(a) to facilitate settlement discussions among all the parties. The option could be used not only to handle a small number of key nondebtors, for example, the debtor’s officers and directors, but also larger numbers, for example, numerous insurance companies, who could </w:t>
      </w:r>
      <w:r w:rsidRPr="00C639B0">
        <w:rPr>
          <w:color w:val="000000" w:themeColor="text1"/>
          <w:kern w:val="0"/>
          <w:szCs w:val="24"/>
          <w14:ligatures w14:val="none"/>
        </w:rPr>
        <w:lastRenderedPageBreak/>
        <w:t xml:space="preserve">negotiate voluntary aggregate settlements.  The settlements would be voluntary, but having the interested parties negotiate in a single forum could be an effective approach. </w:t>
      </w:r>
    </w:p>
    <w:p w14:paraId="133F1870" w14:textId="77777777" w:rsidR="00C639B0" w:rsidRPr="00C639B0" w:rsidRDefault="00C639B0" w:rsidP="00C639B0">
      <w:pPr>
        <w:spacing w:after="0" w:line="360" w:lineRule="auto"/>
        <w:ind w:firstLine="720"/>
        <w:jc w:val="both"/>
        <w:rPr>
          <w:color w:val="000000" w:themeColor="text1"/>
          <w:kern w:val="0"/>
          <w:szCs w:val="24"/>
          <w14:ligatures w14:val="none"/>
        </w:rPr>
      </w:pPr>
      <w:r w:rsidRPr="00C639B0">
        <w:rPr>
          <w:color w:val="000000" w:themeColor="text1"/>
          <w:kern w:val="0"/>
          <w:szCs w:val="24"/>
          <w14:ligatures w14:val="none"/>
        </w:rPr>
        <w:t>Alternatively, the court may consider approving a motion to expand the stay to include nondebtor parties, which may accomplish the same goal of coordinating and consolidating the actions.</w:t>
      </w:r>
      <w:r w:rsidRPr="00C639B0">
        <w:rPr>
          <w:color w:val="000000" w:themeColor="text1"/>
          <w:kern w:val="0"/>
          <w:szCs w:val="24"/>
          <w:vertAlign w:val="superscript"/>
          <w14:ligatures w14:val="none"/>
        </w:rPr>
        <w:footnoteReference w:id="102"/>
      </w:r>
      <w:r w:rsidRPr="00C639B0">
        <w:rPr>
          <w:color w:val="000000" w:themeColor="text1"/>
          <w:kern w:val="0"/>
          <w:szCs w:val="24"/>
          <w14:ligatures w14:val="none"/>
        </w:rPr>
        <w:t xml:space="preserve"> “The litigation in state and federal courts around the country will have already been halted, and the debtor will most likely attempt to achieve the ultimate resolution of the litigation against these parties according to the terms of the plan of reorganization.”</w:t>
      </w:r>
      <w:r w:rsidRPr="00C639B0">
        <w:rPr>
          <w:color w:val="000000" w:themeColor="text1"/>
          <w:kern w:val="0"/>
          <w:szCs w:val="24"/>
          <w:vertAlign w:val="superscript"/>
          <w14:ligatures w14:val="none"/>
        </w:rPr>
        <w:footnoteReference w:id="103"/>
      </w:r>
      <w:r w:rsidRPr="00C639B0">
        <w:rPr>
          <w:color w:val="000000" w:themeColor="text1"/>
          <w:kern w:val="0"/>
          <w:szCs w:val="24"/>
          <w14:ligatures w14:val="none"/>
        </w:rPr>
        <w:t xml:space="preserve">  For many years, courts expanded the automatic stay to cover nondebtor parties only in limited circumstances when the interests of the nondebtor were so closely intertwined with those of the debtor “that the litigation in question is tantamount to litigation against the debtor or that it constitutes an effort to obtain possession of or exercise control over property of the estate.”</w:t>
      </w:r>
      <w:r w:rsidRPr="00C639B0">
        <w:rPr>
          <w:color w:val="000000" w:themeColor="text1"/>
          <w:kern w:val="0"/>
          <w:szCs w:val="24"/>
          <w:vertAlign w:val="superscript"/>
          <w14:ligatures w14:val="none"/>
        </w:rPr>
        <w:footnoteReference w:id="104"/>
      </w:r>
      <w:r w:rsidRPr="00C639B0">
        <w:rPr>
          <w:color w:val="000000" w:themeColor="text1"/>
          <w:kern w:val="0"/>
          <w:szCs w:val="24"/>
          <w14:ligatures w14:val="none"/>
        </w:rPr>
        <w:t xml:space="preserve">  But increasingly, courts have enjoined litigation against nondebtors during the pendency of the chapter 11 case, when necessary to maximize the chances of a successful reorganization </w:t>
      </w:r>
      <w:r w:rsidRPr="00C639B0">
        <w:rPr>
          <w:rFonts w:cs="Times New Roman"/>
          <w:color w:val="000000" w:themeColor="text1"/>
          <w:kern w:val="0"/>
          <w:szCs w:val="24"/>
          <w14:ligatures w14:val="none"/>
        </w:rPr>
        <w:t xml:space="preserve">-- </w:t>
      </w:r>
      <w:r w:rsidRPr="00C639B0">
        <w:rPr>
          <w:color w:val="000000" w:themeColor="text1"/>
          <w:kern w:val="0"/>
          <w:szCs w:val="24"/>
          <w14:ligatures w14:val="none"/>
        </w:rPr>
        <w:t>such as when desirable to allow mediation to take its course, or otherwise to permit the negotiation of a plan that might include consensual releases.</w:t>
      </w:r>
      <w:r w:rsidRPr="00C639B0">
        <w:rPr>
          <w:color w:val="000000" w:themeColor="text1"/>
          <w:kern w:val="0"/>
          <w:szCs w:val="24"/>
          <w:vertAlign w:val="superscript"/>
          <w14:ligatures w14:val="none"/>
        </w:rPr>
        <w:footnoteReference w:id="105"/>
      </w:r>
      <w:r w:rsidRPr="00C639B0">
        <w:rPr>
          <w:color w:val="000000" w:themeColor="text1"/>
          <w:kern w:val="0"/>
          <w:szCs w:val="24"/>
          <w14:ligatures w14:val="none"/>
        </w:rPr>
        <w:t xml:space="preserve"> </w:t>
      </w:r>
    </w:p>
    <w:p w14:paraId="6F9E0AE6" w14:textId="77777777" w:rsidR="00C639B0" w:rsidRDefault="00C639B0"/>
    <w:sectPr w:rsidR="00C639B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AFDF" w14:textId="77777777" w:rsidR="00BB7987" w:rsidRDefault="00BB7987" w:rsidP="00C639B0">
      <w:pPr>
        <w:spacing w:after="0" w:line="240" w:lineRule="auto"/>
      </w:pPr>
      <w:r>
        <w:separator/>
      </w:r>
    </w:p>
  </w:endnote>
  <w:endnote w:type="continuationSeparator" w:id="0">
    <w:p w14:paraId="10A476B5" w14:textId="77777777" w:rsidR="00BB7987" w:rsidRDefault="00BB7987" w:rsidP="00C6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auto"/>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381511"/>
      <w:docPartObj>
        <w:docPartGallery w:val="Page Numbers (Bottom of Page)"/>
        <w:docPartUnique/>
      </w:docPartObj>
    </w:sdtPr>
    <w:sdtEndPr>
      <w:rPr>
        <w:color w:val="7F7F7F" w:themeColor="background1" w:themeShade="7F"/>
        <w:spacing w:val="60"/>
      </w:rPr>
    </w:sdtEndPr>
    <w:sdtContent>
      <w:p w14:paraId="7B138CCA" w14:textId="736A99A3" w:rsidR="00A8570A" w:rsidRDefault="00A8570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A87050C" w14:textId="77777777" w:rsidR="00A8570A" w:rsidRDefault="00A85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D9FC" w14:textId="77777777" w:rsidR="00BB7987" w:rsidRDefault="00BB7987" w:rsidP="00C639B0">
      <w:pPr>
        <w:spacing w:after="0" w:line="240" w:lineRule="auto"/>
      </w:pPr>
      <w:r>
        <w:separator/>
      </w:r>
    </w:p>
  </w:footnote>
  <w:footnote w:type="continuationSeparator" w:id="0">
    <w:p w14:paraId="3030BA82" w14:textId="77777777" w:rsidR="00BB7987" w:rsidRDefault="00BB7987" w:rsidP="00C639B0">
      <w:pPr>
        <w:spacing w:after="0" w:line="240" w:lineRule="auto"/>
      </w:pPr>
      <w:r>
        <w:continuationSeparator/>
      </w:r>
    </w:p>
  </w:footnote>
  <w:footnote w:id="1">
    <w:p w14:paraId="76993536" w14:textId="77777777" w:rsidR="00C639B0" w:rsidRDefault="00C639B0" w:rsidP="00C639B0">
      <w:pPr>
        <w:pStyle w:val="FootnoteText"/>
        <w:jc w:val="both"/>
      </w:pPr>
      <w:r>
        <w:rPr>
          <w:rStyle w:val="FootnoteReference"/>
        </w:rPr>
        <w:footnoteRef/>
      </w:r>
      <w:r>
        <w:t xml:space="preserve"> </w:t>
      </w:r>
      <w:r w:rsidRPr="00047F08">
        <w:rPr>
          <w:i/>
          <w:iCs/>
        </w:rPr>
        <w:t>See</w:t>
      </w:r>
      <w:r>
        <w:t xml:space="preserve"> Judicial Management of Mass Tort Bankruptcy Cases, Gibson, Elizabeth, p. 2-3 Federal Judicial Center (2005).</w:t>
      </w:r>
    </w:p>
  </w:footnote>
  <w:footnote w:id="2">
    <w:p w14:paraId="6E9B3F1E" w14:textId="77777777" w:rsidR="00C639B0" w:rsidRDefault="00C639B0" w:rsidP="00C639B0">
      <w:pPr>
        <w:jc w:val="both"/>
      </w:pPr>
      <w:r>
        <w:rPr>
          <w:rStyle w:val="FootnoteReference"/>
        </w:rPr>
        <w:footnoteRef/>
      </w:r>
      <w:r>
        <w:t xml:space="preserve"> </w:t>
      </w:r>
      <w:r w:rsidRPr="00061547">
        <w:rPr>
          <w:rFonts w:cs="Times New Roman"/>
          <w:i/>
          <w:iCs/>
          <w:sz w:val="20"/>
          <w:szCs w:val="20"/>
        </w:rPr>
        <w:t xml:space="preserve">See </w:t>
      </w:r>
      <w:r w:rsidRPr="00061547">
        <w:rPr>
          <w:rFonts w:cs="Times New Roman"/>
          <w:i/>
          <w:iCs/>
          <w:color w:val="4A4A4A"/>
          <w:sz w:val="20"/>
          <w:szCs w:val="20"/>
          <w:shd w:val="clear" w:color="auto" w:fill="FFFFFF"/>
        </w:rPr>
        <w:t>Johnson and Johnson Talcum Powder</w:t>
      </w:r>
      <w:r w:rsidRPr="00061547">
        <w:rPr>
          <w:rFonts w:cs="Times New Roman"/>
          <w:color w:val="4A4A4A"/>
          <w:sz w:val="20"/>
          <w:szCs w:val="20"/>
          <w:shd w:val="clear" w:color="auto" w:fill="FFFFFF"/>
        </w:rPr>
        <w:t xml:space="preserve"> (MDL No. 2738)</w:t>
      </w:r>
      <w:r>
        <w:rPr>
          <w:rFonts w:cs="Times New Roman"/>
          <w:color w:val="4A4A4A"/>
          <w:sz w:val="20"/>
          <w:szCs w:val="20"/>
          <w:shd w:val="clear" w:color="auto" w:fill="FFFFFF"/>
        </w:rPr>
        <w:t>;</w:t>
      </w:r>
      <w:r w:rsidRPr="00061547">
        <w:rPr>
          <w:rFonts w:cs="Times New Roman"/>
          <w:color w:val="4A4A4A"/>
          <w:sz w:val="20"/>
          <w:szCs w:val="20"/>
          <w:shd w:val="clear" w:color="auto" w:fill="FFFFFF"/>
        </w:rPr>
        <w:t> </w:t>
      </w:r>
      <w:r w:rsidRPr="00061547">
        <w:rPr>
          <w:rStyle w:val="Emphasis"/>
          <w:rFonts w:cs="Times New Roman"/>
          <w:color w:val="4A4A4A"/>
          <w:sz w:val="20"/>
          <w:szCs w:val="20"/>
          <w:shd w:val="clear" w:color="auto" w:fill="FFFFFF"/>
        </w:rPr>
        <w:t>3M Combat Arms Earplug (MDL No. 2885)</w:t>
      </w:r>
      <w:r>
        <w:rPr>
          <w:rStyle w:val="Emphasis"/>
          <w:rFonts w:cs="Times New Roman"/>
          <w:color w:val="4A4A4A"/>
          <w:sz w:val="20"/>
          <w:szCs w:val="20"/>
          <w:shd w:val="clear" w:color="auto" w:fill="FFFFFF"/>
        </w:rPr>
        <w:t>;</w:t>
      </w:r>
      <w:r w:rsidRPr="00061547">
        <w:rPr>
          <w:rFonts w:cs="Times New Roman"/>
          <w:color w:val="4A4A4A"/>
          <w:sz w:val="20"/>
          <w:szCs w:val="20"/>
          <w:shd w:val="clear" w:color="auto" w:fill="FFFFFF"/>
        </w:rPr>
        <w:t> </w:t>
      </w:r>
      <w:r w:rsidRPr="00061547">
        <w:rPr>
          <w:rStyle w:val="Emphasis"/>
          <w:rFonts w:cs="Times New Roman"/>
          <w:color w:val="4A4A4A"/>
          <w:sz w:val="20"/>
          <w:szCs w:val="20"/>
          <w:shd w:val="clear" w:color="auto" w:fill="FFFFFF"/>
        </w:rPr>
        <w:t>Hair Relaxer (</w:t>
      </w:r>
      <w:r>
        <w:rPr>
          <w:rStyle w:val="Emphasis"/>
          <w:rFonts w:cs="Times New Roman"/>
          <w:color w:val="4A4A4A"/>
          <w:sz w:val="20"/>
          <w:szCs w:val="20"/>
          <w:shd w:val="clear" w:color="auto" w:fill="FFFFFF"/>
        </w:rPr>
        <w:t xml:space="preserve">MDL No. </w:t>
      </w:r>
      <w:r w:rsidRPr="00061547">
        <w:rPr>
          <w:rStyle w:val="Emphasis"/>
          <w:rFonts w:cs="Times New Roman"/>
          <w:color w:val="4A4A4A"/>
          <w:sz w:val="20"/>
          <w:szCs w:val="20"/>
          <w:shd w:val="clear" w:color="auto" w:fill="FFFFFF"/>
        </w:rPr>
        <w:t>3060)</w:t>
      </w:r>
      <w:r>
        <w:rPr>
          <w:rStyle w:val="Emphasis"/>
          <w:rFonts w:cs="Times New Roman"/>
          <w:color w:val="4A4A4A"/>
          <w:sz w:val="20"/>
          <w:szCs w:val="20"/>
          <w:shd w:val="clear" w:color="auto" w:fill="FFFFFF"/>
        </w:rPr>
        <w:t>;</w:t>
      </w:r>
      <w:r w:rsidRPr="00061547">
        <w:rPr>
          <w:rFonts w:cs="Times New Roman"/>
          <w:color w:val="4A4A4A"/>
          <w:sz w:val="20"/>
          <w:szCs w:val="20"/>
          <w:shd w:val="clear" w:color="auto" w:fill="FFFFFF"/>
        </w:rPr>
        <w:t> </w:t>
      </w:r>
      <w:r w:rsidRPr="00061547">
        <w:rPr>
          <w:rFonts w:cs="Times New Roman"/>
          <w:i/>
          <w:iCs/>
          <w:color w:val="4A4A4A"/>
          <w:sz w:val="20"/>
          <w:szCs w:val="20"/>
          <w:shd w:val="clear" w:color="auto" w:fill="FFFFFF"/>
        </w:rPr>
        <w:t>National Prescription Opiate Litigation</w:t>
      </w:r>
      <w:r w:rsidRPr="00061547">
        <w:rPr>
          <w:rFonts w:cs="Times New Roman"/>
          <w:color w:val="4A4A4A"/>
          <w:sz w:val="20"/>
          <w:szCs w:val="20"/>
          <w:shd w:val="clear" w:color="auto" w:fill="FFFFFF"/>
        </w:rPr>
        <w:t xml:space="preserve"> (MDL No. 2804)</w:t>
      </w:r>
      <w:r>
        <w:rPr>
          <w:rFonts w:cs="Times New Roman"/>
          <w:color w:val="4A4A4A"/>
          <w:sz w:val="20"/>
          <w:szCs w:val="20"/>
          <w:shd w:val="clear" w:color="auto" w:fill="FFFFFF"/>
        </w:rPr>
        <w:t>;</w:t>
      </w:r>
      <w:r w:rsidRPr="00061547">
        <w:rPr>
          <w:rFonts w:cs="Times New Roman"/>
          <w:color w:val="4A4A4A"/>
          <w:sz w:val="20"/>
          <w:szCs w:val="20"/>
          <w:shd w:val="clear" w:color="auto" w:fill="FFFFFF"/>
        </w:rPr>
        <w:t xml:space="preserve"> and </w:t>
      </w:r>
      <w:r w:rsidRPr="00061547">
        <w:rPr>
          <w:rFonts w:cs="Times New Roman"/>
          <w:i/>
          <w:iCs/>
          <w:sz w:val="20"/>
          <w:szCs w:val="20"/>
        </w:rPr>
        <w:t xml:space="preserve">Exactech Polyethylene </w:t>
      </w:r>
      <w:r w:rsidRPr="00061547">
        <w:rPr>
          <w:i/>
          <w:iCs/>
          <w:sz w:val="20"/>
          <w:szCs w:val="20"/>
        </w:rPr>
        <w:t>Orthopedic</w:t>
      </w:r>
      <w:r w:rsidRPr="00061547">
        <w:rPr>
          <w:sz w:val="20"/>
          <w:szCs w:val="20"/>
        </w:rPr>
        <w:t> (MDL No. 3044).</w:t>
      </w:r>
    </w:p>
  </w:footnote>
  <w:footnote w:id="3">
    <w:p w14:paraId="54D14E52" w14:textId="77777777" w:rsidR="00C639B0" w:rsidRDefault="00C639B0" w:rsidP="00C639B0">
      <w:pPr>
        <w:pStyle w:val="FootnoteText"/>
        <w:jc w:val="both"/>
      </w:pPr>
      <w:r>
        <w:rPr>
          <w:rStyle w:val="FootnoteReference"/>
        </w:rPr>
        <w:footnoteRef/>
      </w:r>
      <w:r>
        <w:t xml:space="preserve">Administrative Office of the United States Courts, at </w:t>
      </w:r>
      <w:r w:rsidRPr="008E0754">
        <w:t>https://www.uscourts.gov/court-programs/bankruptcy/bankruptcy-basics/chapter-11-bankruptcy-basics</w:t>
      </w:r>
      <w:r>
        <w:t xml:space="preserve">. </w:t>
      </w:r>
    </w:p>
  </w:footnote>
  <w:footnote w:id="4">
    <w:p w14:paraId="7CB67355" w14:textId="77777777" w:rsidR="00C639B0" w:rsidRDefault="00C639B0" w:rsidP="00FE6E8E">
      <w:pPr>
        <w:spacing w:after="0"/>
        <w:jc w:val="both"/>
      </w:pPr>
      <w:r>
        <w:rPr>
          <w:rStyle w:val="FootnoteReference"/>
        </w:rPr>
        <w:footnoteRef/>
      </w:r>
      <w:r>
        <w:t xml:space="preserve"> </w:t>
      </w:r>
      <w:r w:rsidRPr="005441F4">
        <w:rPr>
          <w:sz w:val="20"/>
          <w:szCs w:val="20"/>
        </w:rPr>
        <w:t xml:space="preserve">A </w:t>
      </w:r>
      <w:r w:rsidRPr="005441F4">
        <w:rPr>
          <w:rFonts w:cs="Times New Roman"/>
          <w:sz w:val="20"/>
          <w:szCs w:val="20"/>
        </w:rPr>
        <w:t xml:space="preserve">summary of the plan as mentioned in Rule 3017(d) is rarely submitted </w:t>
      </w:r>
      <w:r w:rsidRPr="005441F4">
        <w:rPr>
          <w:rFonts w:cs="Times New Roman"/>
          <w:color w:val="222222"/>
          <w:sz w:val="20"/>
          <w:szCs w:val="20"/>
          <w:shd w:val="clear" w:color="auto" w:fill="FFFFFF"/>
        </w:rPr>
        <w:t>to</w:t>
      </w:r>
      <w:r w:rsidRPr="005441F4">
        <w:rPr>
          <w:rFonts w:cs="Times New Roman"/>
          <w:color w:val="FF0000"/>
          <w:sz w:val="20"/>
          <w:szCs w:val="20"/>
          <w:shd w:val="clear" w:color="auto" w:fill="FFFFFF"/>
        </w:rPr>
        <w:t xml:space="preserve"> </w:t>
      </w:r>
      <w:r w:rsidRPr="005441F4">
        <w:rPr>
          <w:rFonts w:cs="Times New Roman"/>
          <w:sz w:val="20"/>
          <w:szCs w:val="20"/>
          <w:shd w:val="clear" w:color="auto" w:fill="FFFFFF"/>
        </w:rPr>
        <w:t>creditors in lieu of sending them the entire plan.  But summaries of the plan are typically included in the disclosure statement, and when included as part of the disclosure statement, are, like the remainder of the disclosure statement, subject to the court’s approval.</w:t>
      </w:r>
    </w:p>
  </w:footnote>
  <w:footnote w:id="5">
    <w:p w14:paraId="7E737205" w14:textId="77777777" w:rsidR="00C639B0" w:rsidRDefault="00C639B0" w:rsidP="00FE6E8E">
      <w:pPr>
        <w:pStyle w:val="FootnoteText"/>
        <w:jc w:val="both"/>
      </w:pPr>
      <w:r>
        <w:rPr>
          <w:rStyle w:val="FootnoteReference"/>
        </w:rPr>
        <w:footnoteRef/>
      </w:r>
      <w:r>
        <w:t xml:space="preserve"> Fed. R. Bk. P. 3017(d) (additional information may include any that the “court may direct, including any court opinion approving the disclosure statement or a court-approved summary of the opinion”).</w:t>
      </w:r>
    </w:p>
  </w:footnote>
  <w:footnote w:id="6">
    <w:p w14:paraId="2DEA2A9F" w14:textId="77777777" w:rsidR="00C639B0" w:rsidRDefault="00C639B0" w:rsidP="00C639B0">
      <w:pPr>
        <w:pStyle w:val="FootnoteText"/>
        <w:jc w:val="both"/>
      </w:pPr>
      <w:r>
        <w:rPr>
          <w:rStyle w:val="FootnoteReference"/>
        </w:rPr>
        <w:footnoteRef/>
      </w:r>
      <w:r>
        <w:t xml:space="preserve"> </w:t>
      </w:r>
      <w:r w:rsidRPr="00AE1D5A">
        <w:rPr>
          <w:i/>
          <w:iCs/>
        </w:rPr>
        <w:t>See</w:t>
      </w:r>
      <w:r>
        <w:t xml:space="preserve"> 11 U.S.C. </w:t>
      </w:r>
      <w:r>
        <w:rPr>
          <w:rFonts w:cs="Times New Roman"/>
        </w:rPr>
        <w:t>§</w:t>
      </w:r>
      <w:r>
        <w:t xml:space="preserve"> 1125(a)(1) (defining “adequate information”) and 11 U.S.C. </w:t>
      </w:r>
      <w:r>
        <w:rPr>
          <w:rFonts w:cs="Times New Roman"/>
        </w:rPr>
        <w:t>§</w:t>
      </w:r>
      <w:r>
        <w:t xml:space="preserve"> 1126(b) (requiring “adequate information” as condition for accepting plan); </w:t>
      </w:r>
      <w:r w:rsidRPr="00882BB6">
        <w:rPr>
          <w:i/>
          <w:iCs/>
        </w:rPr>
        <w:t>see also</w:t>
      </w:r>
      <w:r>
        <w:t xml:space="preserve"> </w:t>
      </w:r>
      <w:r w:rsidRPr="00882BB6">
        <w:rPr>
          <w:rFonts w:cs="Times New Roman"/>
        </w:rPr>
        <w:t>Best Practice MDL-§ 16(a)</w:t>
      </w:r>
      <w:r>
        <w:rPr>
          <w:rFonts w:cs="Times New Roman"/>
        </w:rPr>
        <w:t xml:space="preserve">, </w:t>
      </w:r>
      <w:r w:rsidRPr="00882BB6">
        <w:rPr>
          <w:rFonts w:cs="Times New Roman"/>
          <w:i/>
          <w:iCs/>
        </w:rPr>
        <w:t>supra</w:t>
      </w:r>
      <w:r>
        <w:rPr>
          <w:rFonts w:cs="Times New Roman"/>
        </w:rPr>
        <w:t xml:space="preserve">.  </w:t>
      </w:r>
    </w:p>
  </w:footnote>
  <w:footnote w:id="7">
    <w:p w14:paraId="0B71D288" w14:textId="77777777" w:rsidR="00C639B0" w:rsidRDefault="00C639B0" w:rsidP="00C639B0">
      <w:pPr>
        <w:pStyle w:val="FootnoteText"/>
      </w:pPr>
      <w:r>
        <w:rPr>
          <w:rStyle w:val="FootnoteReference"/>
        </w:rPr>
        <w:footnoteRef/>
      </w:r>
      <w:r>
        <w:t xml:space="preserve"> </w:t>
      </w:r>
      <w:r w:rsidRPr="002F772B">
        <w:t xml:space="preserve">Although unclear text is never acceptable, revising all text used in bankruptcy may be </w:t>
      </w:r>
      <w:r>
        <w:t>overwhelming</w:t>
      </w:r>
      <w:r w:rsidRPr="002F772B">
        <w:t xml:space="preserve"> and </w:t>
      </w:r>
      <w:r>
        <w:t xml:space="preserve">may </w:t>
      </w:r>
      <w:r w:rsidRPr="002F772B">
        <w:t>require</w:t>
      </w:r>
      <w:r>
        <w:t xml:space="preserve"> a piecemeal approach,</w:t>
      </w:r>
      <w:r w:rsidRPr="002F772B">
        <w:t xml:space="preserve"> initially targeting provisions that affect those unfamiliar with bankruptcy. </w:t>
      </w:r>
    </w:p>
  </w:footnote>
  <w:footnote w:id="8">
    <w:p w14:paraId="28A66ACC" w14:textId="77777777" w:rsidR="00C639B0" w:rsidRDefault="00C639B0" w:rsidP="00C639B0">
      <w:pPr>
        <w:pStyle w:val="FootnoteText"/>
        <w:jc w:val="both"/>
      </w:pPr>
      <w:r>
        <w:rPr>
          <w:rStyle w:val="FootnoteReference"/>
        </w:rPr>
        <w:footnoteRef/>
      </w:r>
      <w:r>
        <w:t xml:space="preserve"> </w:t>
      </w:r>
      <w:r>
        <w:rPr>
          <w:i/>
          <w:iCs/>
        </w:rPr>
        <w:t>See</w:t>
      </w:r>
      <w:r>
        <w:t xml:space="preserve"> Bryan A. Garner, Joseph Kimble, </w:t>
      </w:r>
      <w:r w:rsidRPr="00C26F54">
        <w:rPr>
          <w:i/>
          <w:iCs/>
        </w:rPr>
        <w:t>Essentials for Drafting Clear Legal Rules,</w:t>
      </w:r>
      <w:r>
        <w:t xml:space="preserve"> Administrative Office of United States Courts, page 2 (2024) (available at</w:t>
      </w:r>
      <w:r w:rsidRPr="00C776A5">
        <w:t xml:space="preserve"> </w:t>
      </w:r>
      <w:hyperlink r:id="rId1" w:history="1">
        <w:r w:rsidRPr="001C095A">
          <w:rPr>
            <w:rStyle w:val="Hyperlink"/>
          </w:rPr>
          <w:t>https://www.uscourts.gov/sites/default/files/essentials_for_drafting_clear_legal_rules_2024.pdf</w:t>
        </w:r>
      </w:hyperlink>
      <w:r>
        <w:t>).  The guidelines include:</w:t>
      </w:r>
    </w:p>
    <w:p w14:paraId="135BE137" w14:textId="77777777" w:rsidR="00C639B0" w:rsidRDefault="00C639B0" w:rsidP="00C639B0">
      <w:pPr>
        <w:pStyle w:val="fnquote"/>
        <w:spacing w:after="0"/>
        <w:ind w:left="360" w:right="0"/>
        <w:jc w:val="both"/>
      </w:pPr>
      <w:r>
        <w:t xml:space="preserve">A. Sentence Length.  Prefer short sentences.  The average sentence length in good drafting is 25 to 30 words.  (See 2.4(F).) </w:t>
      </w:r>
    </w:p>
    <w:p w14:paraId="46DBAAEF" w14:textId="77777777" w:rsidR="00C639B0" w:rsidRDefault="00C639B0" w:rsidP="00C639B0">
      <w:pPr>
        <w:pStyle w:val="fnquote"/>
        <w:spacing w:after="0"/>
        <w:ind w:left="360" w:right="0"/>
        <w:jc w:val="both"/>
      </w:pPr>
      <w:r>
        <w:t xml:space="preserve">B. Plain Words.  Use the simplest possible words to express the idea clearly.  Avoid legal jargon.  (See 4.1(A), 4.7.) </w:t>
      </w:r>
    </w:p>
    <w:p w14:paraId="74397640" w14:textId="77777777" w:rsidR="00C639B0" w:rsidRDefault="00C639B0" w:rsidP="00C639B0">
      <w:pPr>
        <w:pStyle w:val="fnquote"/>
        <w:spacing w:after="0"/>
        <w:ind w:left="360" w:right="0"/>
        <w:jc w:val="both"/>
      </w:pPr>
      <w:r>
        <w:t xml:space="preserve">C. Headings.  Organize the draft logically, with headings and subheadings, so that the reader has bearings.  More headings are usually better than fewer.  (See 3.2(C).) </w:t>
      </w:r>
    </w:p>
    <w:p w14:paraId="5B7A76E0" w14:textId="77777777" w:rsidR="00C639B0" w:rsidRDefault="00C639B0" w:rsidP="00C639B0">
      <w:pPr>
        <w:pStyle w:val="fnquote"/>
        <w:spacing w:after="0"/>
        <w:ind w:left="360" w:right="0"/>
        <w:jc w:val="both"/>
      </w:pPr>
      <w:r>
        <w:t xml:space="preserve">D. Structure.  Use structure to enhance readability and reinforce meaning, especially by using vertical lists.  Avoid listing items within long block paragraphs.  (See 3.3.) </w:t>
      </w:r>
    </w:p>
    <w:p w14:paraId="042F5282" w14:textId="77777777" w:rsidR="00C639B0" w:rsidRDefault="00C639B0" w:rsidP="00C639B0">
      <w:pPr>
        <w:pStyle w:val="fnquote"/>
        <w:spacing w:after="0"/>
        <w:ind w:left="360" w:right="0"/>
        <w:jc w:val="both"/>
      </w:pPr>
      <w:r>
        <w:t>E. Document Design …</w:t>
      </w:r>
    </w:p>
    <w:p w14:paraId="267D049E" w14:textId="77777777" w:rsidR="00C639B0" w:rsidRDefault="00C639B0" w:rsidP="00C639B0">
      <w:pPr>
        <w:pStyle w:val="fnquote"/>
        <w:spacing w:after="0"/>
        <w:ind w:left="360" w:right="0"/>
        <w:jc w:val="both"/>
      </w:pPr>
      <w:r w:rsidRPr="008F14DE">
        <w:t>…• Never use all caps except possibly for a title.</w:t>
      </w:r>
    </w:p>
  </w:footnote>
  <w:footnote w:id="9">
    <w:p w14:paraId="2526EE80" w14:textId="77777777" w:rsidR="00C639B0" w:rsidRDefault="00C639B0" w:rsidP="00C639B0">
      <w:pPr>
        <w:pStyle w:val="FootnoteText"/>
        <w:jc w:val="both"/>
      </w:pPr>
      <w:r>
        <w:rPr>
          <w:rStyle w:val="FootnoteReference"/>
        </w:rPr>
        <w:footnoteRef/>
      </w:r>
      <w:r>
        <w:t xml:space="preserve"> </w:t>
      </w:r>
      <w:r w:rsidRPr="0080095C">
        <w:rPr>
          <w:i/>
          <w:iCs/>
        </w:rPr>
        <w:t xml:space="preserve">See </w:t>
      </w:r>
      <w:r>
        <w:t xml:space="preserve">Bryan A. Garner, </w:t>
      </w:r>
      <w:r w:rsidRPr="00735D94">
        <w:rPr>
          <w:i/>
          <w:iCs/>
        </w:rPr>
        <w:t>Legal Writing in Plain English, Third Edition: A Text with Exercises</w:t>
      </w:r>
      <w:r w:rsidRPr="00711EB2">
        <w:t xml:space="preserve"> (Chicago Guides to</w:t>
      </w:r>
      <w:r>
        <w:t xml:space="preserve"> </w:t>
      </w:r>
      <w:r w:rsidRPr="00711EB2">
        <w:t>Writing,</w:t>
      </w:r>
      <w:r>
        <w:t xml:space="preserve"> </w:t>
      </w:r>
      <w:r w:rsidRPr="00711EB2">
        <w:t>Editing, and Publishing</w:t>
      </w:r>
      <w:r>
        <w:t>, 3d Ed. 2023</w:t>
      </w:r>
      <w:r w:rsidRPr="00711EB2">
        <w:t>)</w:t>
      </w:r>
      <w:r>
        <w:t xml:space="preserve">; </w:t>
      </w:r>
      <w:r>
        <w:rPr>
          <w:i/>
          <w:iCs/>
        </w:rPr>
        <w:t>s</w:t>
      </w:r>
      <w:r w:rsidRPr="00735D94">
        <w:rPr>
          <w:i/>
          <w:iCs/>
        </w:rPr>
        <w:t xml:space="preserve">ee also </w:t>
      </w:r>
      <w:r w:rsidRPr="00DC0D4C">
        <w:t>Ross Guberman</w:t>
      </w:r>
      <w:r w:rsidRPr="00735D94">
        <w:rPr>
          <w:i/>
          <w:iCs/>
        </w:rPr>
        <w:t>, Point Made:  How to Write Like the Nation’s Top Advocates</w:t>
      </w:r>
      <w:r>
        <w:t xml:space="preserve"> (Oxford University Press, 2011) (making many of the same points).</w:t>
      </w:r>
    </w:p>
  </w:footnote>
  <w:footnote w:id="10">
    <w:p w14:paraId="61987AD1" w14:textId="77777777" w:rsidR="00C639B0" w:rsidRDefault="00C639B0" w:rsidP="00C639B0">
      <w:pPr>
        <w:pStyle w:val="FootnoteText"/>
        <w:jc w:val="both"/>
        <w:rPr>
          <w:rFonts w:cs="Times New Roman"/>
        </w:rPr>
      </w:pPr>
      <w:r>
        <w:rPr>
          <w:rStyle w:val="FootnoteReference"/>
        </w:rPr>
        <w:footnoteRef/>
      </w:r>
      <w:r>
        <w:t xml:space="preserve"> </w:t>
      </w:r>
      <w:r w:rsidRPr="00735D94">
        <w:rPr>
          <w:i/>
          <w:iCs/>
        </w:rPr>
        <w:t xml:space="preserve">See, </w:t>
      </w:r>
      <w:r>
        <w:rPr>
          <w:i/>
          <w:iCs/>
        </w:rPr>
        <w:t xml:space="preserve">e.g., </w:t>
      </w:r>
      <w:r w:rsidRPr="00735D94">
        <w:rPr>
          <w:i/>
          <w:iCs/>
        </w:rPr>
        <w:t xml:space="preserve">In re </w:t>
      </w:r>
      <w:r>
        <w:rPr>
          <w:i/>
          <w:iCs/>
        </w:rPr>
        <w:t xml:space="preserve">Motors Liquidation Co. (f/k/a </w:t>
      </w:r>
      <w:r w:rsidRPr="00735D94">
        <w:rPr>
          <w:i/>
          <w:iCs/>
        </w:rPr>
        <w:t>General Motors Corp</w:t>
      </w:r>
      <w:r>
        <w:rPr>
          <w:i/>
          <w:iCs/>
        </w:rPr>
        <w:t>.)</w:t>
      </w:r>
      <w:r w:rsidRPr="00735D94">
        <w:rPr>
          <w:i/>
          <w:iCs/>
        </w:rPr>
        <w:t>,</w:t>
      </w:r>
      <w:r>
        <w:t xml:space="preserve"> No. 09-50026 (REG), Case Management Order #3, ECF #12625 (Bankr. S.D.N.Y. April 22, 2014), </w:t>
      </w:r>
      <w:r>
        <w:rPr>
          <w:rFonts w:cs="Times New Roman"/>
        </w:rPr>
        <w:t>¶¶ 27-28.  It provided:</w:t>
      </w:r>
    </w:p>
    <w:p w14:paraId="31AC875B" w14:textId="77777777" w:rsidR="00C639B0" w:rsidRPr="003933E6" w:rsidRDefault="00C639B0" w:rsidP="00C639B0">
      <w:pPr>
        <w:pStyle w:val="fnquote"/>
        <w:spacing w:after="0"/>
        <w:ind w:left="360" w:right="288"/>
        <w:jc w:val="both"/>
      </w:pPr>
      <w:r w:rsidRPr="003933E6">
        <w:t xml:space="preserve">27.  Every Motion, proposed order, and agreement that is subject to the review or approval of the Court must boldface defined terms (as, </w:t>
      </w:r>
      <w:r w:rsidRPr="006A417B">
        <w:rPr>
          <w:i/>
          <w:iCs w:val="0"/>
        </w:rPr>
        <w:t>e.g.,</w:t>
      </w:r>
      <w:r w:rsidRPr="003933E6">
        <w:t xml:space="preserve"> they have been boldfaced in this order) to facilitate cross-referencing and understanding by the Court and parties.  Likewise, each such document must be formatted to maximize its readability and to prevent potentially significant matter from being overlooked, or “buried.” That request includes, without limitation:</w:t>
      </w:r>
    </w:p>
    <w:p w14:paraId="42D18952" w14:textId="77777777" w:rsidR="00C639B0" w:rsidRPr="003933E6" w:rsidRDefault="00C639B0" w:rsidP="00C639B0">
      <w:pPr>
        <w:pStyle w:val="fnquote"/>
        <w:spacing w:after="0"/>
        <w:ind w:left="360" w:right="288"/>
        <w:jc w:val="both"/>
      </w:pPr>
      <w:r w:rsidRPr="003933E6">
        <w:t>(a)</w:t>
      </w:r>
      <w:r w:rsidRPr="003933E6">
        <w:tab/>
        <w:t>avoiding massive blocks of text;</w:t>
      </w:r>
    </w:p>
    <w:p w14:paraId="7B8DF1C4" w14:textId="77777777" w:rsidR="00C639B0" w:rsidRPr="003933E6" w:rsidRDefault="00C639B0" w:rsidP="00C639B0">
      <w:pPr>
        <w:pStyle w:val="fnquote"/>
        <w:spacing w:after="0"/>
        <w:ind w:left="360" w:right="288"/>
        <w:jc w:val="both"/>
      </w:pPr>
      <w:r w:rsidRPr="003933E6">
        <w:t>(b)</w:t>
      </w:r>
      <w:r w:rsidRPr="003933E6">
        <w:tab/>
        <w:t>keeping paragraphs short; and, importantly,</w:t>
      </w:r>
    </w:p>
    <w:p w14:paraId="0F80EA63" w14:textId="77777777" w:rsidR="00C639B0" w:rsidRPr="003933E6" w:rsidRDefault="00C639B0" w:rsidP="00C639B0">
      <w:pPr>
        <w:pStyle w:val="fnquote"/>
        <w:spacing w:after="0"/>
        <w:ind w:left="360" w:right="288"/>
        <w:jc w:val="both"/>
      </w:pPr>
      <w:r w:rsidRPr="003933E6">
        <w:t>(c)</w:t>
      </w:r>
      <w:r w:rsidRPr="003933E6">
        <w:tab/>
        <w:t>breaking matter in enumerations and lists into subparagraphs or further subdivisions (indented, spaced and otherwise formatted to ease understanding of the structure of the paragraph).</w:t>
      </w:r>
    </w:p>
    <w:p w14:paraId="5FAC86F1" w14:textId="77777777" w:rsidR="00C639B0" w:rsidRPr="003933E6" w:rsidRDefault="00C639B0" w:rsidP="00C639B0">
      <w:pPr>
        <w:pStyle w:val="fnquote"/>
        <w:spacing w:after="0"/>
        <w:ind w:left="360" w:right="288"/>
        <w:jc w:val="both"/>
      </w:pPr>
      <w:r w:rsidRPr="003933E6">
        <w:t>Lists and enumerations are not to be strung together in a single long paragraph that has not been broken up for readability….</w:t>
      </w:r>
    </w:p>
    <w:p w14:paraId="78C1C77B" w14:textId="77777777" w:rsidR="00C639B0" w:rsidRPr="00E22289" w:rsidRDefault="00C639B0" w:rsidP="00C639B0">
      <w:pPr>
        <w:pStyle w:val="fnquote"/>
        <w:spacing w:after="0"/>
        <w:ind w:left="360" w:right="288"/>
        <w:jc w:val="both"/>
      </w:pPr>
      <w:r w:rsidRPr="004B7496">
        <w:rPr>
          <w:rStyle w:val="fnquoteChar"/>
        </w:rPr>
        <w:t>28. Parties are not to use acronyms in briefs to describe names of parties or agencies or expressions, unless their</w:t>
      </w:r>
      <w:r w:rsidRPr="00E22289">
        <w:t xml:space="preserve"> meaning is obvious.  …</w:t>
      </w:r>
    </w:p>
  </w:footnote>
  <w:footnote w:id="11">
    <w:p w14:paraId="3D0EA428" w14:textId="77777777" w:rsidR="00C639B0" w:rsidRDefault="00C639B0" w:rsidP="00C639B0">
      <w:pPr>
        <w:pStyle w:val="FootnoteText"/>
        <w:jc w:val="both"/>
      </w:pPr>
      <w:r>
        <w:rPr>
          <w:rStyle w:val="FootnoteReference"/>
        </w:rPr>
        <w:footnoteRef/>
      </w:r>
      <w:r>
        <w:t xml:space="preserve"> 11 U.S.C. </w:t>
      </w:r>
      <w:r>
        <w:rPr>
          <w:rFonts w:cs="Times New Roman"/>
        </w:rPr>
        <w:t>§</w:t>
      </w:r>
      <w:r>
        <w:t xml:space="preserve"> 1125 (a)(1).</w:t>
      </w:r>
    </w:p>
  </w:footnote>
  <w:footnote w:id="12">
    <w:p w14:paraId="75BC70B7" w14:textId="77777777" w:rsidR="00C639B0" w:rsidRPr="00047F4F" w:rsidRDefault="00C639B0" w:rsidP="00C639B0">
      <w:pPr>
        <w:pStyle w:val="FootnoteText"/>
        <w:jc w:val="both"/>
      </w:pPr>
      <w:r w:rsidRPr="00096FC8">
        <w:rPr>
          <w:rStyle w:val="FootnoteReference"/>
        </w:rPr>
        <w:footnoteRef/>
      </w:r>
      <w:r w:rsidRPr="0051224E">
        <w:rPr>
          <w:vertAlign w:val="superscript"/>
        </w:rPr>
        <w:t xml:space="preserve"> </w:t>
      </w:r>
      <w:r w:rsidRPr="00047F4F">
        <w:t>The broad term “</w:t>
      </w:r>
      <w:r>
        <w:t>legalese</w:t>
      </w:r>
      <w:r w:rsidRPr="00047F4F">
        <w:t xml:space="preserve">” has many variations, and it can include both unnecessary verbiage, jargon, and also cryptic words.  But to start, banish words like “herein”; “therein”; “thereto”; “hereof”; ”thereof”; “hereinafter”; </w:t>
      </w:r>
      <w:r>
        <w:t xml:space="preserve"> “supra”; “infra”; </w:t>
      </w:r>
      <w:r w:rsidRPr="00047F4F">
        <w:t>anything first learned in law school; and practically anything else in Latin.</w:t>
      </w:r>
    </w:p>
  </w:footnote>
  <w:footnote w:id="13">
    <w:p w14:paraId="593D02AE" w14:textId="587E7458" w:rsidR="00C639B0" w:rsidRPr="00047F4F" w:rsidRDefault="00C639B0" w:rsidP="00C639B0">
      <w:pPr>
        <w:pStyle w:val="FootnoteText"/>
        <w:jc w:val="both"/>
      </w:pPr>
      <w:r w:rsidRPr="00710B58">
        <w:rPr>
          <w:rStyle w:val="FootnoteReference"/>
        </w:rPr>
        <w:footnoteRef/>
      </w:r>
      <w:r w:rsidRPr="0051224E">
        <w:rPr>
          <w:vertAlign w:val="superscript"/>
        </w:rPr>
        <w:t xml:space="preserve"> </w:t>
      </w:r>
      <w:r w:rsidRPr="00047F4F">
        <w:t xml:space="preserve">Garner </w:t>
      </w:r>
      <w:r w:rsidR="00FE6E8E">
        <w:t xml:space="preserve">and Kimble </w:t>
      </w:r>
      <w:r w:rsidRPr="00047F4F">
        <w:t>refer to drafting like this as “needless repetition” (</w:t>
      </w:r>
      <w:r w:rsidRPr="0051224E">
        <w:t>see</w:t>
      </w:r>
      <w:r w:rsidRPr="00047F4F">
        <w:t xml:space="preserve"> </w:t>
      </w:r>
      <w:r w:rsidRPr="0051224E">
        <w:t>Essentials for Drafting Clear Legal Rules,</w:t>
      </w:r>
      <w:r w:rsidRPr="00047F4F">
        <w:t xml:space="preserve"> § 4.1(G))—which of course it is.  For example, is it really necessary to say, “release and waive” (as in the </w:t>
      </w:r>
      <w:r w:rsidRPr="00092A3F">
        <w:rPr>
          <w:i/>
          <w:iCs/>
        </w:rPr>
        <w:t>Smallhold</w:t>
      </w:r>
      <w:r w:rsidRPr="00047F4F">
        <w:t xml:space="preserve"> notice)—when “release” would do? Or worse, “all liens, claims, causes of action, liabilities, encumbrances, security interests, or charges of any nature or description whatsoever based on or relating to, or in any manner arising from, in whole or in part…”?  </w:t>
      </w:r>
      <w:r w:rsidRPr="005441F4">
        <w:rPr>
          <w:i/>
          <w:iCs/>
        </w:rPr>
        <w:t>See</w:t>
      </w:r>
      <w:r w:rsidRPr="00047F4F">
        <w:t xml:space="preserve"> the </w:t>
      </w:r>
      <w:r w:rsidRPr="00EB4436">
        <w:rPr>
          <w:i/>
          <w:iCs/>
        </w:rPr>
        <w:t>Smallhold</w:t>
      </w:r>
      <w:r w:rsidRPr="00047F4F">
        <w:t xml:space="preserve"> notice.  Less mechanical drafting would enable the drafter and the court to better understand what is sought, and—as importantly or more so—enable the tort claimant to understand what he or she is being asked to give up.</w:t>
      </w:r>
    </w:p>
  </w:footnote>
  <w:footnote w:id="14">
    <w:p w14:paraId="149CC420" w14:textId="62CD251A" w:rsidR="00C639B0" w:rsidRPr="00047F4F" w:rsidRDefault="00C639B0" w:rsidP="00C639B0">
      <w:pPr>
        <w:pStyle w:val="FootnoteText"/>
        <w:jc w:val="both"/>
      </w:pPr>
      <w:r w:rsidRPr="00710B58">
        <w:rPr>
          <w:rStyle w:val="FootnoteReference"/>
        </w:rPr>
        <w:footnoteRef/>
      </w:r>
      <w:r w:rsidRPr="0051224E">
        <w:rPr>
          <w:vertAlign w:val="superscript"/>
        </w:rPr>
        <w:t xml:space="preserve"> </w:t>
      </w:r>
      <w:r w:rsidRPr="005441F4">
        <w:rPr>
          <w:i/>
          <w:iCs/>
        </w:rPr>
        <w:t>See</w:t>
      </w:r>
      <w:r w:rsidRPr="00047F4F">
        <w:t xml:space="preserve"> Garner’s </w:t>
      </w:r>
      <w:r w:rsidR="00BC465F">
        <w:t xml:space="preserve">and Kimble’s </w:t>
      </w:r>
      <w:r w:rsidRPr="00047F4F">
        <w:t xml:space="preserve">observations in this regard, in </w:t>
      </w:r>
      <w:r>
        <w:t xml:space="preserve">Garner &amp; Kimble </w:t>
      </w:r>
      <w:r w:rsidRPr="0051224E">
        <w:t>Essentials for Drafting Clear Legal Rules</w:t>
      </w:r>
      <w:r w:rsidRPr="00047F4F">
        <w:t xml:space="preserve"> </w:t>
      </w:r>
      <w:r w:rsidRPr="0028535F">
        <w:rPr>
          <w:i/>
          <w:iCs/>
        </w:rPr>
        <w:t>supra</w:t>
      </w:r>
      <w:r w:rsidRPr="00047F4F">
        <w:t>.</w:t>
      </w:r>
    </w:p>
  </w:footnote>
  <w:footnote w:id="15">
    <w:p w14:paraId="5D1CBD37" w14:textId="77777777" w:rsidR="00C639B0" w:rsidRPr="00047F4F" w:rsidRDefault="00C639B0" w:rsidP="00C639B0">
      <w:pPr>
        <w:pStyle w:val="FootnoteText"/>
        <w:jc w:val="both"/>
      </w:pPr>
      <w:r w:rsidRPr="00710B58">
        <w:rPr>
          <w:rStyle w:val="FootnoteReference"/>
        </w:rPr>
        <w:footnoteRef/>
      </w:r>
      <w:r w:rsidRPr="0051224E">
        <w:rPr>
          <w:vertAlign w:val="superscript"/>
        </w:rPr>
        <w:t xml:space="preserve"> </w:t>
      </w:r>
      <w:r w:rsidRPr="00047F4F">
        <w:t>Instead, put them in separate subparagraphs, as they have been included here.  Hanging indents can also be valuable for this purpose.  As Garner</w:t>
      </w:r>
      <w:r>
        <w:t xml:space="preserve"> &amp; Kimble</w:t>
      </w:r>
      <w:r w:rsidRPr="00047F4F">
        <w:t xml:space="preserve"> observe in </w:t>
      </w:r>
      <w:r w:rsidRPr="0051224E">
        <w:t>Essentials for Drafting Clear Legal Rules</w:t>
      </w:r>
      <w:r w:rsidRPr="00047F4F">
        <w:t>, they can also reveal structure cleanly.</w:t>
      </w:r>
    </w:p>
  </w:footnote>
  <w:footnote w:id="16">
    <w:p w14:paraId="3293CCA9" w14:textId="77777777" w:rsidR="00C639B0" w:rsidRPr="00047F4F" w:rsidRDefault="00C639B0" w:rsidP="00C639B0">
      <w:pPr>
        <w:pStyle w:val="FootnoteText"/>
        <w:jc w:val="both"/>
      </w:pPr>
      <w:r w:rsidRPr="00710B58">
        <w:rPr>
          <w:rStyle w:val="FootnoteReference"/>
        </w:rPr>
        <w:footnoteRef/>
      </w:r>
      <w:r w:rsidRPr="0051224E">
        <w:rPr>
          <w:vertAlign w:val="superscript"/>
        </w:rPr>
        <w:t xml:space="preserve"> </w:t>
      </w:r>
      <w:r w:rsidRPr="00047F4F">
        <w:t>Though justified text is typically used in books and magazines (like this compendium), text is easier for many to read when the individual lines of a paragraph are not of identical length and are neither compressed nor stretched out to make the right margin flat.</w:t>
      </w:r>
    </w:p>
  </w:footnote>
  <w:footnote w:id="17">
    <w:p w14:paraId="6B1F3586" w14:textId="284D168B" w:rsidR="00C639B0" w:rsidRPr="00047F4F" w:rsidRDefault="00C639B0" w:rsidP="00C639B0">
      <w:pPr>
        <w:pStyle w:val="FootnoteText"/>
        <w:jc w:val="both"/>
      </w:pPr>
      <w:r w:rsidRPr="00710B58">
        <w:rPr>
          <w:rStyle w:val="FootnoteReference"/>
        </w:rPr>
        <w:footnoteRef/>
      </w:r>
      <w:r w:rsidRPr="0051224E">
        <w:rPr>
          <w:vertAlign w:val="superscript"/>
        </w:rPr>
        <w:t xml:space="preserve"> </w:t>
      </w:r>
      <w:r w:rsidRPr="00047F4F">
        <w:t>S</w:t>
      </w:r>
      <w:r w:rsidRPr="0051224E">
        <w:t>ee</w:t>
      </w:r>
      <w:r w:rsidRPr="00047F4F">
        <w:t xml:space="preserve"> Garner’s </w:t>
      </w:r>
      <w:r w:rsidR="00BC465F">
        <w:t>and Kimble’s</w:t>
      </w:r>
      <w:r w:rsidR="00235207">
        <w:t xml:space="preserve"> </w:t>
      </w:r>
      <w:r w:rsidRPr="00047F4F">
        <w:t xml:space="preserve">observations in this regard, in </w:t>
      </w:r>
      <w:r>
        <w:t xml:space="preserve">Garner &amp; Kimble </w:t>
      </w:r>
      <w:r w:rsidRPr="0051224E">
        <w:t>Essentials for Drafting Clear Legal Rules</w:t>
      </w:r>
      <w:r w:rsidRPr="00047F4F">
        <w:t xml:space="preserve"> </w:t>
      </w:r>
      <w:r w:rsidRPr="0028535F">
        <w:rPr>
          <w:i/>
          <w:iCs/>
        </w:rPr>
        <w:t>supra</w:t>
      </w:r>
      <w:r>
        <w:rPr>
          <w:i/>
          <w:iCs/>
        </w:rPr>
        <w:t>.</w:t>
      </w:r>
      <w:r w:rsidRPr="00047F4F">
        <w:t xml:space="preserve">  A reader’s mind does not adjust to all caps well.  When necessary or desirable (and sometimes it is), bold face—but with normal upper and lower case—can be used when emphasis is necessary.</w:t>
      </w:r>
    </w:p>
  </w:footnote>
  <w:footnote w:id="18">
    <w:p w14:paraId="2755567C" w14:textId="77777777" w:rsidR="00C639B0" w:rsidRPr="00047F4F" w:rsidRDefault="00C639B0" w:rsidP="00C639B0">
      <w:pPr>
        <w:pStyle w:val="FootnoteText"/>
        <w:jc w:val="both"/>
      </w:pPr>
      <w:r w:rsidRPr="008B3BA3">
        <w:rPr>
          <w:rStyle w:val="FootnoteReference"/>
        </w:rPr>
        <w:footnoteRef/>
      </w:r>
      <w:r w:rsidRPr="0051224E">
        <w:rPr>
          <w:vertAlign w:val="superscript"/>
        </w:rPr>
        <w:t xml:space="preserve"> </w:t>
      </w:r>
      <w:r w:rsidRPr="00047F4F">
        <w:t>Using “U.S.” to refer to the United States, or the “FCC” to refer to the Federal Communications Commission is fine.  But acronyms that apply to a particular case alone will rarely, if ever, be understandable to one not already familiar with the case.  And their use will require readers to depart from what they’re reading to go back in an effort to ascertain how the acronyms were defined.</w:t>
      </w:r>
    </w:p>
  </w:footnote>
  <w:footnote w:id="19">
    <w:p w14:paraId="0FE38FD1" w14:textId="77777777" w:rsidR="00C639B0" w:rsidRPr="00870C41" w:rsidRDefault="00C639B0" w:rsidP="00C639B0">
      <w:pPr>
        <w:pStyle w:val="FootnoteText"/>
        <w:jc w:val="both"/>
      </w:pPr>
      <w:r w:rsidRPr="008B3BA3">
        <w:rPr>
          <w:rStyle w:val="FootnoteReference"/>
        </w:rPr>
        <w:footnoteRef/>
      </w:r>
      <w:r w:rsidRPr="0051224E">
        <w:rPr>
          <w:vertAlign w:val="superscript"/>
        </w:rPr>
        <w:t xml:space="preserve"> </w:t>
      </w:r>
      <w:r w:rsidRPr="005441F4">
        <w:rPr>
          <w:i/>
          <w:iCs/>
        </w:rPr>
        <w:t>See</w:t>
      </w:r>
      <w:r w:rsidRPr="00870C41">
        <w:t xml:space="preserve"> </w:t>
      </w:r>
      <w:r w:rsidRPr="0051224E">
        <w:t>Essentials for Drafting Clear Legal Rules</w:t>
      </w:r>
      <w:r w:rsidRPr="00870C41">
        <w:t xml:space="preserve"> § 1.3(A).</w:t>
      </w:r>
    </w:p>
  </w:footnote>
  <w:footnote w:id="20">
    <w:p w14:paraId="28110451" w14:textId="77777777" w:rsidR="00C639B0" w:rsidRPr="00870C41" w:rsidRDefault="00C639B0" w:rsidP="00C639B0">
      <w:pPr>
        <w:pStyle w:val="FootnoteText"/>
        <w:jc w:val="both"/>
      </w:pPr>
      <w:r w:rsidRPr="008B3BA3">
        <w:rPr>
          <w:rStyle w:val="FootnoteReference"/>
        </w:rPr>
        <w:footnoteRef/>
      </w:r>
      <w:r w:rsidRPr="00870C41">
        <w:t xml:space="preserve"> Other ways of saying this are “Using Vertical Lists,” and “Minimizing Horizontal Lists.”  </w:t>
      </w:r>
      <w:r w:rsidRPr="005441F4">
        <w:rPr>
          <w:i/>
          <w:iCs/>
        </w:rPr>
        <w:t>See</w:t>
      </w:r>
      <w:r w:rsidRPr="00870C41">
        <w:t xml:space="preserve"> </w:t>
      </w:r>
      <w:r w:rsidRPr="0051224E">
        <w:t xml:space="preserve">Essentials for Drafting Clear Legal Rules, </w:t>
      </w:r>
      <w:r w:rsidRPr="00870C41">
        <w:t>§</w:t>
      </w:r>
      <w:r w:rsidRPr="0051224E">
        <w:t> </w:t>
      </w:r>
      <w:r w:rsidRPr="00870C41">
        <w:t>3.3.  The important results of this are avoiding the burying of the items in the list and making each item in the list easier to comprehend.</w:t>
      </w:r>
    </w:p>
  </w:footnote>
  <w:footnote w:id="21">
    <w:p w14:paraId="2FDF6487" w14:textId="77777777" w:rsidR="00C639B0" w:rsidRPr="007301DD" w:rsidRDefault="00C639B0" w:rsidP="00C639B0">
      <w:pPr>
        <w:pStyle w:val="FootnoteText"/>
        <w:jc w:val="both"/>
      </w:pPr>
      <w:r w:rsidRPr="007301DD">
        <w:rPr>
          <w:rStyle w:val="FootnoteReference"/>
        </w:rPr>
        <w:footnoteRef/>
      </w:r>
      <w:r w:rsidRPr="007301DD">
        <w:t xml:space="preserve"> </w:t>
      </w:r>
      <w:r w:rsidRPr="007301DD">
        <w:rPr>
          <w:i/>
        </w:rPr>
        <w:t>Id.</w:t>
      </w:r>
      <w:r w:rsidRPr="007301DD">
        <w:t xml:space="preserve"> (“Research by the Federal Judicial Center showed that in nearly 90% of large MDLs a [Plaintiff Fact Sheet] is already employed”).  </w:t>
      </w:r>
      <w:r>
        <w:t>Courts also require the defendant to file comparable fact sheets.</w:t>
      </w:r>
    </w:p>
  </w:footnote>
  <w:footnote w:id="22">
    <w:p w14:paraId="2820655D" w14:textId="77777777" w:rsidR="00C639B0" w:rsidRPr="007301DD" w:rsidRDefault="00C639B0" w:rsidP="00C639B0">
      <w:pPr>
        <w:pStyle w:val="FootnoteText"/>
        <w:jc w:val="both"/>
      </w:pPr>
      <w:r w:rsidRPr="007301DD">
        <w:rPr>
          <w:rStyle w:val="FootnoteReference"/>
        </w:rPr>
        <w:footnoteRef/>
      </w:r>
      <w:r w:rsidRPr="007301DD">
        <w:t xml:space="preserve"> Advisory Committee on Civil Rules, Agenda Book (April 23, 2021), </w:t>
      </w:r>
      <w:r w:rsidRPr="007301DD">
        <w:rPr>
          <w:i/>
        </w:rPr>
        <w:t xml:space="preserve">Multidistrict Litigation Subcommittee Report </w:t>
      </w:r>
      <w:r w:rsidRPr="007301DD">
        <w:t>at 159</w:t>
      </w:r>
      <w:r>
        <w:t xml:space="preserve">; </w:t>
      </w:r>
      <w:r w:rsidRPr="006032FA">
        <w:rPr>
          <w:i/>
          <w:iCs/>
        </w:rPr>
        <w:t>see</w:t>
      </w:r>
      <w:r>
        <w:t xml:space="preserve"> </w:t>
      </w:r>
      <w:r w:rsidRPr="006032FA">
        <w:rPr>
          <w:i/>
          <w:iCs/>
        </w:rPr>
        <w:t>Mass-Tort MDL Compendium</w:t>
      </w:r>
      <w:r>
        <w:t>, Best Practice Permanent No. MDL-</w:t>
      </w:r>
      <w:r>
        <w:rPr>
          <w:rFonts w:cs="Times New Roman"/>
        </w:rPr>
        <w:t>§</w:t>
      </w:r>
      <w:r>
        <w:t xml:space="preserve">1, Rabiej Litigation Law Center (full discussion describing fact sheets submitted in mass-tort MDLs). </w:t>
      </w:r>
      <w:r w:rsidRPr="007301DD">
        <w:t xml:space="preserve">  </w:t>
      </w:r>
    </w:p>
  </w:footnote>
  <w:footnote w:id="23">
    <w:p w14:paraId="7DDD5DD9" w14:textId="77777777" w:rsidR="00C639B0" w:rsidRDefault="00C639B0" w:rsidP="00C639B0">
      <w:pPr>
        <w:pStyle w:val="FootnoteText"/>
        <w:jc w:val="both"/>
      </w:pPr>
      <w:r>
        <w:rPr>
          <w:rStyle w:val="FootnoteReference"/>
        </w:rPr>
        <w:footnoteRef/>
      </w:r>
      <w:r>
        <w:t xml:space="preserve"> The Advisory Committee on Bankruptcy Rules is keenly sensitive to the concerns of vendors of software programs who provide electronic “fillable” versions of the Official Forms for the public to use. Any local variations require changes to software.  </w:t>
      </w:r>
    </w:p>
  </w:footnote>
  <w:footnote w:id="24">
    <w:p w14:paraId="30664F76" w14:textId="77777777" w:rsidR="00C639B0" w:rsidRDefault="00C639B0" w:rsidP="00C639B0">
      <w:pPr>
        <w:pStyle w:val="FootnoteText"/>
        <w:jc w:val="both"/>
      </w:pPr>
      <w:r>
        <w:rPr>
          <w:rStyle w:val="FootnoteReference"/>
        </w:rPr>
        <w:footnoteRef/>
      </w:r>
      <w:r>
        <w:t xml:space="preserve"> Fed. R. Bk. P. 9009(a).</w:t>
      </w:r>
    </w:p>
  </w:footnote>
  <w:footnote w:id="25">
    <w:p w14:paraId="60031EA2" w14:textId="77777777" w:rsidR="00C639B0" w:rsidRDefault="00C639B0" w:rsidP="00C639B0">
      <w:pPr>
        <w:pStyle w:val="FootnoteText"/>
        <w:jc w:val="both"/>
      </w:pPr>
      <w:r>
        <w:rPr>
          <w:rStyle w:val="FootnoteReference"/>
        </w:rPr>
        <w:footnoteRef/>
      </w:r>
      <w:r>
        <w:t xml:space="preserve"> </w:t>
      </w:r>
      <w:r>
        <w:rPr>
          <w:rFonts w:cs="Times New Roman"/>
        </w:rPr>
        <w:t xml:space="preserve">Fed. R. Bk. P. 3001(a) is one of only nine rules, which permits alterations to certain Official Forms.  </w:t>
      </w:r>
      <w:r w:rsidRPr="007376F9">
        <w:rPr>
          <w:rFonts w:cs="Times New Roman"/>
          <w:i/>
          <w:iCs/>
        </w:rPr>
        <w:t>See</w:t>
      </w:r>
      <w:r>
        <w:rPr>
          <w:rFonts w:cs="Times New Roman"/>
        </w:rPr>
        <w:t xml:space="preserve"> Administrative Office of United States Courts, website About the Rulemaking Process.</w:t>
      </w:r>
    </w:p>
  </w:footnote>
  <w:footnote w:id="26">
    <w:p w14:paraId="72BB129A" w14:textId="77777777" w:rsidR="00C639B0" w:rsidRDefault="00C639B0" w:rsidP="00C639B0">
      <w:pPr>
        <w:pStyle w:val="FootnoteText"/>
        <w:jc w:val="both"/>
      </w:pPr>
      <w:r>
        <w:rPr>
          <w:rStyle w:val="FootnoteReference"/>
        </w:rPr>
        <w:footnoteRef/>
      </w:r>
      <w:r w:rsidRPr="004633FC">
        <w:t>“In the subcommittee’s judgment, the added language –although imposing a standard and not an exacting rule—should make clear the intention of limiting changes to an Official Form but allowing appropriate deviations from a ‘pixel to pixel’ reproduction.”</w:t>
      </w:r>
      <w:r>
        <w:t xml:space="preserve"> </w:t>
      </w:r>
    </w:p>
  </w:footnote>
  <w:footnote w:id="27">
    <w:p w14:paraId="0DC5916A" w14:textId="77777777" w:rsidR="00C639B0" w:rsidRDefault="00C639B0" w:rsidP="00C639B0">
      <w:pPr>
        <w:pStyle w:val="FootnoteText"/>
        <w:jc w:val="both"/>
      </w:pPr>
      <w:r>
        <w:rPr>
          <w:rStyle w:val="FootnoteReference"/>
        </w:rPr>
        <w:footnoteRef/>
      </w:r>
      <w:r>
        <w:t xml:space="preserve"> </w:t>
      </w:r>
      <w:r w:rsidRPr="002601D2">
        <w:rPr>
          <w:i/>
          <w:iCs/>
        </w:rPr>
        <w:t>See</w:t>
      </w:r>
      <w:r>
        <w:t xml:space="preserve"> Gibson, Elizabeth, Judicial Management of Mass Tort Bankruptcy Cases, pp. 75-76, Federal Judicial Center (2005).</w:t>
      </w:r>
    </w:p>
  </w:footnote>
  <w:footnote w:id="28">
    <w:p w14:paraId="6F683F89" w14:textId="77777777" w:rsidR="00C639B0" w:rsidRDefault="00C639B0" w:rsidP="00C639B0">
      <w:pPr>
        <w:pStyle w:val="FootnoteText"/>
        <w:jc w:val="both"/>
      </w:pPr>
      <w:r>
        <w:rPr>
          <w:rStyle w:val="FootnoteReference"/>
        </w:rPr>
        <w:footnoteRef/>
      </w:r>
      <w:r>
        <w:t xml:space="preserve"> </w:t>
      </w:r>
      <w:r w:rsidRPr="002601D2">
        <w:rPr>
          <w:i/>
          <w:iCs/>
        </w:rPr>
        <w:t>Id</w:t>
      </w:r>
      <w:r>
        <w:t>. at p. 76.</w:t>
      </w:r>
    </w:p>
  </w:footnote>
  <w:footnote w:id="29">
    <w:p w14:paraId="0D5A552C" w14:textId="77777777" w:rsidR="00C639B0" w:rsidRDefault="00C639B0" w:rsidP="00C639B0">
      <w:pPr>
        <w:pStyle w:val="FootnoteText"/>
        <w:jc w:val="both"/>
      </w:pPr>
      <w:r>
        <w:rPr>
          <w:rStyle w:val="FootnoteReference"/>
        </w:rPr>
        <w:footnoteRef/>
      </w:r>
      <w:r>
        <w:t xml:space="preserve"> </w:t>
      </w:r>
      <w:r w:rsidRPr="00580E0E">
        <w:rPr>
          <w:i/>
          <w:iCs/>
        </w:rPr>
        <w:t>LTL Management LLC</w:t>
      </w:r>
      <w:r>
        <w:t>, 23-12825, Doc. 1021-3 (July 12, 2023).  (</w:t>
      </w:r>
      <w:r w:rsidRPr="009B7227">
        <w:rPr>
          <w:i/>
          <w:iCs/>
        </w:rPr>
        <w:t>Compare</w:t>
      </w:r>
      <w:r>
        <w:t xml:space="preserve"> </w:t>
      </w:r>
      <w:r>
        <w:rPr>
          <w:rFonts w:cs="Times New Roman"/>
        </w:rPr>
        <w:t xml:space="preserve">the information requested in </w:t>
      </w:r>
      <w:r w:rsidRPr="005511A2">
        <w:rPr>
          <w:rFonts w:cs="Times New Roman"/>
          <w:i/>
          <w:iCs/>
        </w:rPr>
        <w:t xml:space="preserve">LTL Management </w:t>
      </w:r>
      <w:r>
        <w:rPr>
          <w:rFonts w:cs="Times New Roman"/>
        </w:rPr>
        <w:t>with the abbreviated seven-page Plaintiff Fact Sheet in</w:t>
      </w:r>
      <w:r>
        <w:t xml:space="preserve"> </w:t>
      </w:r>
      <w:r w:rsidRPr="005511A2">
        <w:rPr>
          <w:i/>
          <w:iCs/>
        </w:rPr>
        <w:t>Bard Implanted Port Catheter</w:t>
      </w:r>
      <w:r>
        <w:t xml:space="preserve">, MDL No. 308, </w:t>
      </w:r>
      <w:r>
        <w:rPr>
          <w:rFonts w:cs="Times New Roman"/>
        </w:rPr>
        <w:t>which required information identifying the device, physician’s name, failure of device, removal information, cause if injury, and injury.  The plaintiff was required to submit medical records documenting the diagnosis and treatment.)</w:t>
      </w:r>
    </w:p>
  </w:footnote>
  <w:footnote w:id="30">
    <w:p w14:paraId="5D8229C3" w14:textId="77777777" w:rsidR="00C639B0" w:rsidRDefault="00C639B0" w:rsidP="00C639B0">
      <w:pPr>
        <w:pStyle w:val="FootnoteText"/>
        <w:jc w:val="both"/>
      </w:pPr>
      <w:r>
        <w:rPr>
          <w:rStyle w:val="FootnoteReference"/>
        </w:rPr>
        <w:footnoteRef/>
      </w:r>
      <w:r>
        <w:t xml:space="preserve"> Gibson, Elizabeth, Judicial Management of Mass Tort Bankruptcy Cases, p. 77, Federal Judicial Center (2005) (“To conform with substantially to official Form 10 (predecessor to Form 410), the special claim form should elicit basic information about the nature and basis of the claim without creating an obstacle that will discourage persons from filing legitimate claims.”) </w:t>
      </w:r>
    </w:p>
  </w:footnote>
  <w:footnote w:id="31">
    <w:p w14:paraId="65890131" w14:textId="77777777" w:rsidR="00C639B0" w:rsidRDefault="00C639B0" w:rsidP="00C639B0">
      <w:pPr>
        <w:pStyle w:val="FootnoteText"/>
      </w:pPr>
      <w:r>
        <w:rPr>
          <w:rStyle w:val="FootnoteReference"/>
        </w:rPr>
        <w:footnoteRef/>
      </w:r>
      <w:r>
        <w:t xml:space="preserve"> FED. R. CIV. P. 16.1, Committee Note (December 1, 2025).</w:t>
      </w:r>
    </w:p>
  </w:footnote>
  <w:footnote w:id="32">
    <w:p w14:paraId="53FFAF75" w14:textId="77777777" w:rsidR="00C639B0" w:rsidRDefault="00C639B0" w:rsidP="00C639B0">
      <w:pPr>
        <w:pStyle w:val="FootnoteText"/>
        <w:jc w:val="both"/>
      </w:pPr>
      <w:r>
        <w:rPr>
          <w:rStyle w:val="FootnoteReference"/>
        </w:rPr>
        <w:footnoteRef/>
      </w:r>
      <w:r>
        <w:t xml:space="preserve"> </w:t>
      </w:r>
      <w:r w:rsidRPr="00F60717">
        <w:rPr>
          <w:i/>
          <w:iCs/>
        </w:rPr>
        <w:t>See</w:t>
      </w:r>
      <w:r>
        <w:t xml:space="preserve"> The Helicopter State: Misuse of </w:t>
      </w:r>
      <w:r w:rsidRPr="0020378A">
        <w:rPr>
          <w:i/>
          <w:iCs/>
        </w:rPr>
        <w:t>Parens Patriae</w:t>
      </w:r>
      <w:r>
        <w:t xml:space="preserve"> Unconstitutionally Precludes Individual and Class Claims, Gabriell Hanna, 97 Washington Law Review 871, 877 (2022) (raises concerns with </w:t>
      </w:r>
      <w:r w:rsidRPr="005B1BC3">
        <w:rPr>
          <w:i/>
          <w:iCs/>
        </w:rPr>
        <w:t>parens patriae</w:t>
      </w:r>
      <w:r>
        <w:t xml:space="preserve"> claims depriving individuals  of their rights to sue); </w:t>
      </w:r>
      <w:r w:rsidRPr="005B1BC3">
        <w:rPr>
          <w:i/>
          <w:iCs/>
        </w:rPr>
        <w:t>see also</w:t>
      </w:r>
      <w:r>
        <w:t xml:space="preserve"> Mitigating Municipality Litigation, Rob McKenna, Elbert Lin, and Drew Ketterer, U.S. Chamber of Commerce, Institute for Legal Reform, Scope and Solutions (March 2019) (raising concerns with political subdivisions filing </w:t>
      </w:r>
      <w:r w:rsidRPr="005B1BC3">
        <w:rPr>
          <w:i/>
          <w:iCs/>
        </w:rPr>
        <w:t>parens patriae</w:t>
      </w:r>
      <w:r>
        <w:t xml:space="preserve"> claims if the state also files such claims).</w:t>
      </w:r>
    </w:p>
  </w:footnote>
  <w:footnote w:id="33">
    <w:p w14:paraId="12FB029C" w14:textId="77777777" w:rsidR="00C639B0" w:rsidRDefault="00C639B0" w:rsidP="00C639B0">
      <w:pPr>
        <w:pStyle w:val="FootnoteText"/>
        <w:jc w:val="both"/>
      </w:pPr>
      <w:r>
        <w:rPr>
          <w:rStyle w:val="FootnoteReference"/>
        </w:rPr>
        <w:footnoteRef/>
      </w:r>
      <w:r>
        <w:t xml:space="preserve"> Mitigating Municipality Litigation, White Paper, Rob McKenna, Elbert Lin, and Drew Ketterer, U.S. Chamber of Commerce, Institute for Legal Reform, Scope and Solutions, p. 15 (March 2019).</w:t>
      </w:r>
    </w:p>
  </w:footnote>
  <w:footnote w:id="34">
    <w:p w14:paraId="429FCBC0" w14:textId="77777777" w:rsidR="00C639B0" w:rsidRDefault="00C639B0" w:rsidP="00C639B0">
      <w:pPr>
        <w:jc w:val="both"/>
      </w:pPr>
      <w:r>
        <w:rPr>
          <w:rStyle w:val="FootnoteReference"/>
        </w:rPr>
        <w:footnoteRef/>
      </w:r>
      <w:r>
        <w:t xml:space="preserve"> </w:t>
      </w:r>
      <w:r w:rsidRPr="00F60717">
        <w:rPr>
          <w:rFonts w:cs="Times New Roman"/>
          <w:color w:val="001D35"/>
          <w:sz w:val="20"/>
          <w:szCs w:val="20"/>
          <w:shd w:val="clear" w:color="auto" w:fill="FFFFFF"/>
        </w:rPr>
        <w:t>Dillon's Rule and Home Rule represent contrasting philosophies on the relationship between state and local governments in the United States. Dillon's Rule, named after Iowa Supreme Court Justice John Dillon, dictates that local governments only have the powers explicitly granted by the state, while Home Rule provides local governments greater autonomy, allowing them to govern themselves unless specifically prohibited by state law.</w:t>
      </w:r>
      <w:r w:rsidRPr="0020378A">
        <w:rPr>
          <w:rStyle w:val="uv3um"/>
          <w:rFonts w:cs="Times New Roman"/>
          <w:color w:val="001D35"/>
          <w:shd w:val="clear" w:color="auto" w:fill="FFFFFF"/>
        </w:rPr>
        <w:t> </w:t>
      </w:r>
    </w:p>
  </w:footnote>
  <w:footnote w:id="35">
    <w:p w14:paraId="07585D9E" w14:textId="77777777" w:rsidR="00C639B0" w:rsidRDefault="00C639B0" w:rsidP="00C639B0">
      <w:pPr>
        <w:pStyle w:val="FootnoteText"/>
        <w:jc w:val="both"/>
      </w:pPr>
      <w:r>
        <w:rPr>
          <w:rStyle w:val="FootnoteReference"/>
        </w:rPr>
        <w:footnoteRef/>
      </w:r>
      <w:r>
        <w:t xml:space="preserve"> Dillon Rule and Home Rule, Principles of Local Governance, Travis Moore, LRO Snapshot, Nebraska Legislative Research Office (Feb. 2020) (Eight states apply Dillon Rule, including California, New Jersey, and Illinois, while 39 states provide for Home Rule by constitution or statute.).</w:t>
      </w:r>
    </w:p>
  </w:footnote>
  <w:footnote w:id="36">
    <w:p w14:paraId="640C3A35" w14:textId="77777777" w:rsidR="00C639B0" w:rsidRDefault="00C639B0" w:rsidP="00C639B0">
      <w:pPr>
        <w:pStyle w:val="FootnoteText"/>
        <w:jc w:val="both"/>
      </w:pPr>
      <w:r>
        <w:rPr>
          <w:rStyle w:val="FootnoteReference"/>
        </w:rPr>
        <w:footnoteRef/>
      </w:r>
      <w:r>
        <w:t xml:space="preserve"> Federal Civil Procedure Manual, Lee Rosenthal, David Levi, and John Rabiej, Juris Publishing, Inc., </w:t>
      </w:r>
      <w:r>
        <w:rPr>
          <w:rFonts w:cs="Times New Roman"/>
        </w:rPr>
        <w:t xml:space="preserve">§ </w:t>
      </w:r>
      <w:r>
        <w:t>8.3.4 (2015).</w:t>
      </w:r>
    </w:p>
  </w:footnote>
  <w:footnote w:id="37">
    <w:p w14:paraId="4421EBDB" w14:textId="77777777" w:rsidR="00C639B0" w:rsidRDefault="00C639B0" w:rsidP="00C639B0">
      <w:pPr>
        <w:pStyle w:val="FootnoteText"/>
      </w:pPr>
      <w:r>
        <w:rPr>
          <w:rStyle w:val="FootnoteReference"/>
        </w:rPr>
        <w:footnoteRef/>
      </w:r>
      <w:r>
        <w:t xml:space="preserve"> </w:t>
      </w:r>
      <w:r w:rsidRPr="00C05476">
        <w:rPr>
          <w:i/>
          <w:iCs/>
        </w:rPr>
        <w:t>See</w:t>
      </w:r>
      <w:r>
        <w:t xml:space="preserve"> Question 8, Official Form 410, Proof of Claim, which asks: “What is the basis of the claim?” A local political division filing a </w:t>
      </w:r>
      <w:r w:rsidRPr="00C05476">
        <w:rPr>
          <w:i/>
          <w:iCs/>
        </w:rPr>
        <w:t>parens patriae</w:t>
      </w:r>
      <w:r>
        <w:t xml:space="preserve"> claim must explain the basis of its claim, which would reflect its role.  </w:t>
      </w:r>
    </w:p>
  </w:footnote>
  <w:footnote w:id="38">
    <w:p w14:paraId="6461F9E9" w14:textId="77777777" w:rsidR="00C639B0" w:rsidRDefault="00C639B0" w:rsidP="00C639B0">
      <w:pPr>
        <w:pStyle w:val="FootnoteText"/>
        <w:jc w:val="both"/>
      </w:pPr>
      <w:r>
        <w:rPr>
          <w:rStyle w:val="FootnoteReference"/>
        </w:rPr>
        <w:footnoteRef/>
      </w:r>
      <w:r>
        <w:t xml:space="preserve"> Fed. R. Bk. P. 3007, Committee Note (1983); </w:t>
      </w:r>
      <w:r w:rsidRPr="00B4229C">
        <w:rPr>
          <w:i/>
          <w:iCs/>
        </w:rPr>
        <w:t>see</w:t>
      </w:r>
      <w:r>
        <w:t xml:space="preserve"> 11 U.S.C. </w:t>
      </w:r>
      <w:r>
        <w:rPr>
          <w:rFonts w:cs="Times New Roman"/>
          <w:color w:val="001D35"/>
          <w:shd w:val="clear" w:color="auto" w:fill="FFFFFF"/>
        </w:rPr>
        <w:t>§ 704, Pub. L. 95-598, Senate Report No. 95-989 (Nov. 6, 1978) (“The trustee is required to examine proofs of claims and object to the allowance of any claim that is improper ...  if purposes would be served (such as if there are assets that will be distributed.”</w:t>
      </w:r>
      <w:r>
        <w:t>)</w:t>
      </w:r>
    </w:p>
  </w:footnote>
  <w:footnote w:id="39">
    <w:p w14:paraId="1DBD592E" w14:textId="77777777" w:rsidR="00C639B0" w:rsidRDefault="00C639B0" w:rsidP="00C639B0">
      <w:pPr>
        <w:pStyle w:val="FootnoteText"/>
        <w:jc w:val="both"/>
      </w:pPr>
      <w:r>
        <w:rPr>
          <w:rStyle w:val="FootnoteReference"/>
        </w:rPr>
        <w:footnoteRef/>
      </w:r>
      <w:r>
        <w:t xml:space="preserve"> 11 U.S.C. </w:t>
      </w:r>
      <w:r>
        <w:rPr>
          <w:rFonts w:cs="Times New Roman"/>
        </w:rPr>
        <w:t>§</w:t>
      </w:r>
      <w:r>
        <w:t xml:space="preserve"> 1104(d) (“If the court orders the appointment of a trustee or an examiner, ... then the United States trustee, after consultation with parties in interest, shall appoint, subject to the court’s approval, one disinterested person other than the United Sates trustee to serve as trustee or examiner, as the case may be, in the case.”).</w:t>
      </w:r>
    </w:p>
  </w:footnote>
  <w:footnote w:id="40">
    <w:p w14:paraId="04130505" w14:textId="77777777" w:rsidR="00C639B0" w:rsidRDefault="00C639B0" w:rsidP="00C639B0">
      <w:pPr>
        <w:pStyle w:val="FootnoteText"/>
        <w:jc w:val="both"/>
      </w:pPr>
      <w:r>
        <w:rPr>
          <w:rStyle w:val="FootnoteReference"/>
        </w:rPr>
        <w:footnoteRef/>
      </w:r>
      <w:r>
        <w:t xml:space="preserve"> “(Y)et, each of these options can give rise to significant costs and have inherent limitations – ultimately, tort victims, equity holders, and other creditors  are forced to finance the costs associated with endless discovery battles and challenges to these appointments...” Letter from Chief Judge Michael Kaplan, United States Bankruptcy Court (District of New Jersey) recommending amendment to Fed. R. Bk. P. 9031 to Advisory Committee on Bankruptcy Rules (January 10, 2024); </w:t>
      </w:r>
      <w:r w:rsidRPr="00A5493C">
        <w:rPr>
          <w:i/>
          <w:iCs/>
        </w:rPr>
        <w:t>see</w:t>
      </w:r>
      <w:r>
        <w:t xml:space="preserve"> Paulette Delk, </w:t>
      </w:r>
      <w:r w:rsidRPr="00A5493C">
        <w:rPr>
          <w:i/>
          <w:iCs/>
        </w:rPr>
        <w:t>Special Masters in Bankruptcy: The Case Against Bankruptcy Rule 9031</w:t>
      </w:r>
      <w:r>
        <w:t>, 67 Missouri L. Rev. 29, 52-53 (2002) (“Trustees and examiners are not authorized under the Code to perform the vast majority of tasks that a court would need and appoint a special master to perform. ... The trustee’s duties are to protect the debtor’s assets for its creditors and equity security holders. ...The examiner is appointed to conduct investigation of the debtor. ... Although trustees and examiners may be appointed by the bankruptcy court, the duties of the trustee and examiner as described in the Code do not include providing case management assistance to the court...”)</w:t>
      </w:r>
    </w:p>
  </w:footnote>
  <w:footnote w:id="41">
    <w:p w14:paraId="68B432FB" w14:textId="77777777" w:rsidR="00C639B0" w:rsidRDefault="00C639B0" w:rsidP="00C639B0">
      <w:pPr>
        <w:pStyle w:val="FootnoteText"/>
        <w:jc w:val="both"/>
      </w:pPr>
      <w:r>
        <w:rPr>
          <w:rStyle w:val="FootnoteReference"/>
        </w:rPr>
        <w:footnoteRef/>
      </w:r>
      <w:r>
        <w:t xml:space="preserve"> S</w:t>
      </w:r>
      <w:r w:rsidRPr="00A5493C">
        <w:rPr>
          <w:i/>
          <w:iCs/>
        </w:rPr>
        <w:t>ee</w:t>
      </w:r>
      <w:r>
        <w:t xml:space="preserve"> Paulette Delk, </w:t>
      </w:r>
      <w:r w:rsidRPr="00A5493C">
        <w:rPr>
          <w:i/>
          <w:iCs/>
        </w:rPr>
        <w:t>Special Masters in Bankruptcy: The Case Against Bankruptcy Rule 9031</w:t>
      </w:r>
      <w:r>
        <w:t>, 67 Missouri L. Rev. 29, 57 (2002) (“Many authorities have concluded that no express statutory basis is required for courts of equity to appoint a special master.  These authorities hold that courts of equity have inherent power and authority to do that which is necessary to carry out their duties, including appointing persons unconnected with the case to assist the courts in performing their duties.”)</w:t>
      </w:r>
    </w:p>
  </w:footnote>
  <w:footnote w:id="42">
    <w:p w14:paraId="6414C0CA" w14:textId="77777777" w:rsidR="00C639B0" w:rsidRDefault="00C639B0" w:rsidP="00C639B0">
      <w:pPr>
        <w:pStyle w:val="FootnoteText"/>
        <w:jc w:val="both"/>
      </w:pPr>
      <w:r>
        <w:rPr>
          <w:rStyle w:val="FootnoteReference"/>
        </w:rPr>
        <w:footnoteRef/>
      </w:r>
      <w:r>
        <w:t xml:space="preserve"> District court judges faced similar concerns and challenges that bankruptcy courts now experience, which led to the amendment of Rule 53 in 2003. The Advisory Committee on Civil Rules noted that the Federal Judicial Center’s report on the </w:t>
      </w:r>
      <w:r w:rsidRPr="00730DF4">
        <w:rPr>
          <w:i/>
          <w:iCs/>
        </w:rPr>
        <w:t>Special Masters’ Incidence and Activity</w:t>
      </w:r>
      <w:r>
        <w:t xml:space="preserve"> (2000) “found that indeed masters are frequently appointed for pretrial or postjudgment purposes; that the </w:t>
      </w:r>
      <w:r w:rsidRPr="00936117">
        <w:rPr>
          <w:i/>
          <w:iCs/>
        </w:rPr>
        <w:t>uncertain reach of Rule 53 in these areas is overcome largely by ‘consent and acquiescence’</w:t>
      </w:r>
      <w:r>
        <w:t xml:space="preserve">; and that </w:t>
      </w:r>
      <w:r w:rsidRPr="00936117">
        <w:rPr>
          <w:i/>
          <w:iCs/>
        </w:rPr>
        <w:t>many judges do not trouble to cite any source of authority, whether  Rule 53 or something else, in making appointments</w:t>
      </w:r>
      <w:r>
        <w:t xml:space="preserve">.” (Italics added.)  In a frank admission, the Committee concluded that “Rule 53 does not reflect these realities, and does not provide any guidance or establish any control.  At the same time, courts seem to be muddling along reasonably well.” </w:t>
      </w:r>
    </w:p>
  </w:footnote>
  <w:footnote w:id="43">
    <w:p w14:paraId="0B34FE05" w14:textId="77777777" w:rsidR="00C639B0" w:rsidRDefault="00C639B0" w:rsidP="00C639B0">
      <w:pPr>
        <w:pStyle w:val="FootnoteText"/>
        <w:jc w:val="both"/>
      </w:pPr>
      <w:r>
        <w:rPr>
          <w:rStyle w:val="FootnoteReference"/>
        </w:rPr>
        <w:footnoteRef/>
      </w:r>
      <w:r>
        <w:t xml:space="preserve"> Language contained in earlier draft, which was deleted because the Committee Note was too long. Edits shown in Report of the Advisory Committee on Civil Rules to the Standing Committee on Rules of Practice and Procedure, p. 74 (May 20, 2002).</w:t>
      </w:r>
    </w:p>
  </w:footnote>
  <w:footnote w:id="44">
    <w:p w14:paraId="0B01CA3B" w14:textId="77777777" w:rsidR="00C639B0" w:rsidRDefault="00C639B0" w:rsidP="00C639B0">
      <w:pPr>
        <w:pStyle w:val="FootnoteText"/>
        <w:jc w:val="both"/>
      </w:pPr>
      <w:r>
        <w:rPr>
          <w:rStyle w:val="FootnoteReference"/>
        </w:rPr>
        <w:footnoteRef/>
      </w:r>
      <w:r>
        <w:t xml:space="preserve"> The Advisory Committee on Civil Rules established a subcommittee to work on proposed amendments to Rule 53 at its November 1998 meeting.  The amended rule took effect on December 1, 2003.</w:t>
      </w:r>
    </w:p>
  </w:footnote>
  <w:footnote w:id="45">
    <w:p w14:paraId="5EB7E6B0" w14:textId="77777777" w:rsidR="00C639B0" w:rsidRDefault="00C639B0" w:rsidP="00C639B0">
      <w:pPr>
        <w:pStyle w:val="FootnoteText"/>
        <w:jc w:val="both"/>
      </w:pPr>
      <w:r>
        <w:rPr>
          <w:rStyle w:val="FootnoteReference"/>
        </w:rPr>
        <w:footnoteRef/>
      </w:r>
      <w:r>
        <w:t xml:space="preserve"> FED. R. CIV. P. 53 (f)(2) provides a party 21 days to file an objection to a master’s order, report, or recommendations “unless the court sets a different time.” It is likely that a shorter period of time should apply in a bankruptcy case or proceeding.</w:t>
      </w:r>
    </w:p>
  </w:footnote>
  <w:footnote w:id="46">
    <w:p w14:paraId="5019E30D" w14:textId="77777777" w:rsidR="00C639B0" w:rsidRDefault="00C639B0" w:rsidP="00C639B0">
      <w:pPr>
        <w:pStyle w:val="FootnoteText"/>
        <w:jc w:val="both"/>
      </w:pPr>
      <w:r>
        <w:rPr>
          <w:rStyle w:val="FootnoteReference"/>
        </w:rPr>
        <w:footnoteRef/>
      </w:r>
      <w:r>
        <w:t xml:space="preserve"> </w:t>
      </w:r>
      <w:r>
        <w:rPr>
          <w:rFonts w:cs="Times New Roman"/>
        </w:rPr>
        <w:t>An amendment to Fed. R. Bk. P.  9031 could take effect no earlier than December 1, 2027.</w:t>
      </w:r>
    </w:p>
  </w:footnote>
  <w:footnote w:id="47">
    <w:p w14:paraId="0C283FE5" w14:textId="77777777" w:rsidR="00C639B0" w:rsidRDefault="00C639B0" w:rsidP="00C639B0">
      <w:pPr>
        <w:pStyle w:val="FootnoteText"/>
        <w:jc w:val="both"/>
      </w:pPr>
      <w:r>
        <w:rPr>
          <w:rStyle w:val="FootnoteReference"/>
        </w:rPr>
        <w:footnoteRef/>
      </w:r>
      <w:r>
        <w:t xml:space="preserve"> Applying the same appointment procedures and standards in both civil actions and bankruptcy cases and proceedings promotes transubstantive uniformity among the sets of rules of procedures, an important feature of the rulemaking process.</w:t>
      </w:r>
    </w:p>
  </w:footnote>
  <w:footnote w:id="48">
    <w:p w14:paraId="7F27E351" w14:textId="77777777" w:rsidR="00C639B0" w:rsidRDefault="00C639B0" w:rsidP="00C639B0">
      <w:pPr>
        <w:pStyle w:val="FootnoteText"/>
        <w:jc w:val="both"/>
      </w:pPr>
      <w:r>
        <w:rPr>
          <w:rStyle w:val="FootnoteReference"/>
        </w:rPr>
        <w:footnoteRef/>
      </w:r>
      <w:r>
        <w:t xml:space="preserve"> FED. R. CIV. P. 53(a)(1) (“unless the parties, with the court’s approval, consent o the appointment pretrial and posttrial matters that cannot be effectively and timely addressed by an available” judge); FED. R. CIV. P. 53(b)(2)(A).</w:t>
      </w:r>
    </w:p>
  </w:footnote>
  <w:footnote w:id="49">
    <w:p w14:paraId="3848A44B" w14:textId="77777777" w:rsidR="00C639B0" w:rsidRDefault="00C639B0" w:rsidP="00C639B0">
      <w:pPr>
        <w:pStyle w:val="FootnoteText"/>
        <w:jc w:val="both"/>
      </w:pPr>
      <w:r>
        <w:rPr>
          <w:rStyle w:val="FootnoteReference"/>
        </w:rPr>
        <w:footnoteRef/>
      </w:r>
      <w:r>
        <w:t xml:space="preserve"> FED. R. CIV. P. 53(a)(2) (except if “parties consent after the master discloses any potential grounds for disqualification”); master must file affidavit disclosing whether there is any ground for disqualification under 28 U.S.C.</w:t>
      </w:r>
      <w:r>
        <w:rPr>
          <w:rFonts w:cs="Times New Roman"/>
        </w:rPr>
        <w:t>§</w:t>
      </w:r>
      <w:r>
        <w:t xml:space="preserve"> 455 (same disqualification criteria that apply to all justices, judges, or magistrate judges); compare with Fed. R. Bk. P. 2014(a), which addresses conflict-of interest (disinterestedness) issues regarding appointment of  professionals by a trustee or a committee and requires submission of a “verified statement of the person to be employed setting forth the person’s connections with the debtor, creditors, any other party in interest, their respective attorneys and accountants, the United States trustee, or any person employed in the office of United States  trustee.”.</w:t>
      </w:r>
    </w:p>
  </w:footnote>
  <w:footnote w:id="50">
    <w:p w14:paraId="55D3B37A" w14:textId="77777777" w:rsidR="00C639B0" w:rsidRDefault="00C639B0" w:rsidP="00C639B0">
      <w:pPr>
        <w:pStyle w:val="FootnoteText"/>
        <w:jc w:val="both"/>
      </w:pPr>
      <w:r>
        <w:rPr>
          <w:rStyle w:val="FootnoteReference"/>
        </w:rPr>
        <w:footnoteRef/>
      </w:r>
      <w:r>
        <w:t xml:space="preserve"> FED. R. CIV. P. 53(b)(1).</w:t>
      </w:r>
    </w:p>
  </w:footnote>
  <w:footnote w:id="51">
    <w:p w14:paraId="35992E2E" w14:textId="77777777" w:rsidR="00C639B0" w:rsidRDefault="00C639B0" w:rsidP="00C639B0">
      <w:pPr>
        <w:pStyle w:val="FootnoteText"/>
        <w:jc w:val="both"/>
      </w:pPr>
      <w:r>
        <w:rPr>
          <w:rStyle w:val="FootnoteReference"/>
        </w:rPr>
        <w:footnoteRef/>
      </w:r>
      <w:r>
        <w:t xml:space="preserve"> FED. R. CIV. P. 53(b)(1).</w:t>
      </w:r>
    </w:p>
  </w:footnote>
  <w:footnote w:id="52">
    <w:p w14:paraId="508D72E7" w14:textId="77777777" w:rsidR="00C639B0" w:rsidRDefault="00C639B0" w:rsidP="00C639B0">
      <w:pPr>
        <w:pStyle w:val="FootnoteText"/>
        <w:jc w:val="both"/>
      </w:pPr>
      <w:r>
        <w:rPr>
          <w:rStyle w:val="FootnoteReference"/>
        </w:rPr>
        <w:footnoteRef/>
      </w:r>
      <w:r>
        <w:t xml:space="preserve"> FED. R. CIV. P. 53(b)(2)(B); </w:t>
      </w:r>
      <w:r w:rsidRPr="00461F75">
        <w:rPr>
          <w:i/>
          <w:iCs/>
        </w:rPr>
        <w:t>Compare</w:t>
      </w:r>
      <w:r>
        <w:t xml:space="preserve"> Fed. R. Bk. P. 9003(a), which prohibits “</w:t>
      </w:r>
      <w:r w:rsidRPr="00461F75">
        <w:rPr>
          <w:i/>
          <w:iCs/>
        </w:rPr>
        <w:t>ex parte</w:t>
      </w:r>
      <w:r>
        <w:t xml:space="preserve"> meetings and communications with the court concerning matters affecting a particular case or proceeding” by “any examiner, any party in interest, and any attorney, accountant, or employee of a party in interest.” The last clause applies to “any attorney, accountant, or employee of a party in interest” and does  not apply to a neutral appointed by the court.  In addition, the last sentence of Fed. R. Bk. P. 9003(b) excepts “communications with the court to discuss general problems of administration and improvement of bankruptcy administration including the operation of the United States trustee system.”  </w:t>
      </w:r>
    </w:p>
  </w:footnote>
  <w:footnote w:id="53">
    <w:p w14:paraId="5D7DD9BD" w14:textId="77777777" w:rsidR="00C639B0" w:rsidRDefault="00C639B0" w:rsidP="00C639B0">
      <w:pPr>
        <w:pStyle w:val="FootnoteText"/>
        <w:jc w:val="both"/>
      </w:pPr>
      <w:r>
        <w:rPr>
          <w:rStyle w:val="FootnoteReference"/>
        </w:rPr>
        <w:footnoteRef/>
      </w:r>
      <w:r>
        <w:t xml:space="preserve"> FED. R. CIV. P. 53(b)(1)(C).</w:t>
      </w:r>
    </w:p>
  </w:footnote>
  <w:footnote w:id="54">
    <w:p w14:paraId="40170EFD" w14:textId="77777777" w:rsidR="00C639B0" w:rsidRDefault="00C639B0" w:rsidP="00C639B0">
      <w:pPr>
        <w:pStyle w:val="FootnoteText"/>
        <w:jc w:val="both"/>
      </w:pPr>
      <w:r>
        <w:rPr>
          <w:rStyle w:val="FootnoteReference"/>
        </w:rPr>
        <w:footnoteRef/>
      </w:r>
      <w:r>
        <w:t xml:space="preserve"> FED. R. CIV. P. 53(b)(1)(D).</w:t>
      </w:r>
    </w:p>
  </w:footnote>
  <w:footnote w:id="55">
    <w:p w14:paraId="4FA6C5E4" w14:textId="77777777" w:rsidR="00C639B0" w:rsidRDefault="00C639B0" w:rsidP="00C639B0">
      <w:pPr>
        <w:pStyle w:val="FootnoteText"/>
        <w:jc w:val="both"/>
      </w:pPr>
      <w:r>
        <w:rPr>
          <w:rStyle w:val="FootnoteReference"/>
        </w:rPr>
        <w:footnoteRef/>
      </w:r>
      <w:r>
        <w:t xml:space="preserve"> FED. R. CIV. P. 53(b)(1)(E).</w:t>
      </w:r>
    </w:p>
  </w:footnote>
  <w:footnote w:id="56">
    <w:p w14:paraId="4C02AEB1" w14:textId="77777777" w:rsidR="00C639B0" w:rsidRDefault="00C639B0" w:rsidP="00C639B0">
      <w:pPr>
        <w:pStyle w:val="FootnoteText"/>
        <w:jc w:val="both"/>
      </w:pPr>
      <w:r>
        <w:rPr>
          <w:rStyle w:val="FootnoteReference"/>
        </w:rPr>
        <w:footnoteRef/>
      </w:r>
      <w:r>
        <w:t xml:space="preserve"> FED. R. CIV. P. 53(d) (“clerk must enter the order on the docket”); Oral orders should be noted on the record.</w:t>
      </w:r>
    </w:p>
  </w:footnote>
  <w:footnote w:id="57">
    <w:p w14:paraId="1DF4A79A" w14:textId="77777777" w:rsidR="00C639B0" w:rsidRDefault="00C639B0" w:rsidP="00C639B0">
      <w:pPr>
        <w:pStyle w:val="FootnoteText"/>
        <w:jc w:val="both"/>
      </w:pPr>
      <w:r>
        <w:rPr>
          <w:rStyle w:val="FootnoteReference"/>
        </w:rPr>
        <w:footnoteRef/>
      </w:r>
      <w:r>
        <w:t xml:space="preserve"> FED. R. CIV. P. 53(f)(1).</w:t>
      </w:r>
    </w:p>
  </w:footnote>
  <w:footnote w:id="58">
    <w:p w14:paraId="4DCE769E" w14:textId="77777777" w:rsidR="00C639B0" w:rsidRDefault="00C639B0" w:rsidP="00C639B0">
      <w:pPr>
        <w:pStyle w:val="FootnoteText"/>
        <w:jc w:val="both"/>
      </w:pPr>
      <w:r>
        <w:rPr>
          <w:rStyle w:val="FootnoteReference"/>
        </w:rPr>
        <w:footnoteRef/>
      </w:r>
      <w:r>
        <w:t xml:space="preserve"> FED. R. CIV. P. 53(f)(2) (the court should fix shorter period of time when appropriate).</w:t>
      </w:r>
    </w:p>
  </w:footnote>
  <w:footnote w:id="59">
    <w:p w14:paraId="04A963AB" w14:textId="77777777" w:rsidR="00C639B0" w:rsidRDefault="00C639B0" w:rsidP="00C639B0">
      <w:pPr>
        <w:pStyle w:val="FootnoteText"/>
        <w:jc w:val="both"/>
      </w:pPr>
      <w:r>
        <w:rPr>
          <w:rStyle w:val="FootnoteReference"/>
        </w:rPr>
        <w:footnoteRef/>
      </w:r>
      <w:r>
        <w:t xml:space="preserve"> FED. R. CIV. P. 53(f)(3) &amp; (4) (if parties stipulate with the court’s approval, that the master’s findings of fact will be reviewed for clear error); “Unless the appointing order establishes a different standard of review, the court may set aside a master’s ruling on a procedural matter only for an abuse of discretion.” FED. R. CIV. P. 53(f)(5).</w:t>
      </w:r>
    </w:p>
  </w:footnote>
  <w:footnote w:id="60">
    <w:p w14:paraId="7161498C" w14:textId="77777777" w:rsidR="00C639B0" w:rsidRDefault="00C639B0" w:rsidP="00C639B0">
      <w:pPr>
        <w:pStyle w:val="FootnoteText"/>
        <w:jc w:val="both"/>
      </w:pPr>
      <w:r>
        <w:rPr>
          <w:rStyle w:val="FootnoteReference"/>
        </w:rPr>
        <w:footnoteRef/>
      </w:r>
      <w:r>
        <w:t xml:space="preserve"> FED. R. CIV. P. 53(g)(2); parties will typically formalize the arrangement in a written contract with the special master.</w:t>
      </w:r>
    </w:p>
  </w:footnote>
  <w:footnote w:id="61">
    <w:p w14:paraId="3C4F6311" w14:textId="77777777" w:rsidR="00C639B0" w:rsidRDefault="00C639B0" w:rsidP="00C639B0">
      <w:pPr>
        <w:pStyle w:val="FootnoteText"/>
      </w:pPr>
      <w:r>
        <w:rPr>
          <w:rStyle w:val="FootnoteReference"/>
        </w:rPr>
        <w:footnoteRef/>
      </w:r>
      <w:r>
        <w:t xml:space="preserve"> FED. R. CIV. P. 53 (b)(2)((E).</w:t>
      </w:r>
    </w:p>
  </w:footnote>
  <w:footnote w:id="62">
    <w:p w14:paraId="4C984988" w14:textId="77777777" w:rsidR="00C639B0" w:rsidRDefault="00C639B0" w:rsidP="00C639B0">
      <w:pPr>
        <w:pStyle w:val="FootnoteText"/>
      </w:pPr>
      <w:r>
        <w:rPr>
          <w:rStyle w:val="FootnoteReference"/>
        </w:rPr>
        <w:footnoteRef/>
      </w:r>
      <w:r>
        <w:t xml:space="preserve"> </w:t>
      </w:r>
      <w:r w:rsidRPr="004D6F3C">
        <w:rPr>
          <w:i/>
          <w:iCs/>
        </w:rPr>
        <w:t>See</w:t>
      </w:r>
      <w:r>
        <w:t xml:space="preserve"> 11 U.S.C. </w:t>
      </w:r>
      <w:r>
        <w:rPr>
          <w:rFonts w:cs="Times New Roman"/>
        </w:rPr>
        <w:t>§</w:t>
      </w:r>
      <w:r>
        <w:t xml:space="preserve"> 503(b)(4) and FED. R. CIV. P. 53(h), Committee Note (2003). </w:t>
      </w:r>
    </w:p>
  </w:footnote>
  <w:footnote w:id="63">
    <w:p w14:paraId="0949D5C1" w14:textId="77777777" w:rsidR="00C639B0" w:rsidRDefault="00C639B0" w:rsidP="00C639B0">
      <w:pPr>
        <w:pStyle w:val="FootnoteText"/>
        <w:jc w:val="both"/>
      </w:pPr>
      <w:r>
        <w:rPr>
          <w:rStyle w:val="FootnoteReference"/>
        </w:rPr>
        <w:footnoteRef/>
      </w:r>
      <w:r>
        <w:t xml:space="preserve"> </w:t>
      </w:r>
      <w:r w:rsidRPr="0053128B">
        <w:rPr>
          <w:i/>
          <w:iCs/>
        </w:rPr>
        <w:t>Compare In re McCombs</w:t>
      </w:r>
      <w:r>
        <w:t>, 751 F.2d 286, 288 (8</w:t>
      </w:r>
      <w:r w:rsidRPr="0053128B">
        <w:rPr>
          <w:vertAlign w:val="superscript"/>
        </w:rPr>
        <w:t>th</w:t>
      </w:r>
      <w:r>
        <w:t xml:space="preserve"> Cir. 1984) (Factors to consider when compensating professionals hired by trustee under </w:t>
      </w:r>
      <w:r>
        <w:rPr>
          <w:rFonts w:cs="Times New Roman"/>
        </w:rPr>
        <w:t>§</w:t>
      </w:r>
      <w:r>
        <w:t xml:space="preserve"> 330 similar to compensation for professional service rendered under </w:t>
      </w:r>
      <w:r>
        <w:rPr>
          <w:rFonts w:cs="Times New Roman"/>
        </w:rPr>
        <w:t xml:space="preserve">§ 503: </w:t>
      </w:r>
      <w:r>
        <w:t>“Bankruptcy courts must consider whether the fee awards are commensurate with fees for professional services in non-bankruptcy cases, thus providing sufficient economic incentive to practice in the bankruptcy courts.”)</w:t>
      </w:r>
    </w:p>
  </w:footnote>
  <w:footnote w:id="64">
    <w:p w14:paraId="7099FD70" w14:textId="77777777" w:rsidR="00C639B0" w:rsidRDefault="00C639B0" w:rsidP="00C639B0">
      <w:pPr>
        <w:pStyle w:val="FootnoteText"/>
        <w:jc w:val="both"/>
      </w:pPr>
      <w:r>
        <w:rPr>
          <w:rStyle w:val="FootnoteReference"/>
        </w:rPr>
        <w:footnoteRef/>
      </w:r>
      <w:r>
        <w:t xml:space="preserve"> 11 U.S.C.</w:t>
      </w:r>
      <w:r>
        <w:rPr>
          <w:rFonts w:cs="Times New Roman"/>
        </w:rPr>
        <w:t>§</w:t>
      </w:r>
      <w:r>
        <w:t xml:space="preserve"> 507(a)(2).</w:t>
      </w:r>
    </w:p>
  </w:footnote>
  <w:footnote w:id="65">
    <w:p w14:paraId="5E9CB7F5" w14:textId="77777777" w:rsidR="00C639B0" w:rsidRDefault="00C639B0" w:rsidP="00C639B0">
      <w:pPr>
        <w:pStyle w:val="FootnoteText"/>
        <w:jc w:val="both"/>
      </w:pPr>
      <w:r>
        <w:rPr>
          <w:rStyle w:val="FootnoteReference"/>
        </w:rPr>
        <w:footnoteRef/>
      </w:r>
      <w:r>
        <w:t xml:space="preserve"> FED. R. CIV. P. 53(h), Committee Note (2003).</w:t>
      </w:r>
    </w:p>
  </w:footnote>
  <w:footnote w:id="66">
    <w:p w14:paraId="3D4A1F06" w14:textId="77777777" w:rsidR="00C639B0" w:rsidRDefault="00C639B0" w:rsidP="00C639B0">
      <w:pPr>
        <w:pStyle w:val="FootnoteText"/>
        <w:jc w:val="both"/>
      </w:pPr>
      <w:r>
        <w:rPr>
          <w:rStyle w:val="FootnoteReference"/>
        </w:rPr>
        <w:footnoteRef/>
      </w:r>
      <w:r>
        <w:t xml:space="preserve"> Fed. R. Bk. P. 2016(a).</w:t>
      </w:r>
    </w:p>
  </w:footnote>
  <w:footnote w:id="67">
    <w:p w14:paraId="5F950E08" w14:textId="77777777" w:rsidR="00C639B0" w:rsidRDefault="00C639B0" w:rsidP="00C639B0">
      <w:pPr>
        <w:pStyle w:val="FootnoteText"/>
        <w:jc w:val="both"/>
      </w:pPr>
      <w:r>
        <w:rPr>
          <w:rStyle w:val="FootnoteReference"/>
        </w:rPr>
        <w:footnoteRef/>
      </w:r>
      <w:r>
        <w:t xml:space="preserve"> FED. R. CIV. P. 53(g)(3).</w:t>
      </w:r>
    </w:p>
  </w:footnote>
  <w:footnote w:id="68">
    <w:p w14:paraId="74483579" w14:textId="77777777" w:rsidR="00C639B0" w:rsidRDefault="00C639B0" w:rsidP="00C639B0">
      <w:pPr>
        <w:pStyle w:val="FootnoteText"/>
        <w:jc w:val="both"/>
      </w:pPr>
      <w:r>
        <w:rPr>
          <w:rStyle w:val="FootnoteReference"/>
        </w:rPr>
        <w:footnoteRef/>
      </w:r>
      <w:r>
        <w:t xml:space="preserve"> </w:t>
      </w:r>
      <w:r w:rsidRPr="00400A39">
        <w:rPr>
          <w:i/>
          <w:iCs/>
        </w:rPr>
        <w:t>Harrington v. Purdue Pharma, L.P</w:t>
      </w:r>
      <w:r>
        <w:t>., 603 U.S.204, 215 (2024).  Section 524(g) of the Bankruptcy Code expressly authorizes nonconsensual non-debtor releases in asbestos-related bankruptcy cases.</w:t>
      </w:r>
    </w:p>
  </w:footnote>
  <w:footnote w:id="69">
    <w:p w14:paraId="11386ABB" w14:textId="77777777" w:rsidR="00C639B0" w:rsidRDefault="00C639B0" w:rsidP="00C639B0">
      <w:pPr>
        <w:pStyle w:val="FootnoteText"/>
        <w:jc w:val="both"/>
      </w:pPr>
      <w:r>
        <w:rPr>
          <w:rStyle w:val="FootnoteReference"/>
        </w:rPr>
        <w:footnoteRef/>
      </w:r>
      <w:r>
        <w:t xml:space="preserve"> </w:t>
      </w:r>
      <w:r w:rsidRPr="00400A39">
        <w:rPr>
          <w:i/>
          <w:iCs/>
        </w:rPr>
        <w:t>Harrington v. Purdue Pharma, L.P</w:t>
      </w:r>
      <w:r>
        <w:t xml:space="preserve">., 603 U.S. 204, 241 (2024), Kavanaugh, dissenting; </w:t>
      </w:r>
      <w:r w:rsidRPr="004B52AF">
        <w:rPr>
          <w:i/>
          <w:iCs/>
        </w:rPr>
        <w:t>see</w:t>
      </w:r>
      <w:r>
        <w:t xml:space="preserve"> </w:t>
      </w:r>
      <w:r w:rsidRPr="004B52AF">
        <w:rPr>
          <w:i/>
          <w:iCs/>
        </w:rPr>
        <w:t>also</w:t>
      </w:r>
      <w:r>
        <w:t xml:space="preserve"> Gibson, Elizabeth, Judicial Management of Mass Tort Bankruptcy Cases, p. 143, Federal Judicial Center (2005) (“The issue therefore that is squarely presented is whether the court has authority outside of </w:t>
      </w:r>
      <w:r>
        <w:rPr>
          <w:rFonts w:cs="Times New Roman"/>
        </w:rPr>
        <w:t xml:space="preserve">§524(g) to enjoin tort claimants from pursuing claims against entities other than the debtor.  The courts of appeals are divided over whether such authority exists. ...These courts have relied on section 524(e), which provides that the ‘discharge of a debt of the debtor does not affect the liability of any other entity on, or the property of any other entity for, such debt.’...  In conflict with these decisions are other circuits, who read section 524(g) as being merely declarative of the effect of the discharge itself and have found authority in section 105(a) for the bankruptcy court under ‘unusual circumstances’ to supplement the discharge by permanently enjoining collection efforts against non-debtors.  Other courts of appeals have rendered decisions that fall somewhere in the middle. Concluding that section 524(e) is not necessarily dispositive of the issue, they have left open the possibility that there might be circumstances under which a bankruptcy court could authorize the release of third parties with accompanying injunctive relief.”)  </w:t>
      </w:r>
    </w:p>
  </w:footnote>
  <w:footnote w:id="70">
    <w:p w14:paraId="3C634081" w14:textId="77777777" w:rsidR="00C639B0" w:rsidRDefault="00C639B0" w:rsidP="00C639B0">
      <w:pPr>
        <w:pStyle w:val="FootnoteText"/>
        <w:jc w:val="both"/>
      </w:pPr>
      <w:r>
        <w:rPr>
          <w:rStyle w:val="FootnoteReference"/>
        </w:rPr>
        <w:footnoteRef/>
      </w:r>
      <w:r>
        <w:t xml:space="preserve"> </w:t>
      </w:r>
      <w:r w:rsidRPr="00400A39">
        <w:rPr>
          <w:i/>
          <w:iCs/>
        </w:rPr>
        <w:t>Harrington v. Purdue Pharma, L.P</w:t>
      </w:r>
      <w:r>
        <w:t>., 603 U.S.  204, 241-42 (2024), Kavanaugh, dissenting.</w:t>
      </w:r>
    </w:p>
  </w:footnote>
  <w:footnote w:id="71">
    <w:p w14:paraId="46AE7406" w14:textId="77777777" w:rsidR="00C639B0" w:rsidRDefault="00C639B0" w:rsidP="00C639B0">
      <w:pPr>
        <w:pStyle w:val="FootnoteText"/>
      </w:pPr>
      <w:r w:rsidRPr="005C501D">
        <w:rPr>
          <w:rStyle w:val="FootnoteReference"/>
          <w:i/>
          <w:iCs/>
        </w:rPr>
        <w:footnoteRef/>
      </w:r>
      <w:r w:rsidRPr="005C501D">
        <w:rPr>
          <w:i/>
          <w:iCs/>
        </w:rPr>
        <w:t xml:space="preserve"> See In Re Purdue Pharma L.P</w:t>
      </w:r>
      <w:r>
        <w:t>., 69 F.4</w:t>
      </w:r>
      <w:r w:rsidRPr="005C501D">
        <w:rPr>
          <w:vertAlign w:val="superscript"/>
        </w:rPr>
        <w:t>th</w:t>
      </w:r>
      <w:r>
        <w:t xml:space="preserve"> 45, 77-89 (2d Cir. 2023), reversed </w:t>
      </w:r>
      <w:r w:rsidRPr="00400A39">
        <w:rPr>
          <w:i/>
          <w:iCs/>
        </w:rPr>
        <w:t>Harrington v. Purdue Pharma, L.P</w:t>
      </w:r>
      <w:r>
        <w:t>., 603 U.S. 204 (2024).</w:t>
      </w:r>
    </w:p>
  </w:footnote>
  <w:footnote w:id="72">
    <w:p w14:paraId="2DA5D7E2" w14:textId="77777777" w:rsidR="00C639B0" w:rsidRDefault="00C639B0" w:rsidP="00C639B0">
      <w:pPr>
        <w:pStyle w:val="FootnoteText"/>
        <w:jc w:val="both"/>
      </w:pPr>
      <w:r>
        <w:rPr>
          <w:rStyle w:val="FootnoteReference"/>
        </w:rPr>
        <w:footnoteRef/>
      </w:r>
      <w:r>
        <w:t xml:space="preserve"> </w:t>
      </w:r>
      <w:r w:rsidRPr="00400A39">
        <w:rPr>
          <w:i/>
          <w:iCs/>
        </w:rPr>
        <w:t>Harrington v. Purdue Pharma, L.P</w:t>
      </w:r>
      <w:r>
        <w:t xml:space="preserve">., 603 U.S. 204 (2024), </w:t>
      </w:r>
    </w:p>
  </w:footnote>
  <w:footnote w:id="73">
    <w:p w14:paraId="4E57BA70" w14:textId="77777777" w:rsidR="00C639B0" w:rsidRDefault="00C639B0" w:rsidP="00C639B0">
      <w:pPr>
        <w:pStyle w:val="FootnoteText"/>
        <w:jc w:val="both"/>
      </w:pPr>
      <w:r>
        <w:rPr>
          <w:rStyle w:val="FootnoteReference"/>
        </w:rPr>
        <w:footnoteRef/>
      </w:r>
      <w:r>
        <w:t xml:space="preserve"> </w:t>
      </w:r>
      <w:r w:rsidRPr="00400A39">
        <w:rPr>
          <w:i/>
          <w:iCs/>
        </w:rPr>
        <w:t>Harrington v. Purdue Pharma, L.P</w:t>
      </w:r>
      <w:r>
        <w:t>., 603 U.S. 204, 206-07 (2024).</w:t>
      </w:r>
    </w:p>
  </w:footnote>
  <w:footnote w:id="74">
    <w:p w14:paraId="16984384" w14:textId="77777777" w:rsidR="00C639B0" w:rsidRDefault="00C639B0" w:rsidP="00C639B0">
      <w:pPr>
        <w:pStyle w:val="FootnoteText"/>
        <w:jc w:val="both"/>
      </w:pPr>
      <w:r>
        <w:rPr>
          <w:rStyle w:val="FootnoteReference"/>
        </w:rPr>
        <w:footnoteRef/>
      </w:r>
      <w:r>
        <w:t xml:space="preserve"> Of course, provisions governing the release of claims against nondebtors were commonly used in all types of bankruptcies, in addition to mass-tort bankruptcies, before </w:t>
      </w:r>
      <w:r w:rsidRPr="006E2A20">
        <w:rPr>
          <w:i/>
          <w:iCs/>
        </w:rPr>
        <w:t>Purdue Pharma</w:t>
      </w:r>
      <w:r>
        <w:t xml:space="preserve">. To the extent appropriate, the best practices addressing consensual-release provisions in mass-tort bankruptcies may be considered in other bankruptcies. </w:t>
      </w:r>
    </w:p>
  </w:footnote>
  <w:footnote w:id="75">
    <w:p w14:paraId="6A62D6D9" w14:textId="77777777" w:rsidR="00C639B0" w:rsidRDefault="00C639B0" w:rsidP="00C639B0">
      <w:pPr>
        <w:pStyle w:val="FootnoteText"/>
        <w:jc w:val="both"/>
      </w:pPr>
      <w:r>
        <w:rPr>
          <w:rStyle w:val="FootnoteReference"/>
        </w:rPr>
        <w:footnoteRef/>
      </w:r>
      <w:r>
        <w:t xml:space="preserve"> </w:t>
      </w:r>
      <w:r w:rsidRPr="005C501D">
        <w:rPr>
          <w:i/>
          <w:iCs/>
        </w:rPr>
        <w:t>See In re Smallhold, Inc</w:t>
      </w:r>
      <w:r>
        <w:t>., Case No. 24-10267 (CTG), p.1 (D. Del. Sept. 25, 2024) (“Consensual releases, on the other hand, are commonplace.”)</w:t>
      </w:r>
    </w:p>
  </w:footnote>
  <w:footnote w:id="76">
    <w:p w14:paraId="6CD93000" w14:textId="77777777" w:rsidR="00C639B0" w:rsidRDefault="00C639B0" w:rsidP="00C639B0">
      <w:pPr>
        <w:pStyle w:val="FootnoteText"/>
        <w:jc w:val="both"/>
      </w:pPr>
      <w:r>
        <w:rPr>
          <w:rStyle w:val="FootnoteReference"/>
        </w:rPr>
        <w:footnoteRef/>
      </w:r>
      <w:r>
        <w:t xml:space="preserve"> </w:t>
      </w:r>
      <w:r w:rsidRPr="00400A39">
        <w:rPr>
          <w:i/>
          <w:iCs/>
        </w:rPr>
        <w:t>Harrington v. Purdue Pharma, L.P</w:t>
      </w:r>
      <w:r>
        <w:t>., 603 U.S.  204, 206-07 (2024); compare with Justice Kavanaugh’s dissent, which challenged the Court’s position on consensual releases, noting that while a “consensual release is uncontroversial, even though it is not expressly authorized by the Bankruptcy Code,” the holding’s statutory construction would not permit consensual releases under any circumstances.</w:t>
      </w:r>
    </w:p>
  </w:footnote>
  <w:footnote w:id="77">
    <w:p w14:paraId="631362CA" w14:textId="77777777" w:rsidR="00C639B0" w:rsidRDefault="00C639B0" w:rsidP="00C639B0">
      <w:pPr>
        <w:pStyle w:val="FootnoteText"/>
        <w:jc w:val="both"/>
      </w:pPr>
      <w:r>
        <w:rPr>
          <w:rStyle w:val="FootnoteReference"/>
        </w:rPr>
        <w:footnoteRef/>
      </w:r>
      <w:r>
        <w:t xml:space="preserve"> </w:t>
      </w:r>
      <w:r w:rsidRPr="005C501D">
        <w:rPr>
          <w:i/>
          <w:iCs/>
        </w:rPr>
        <w:t>See</w:t>
      </w:r>
      <w:r>
        <w:t xml:space="preserve"> amicus brief </w:t>
      </w:r>
      <w:r w:rsidRPr="005C501D">
        <w:rPr>
          <w:i/>
          <w:iCs/>
        </w:rPr>
        <w:t>In re Roman Catholic Church</w:t>
      </w:r>
      <w:r>
        <w:t>, p. 16 (“Both the insurers and the non-debtor co-insureds will not consent to a resolution as to the allocation of insurance proceeds under these shared policies unless they are assured that they will not face future claims”).</w:t>
      </w:r>
    </w:p>
  </w:footnote>
  <w:footnote w:id="78">
    <w:p w14:paraId="79C1C3B5" w14:textId="77777777" w:rsidR="00C639B0" w:rsidRDefault="00C639B0" w:rsidP="00C639B0">
      <w:pPr>
        <w:pStyle w:val="FootnoteText"/>
        <w:jc w:val="both"/>
      </w:pPr>
      <w:r>
        <w:rPr>
          <w:rStyle w:val="FootnoteReference"/>
        </w:rPr>
        <w:footnoteRef/>
      </w:r>
      <w:r>
        <w:t xml:space="preserve"> </w:t>
      </w:r>
      <w:r w:rsidRPr="00400A39">
        <w:rPr>
          <w:i/>
          <w:iCs/>
        </w:rPr>
        <w:t>Harrington v. Purdue Pharma, L.P</w:t>
      </w:r>
      <w:r>
        <w:t xml:space="preserve">., 603 U.S. 204, 206 (2024), citing </w:t>
      </w:r>
      <w:r w:rsidRPr="00537D42">
        <w:rPr>
          <w:i/>
          <w:iCs/>
        </w:rPr>
        <w:t>In Re Specialty Equip. Cos</w:t>
      </w:r>
      <w:r>
        <w:t>.,3 F.3.d 1043, 1047 (7</w:t>
      </w:r>
      <w:r w:rsidRPr="00537D42">
        <w:rPr>
          <w:vertAlign w:val="superscript"/>
        </w:rPr>
        <w:t>th</w:t>
      </w:r>
      <w:r>
        <w:t xml:space="preserve"> Cir. 1993) (The reorganization plan approved in </w:t>
      </w:r>
      <w:r w:rsidRPr="00C37E9F">
        <w:rPr>
          <w:i/>
          <w:iCs/>
        </w:rPr>
        <w:t>In re</w:t>
      </w:r>
      <w:r>
        <w:t xml:space="preserve"> </w:t>
      </w:r>
      <w:r w:rsidRPr="00C37E9F">
        <w:rPr>
          <w:i/>
          <w:iCs/>
        </w:rPr>
        <w:t>Specialty Eq</w:t>
      </w:r>
      <w:r>
        <w:rPr>
          <w:i/>
          <w:iCs/>
        </w:rPr>
        <w:t>u</w:t>
      </w:r>
      <w:r w:rsidRPr="00C37E9F">
        <w:rPr>
          <w:i/>
          <w:iCs/>
        </w:rPr>
        <w:t>ip. Cos</w:t>
      </w:r>
      <w:r>
        <w:t xml:space="preserve">. and cited in </w:t>
      </w:r>
      <w:r w:rsidRPr="00402E00">
        <w:rPr>
          <w:i/>
          <w:iCs/>
        </w:rPr>
        <w:t>Purdue Pharma</w:t>
      </w:r>
      <w:r>
        <w:t xml:space="preserve"> may provide a viable model for consensual release agreements.  The plan provided that “creditors voting in favor of the Plan are deemed to give releases to a number of third parties (including the Senior Lenders, Debtors’ management and underwriters...) from any liability arising out of a relationship with the Debtors.  Creditors who abstained or voted against the Plan are deemed not to have granted the Releases.”)  </w:t>
      </w:r>
    </w:p>
  </w:footnote>
  <w:footnote w:id="79">
    <w:p w14:paraId="197DFF47" w14:textId="77777777" w:rsidR="00C639B0" w:rsidRDefault="00C639B0" w:rsidP="00C639B0">
      <w:pPr>
        <w:pStyle w:val="FootnoteText"/>
        <w:jc w:val="both"/>
      </w:pPr>
      <w:r>
        <w:rPr>
          <w:rStyle w:val="FootnoteReference"/>
        </w:rPr>
        <w:footnoteRef/>
      </w:r>
      <w:r>
        <w:t xml:space="preserve"> 3 F.3d 1043, 1047 (7</w:t>
      </w:r>
      <w:r w:rsidRPr="00B20DC7">
        <w:rPr>
          <w:vertAlign w:val="superscript"/>
        </w:rPr>
        <w:t>th</w:t>
      </w:r>
      <w:r>
        <w:t xml:space="preserve"> Cir. 1993)</w:t>
      </w:r>
    </w:p>
  </w:footnote>
  <w:footnote w:id="80">
    <w:p w14:paraId="11B6F879" w14:textId="77777777" w:rsidR="00C639B0" w:rsidRDefault="00C639B0" w:rsidP="00C639B0">
      <w:pPr>
        <w:pStyle w:val="FootnoteText"/>
        <w:jc w:val="both"/>
      </w:pPr>
      <w:r>
        <w:rPr>
          <w:rStyle w:val="FootnoteReference"/>
        </w:rPr>
        <w:footnoteRef/>
      </w:r>
      <w:r>
        <w:t xml:space="preserve"> </w:t>
      </w:r>
      <w:r w:rsidRPr="00400A39">
        <w:rPr>
          <w:i/>
          <w:iCs/>
        </w:rPr>
        <w:t>Harrington v. Purdue Pharma, L.P</w:t>
      </w:r>
      <w:r>
        <w:t>., 603 U.S. 204, 206-07(2024).</w:t>
      </w:r>
    </w:p>
  </w:footnote>
  <w:footnote w:id="81">
    <w:p w14:paraId="3366FDD8" w14:textId="77777777" w:rsidR="00C639B0" w:rsidRDefault="00C639B0" w:rsidP="00C639B0">
      <w:pPr>
        <w:pStyle w:val="FootnoteText"/>
        <w:jc w:val="both"/>
      </w:pPr>
      <w:r>
        <w:rPr>
          <w:rStyle w:val="FootnoteReference"/>
        </w:rPr>
        <w:footnoteRef/>
      </w:r>
      <w:r>
        <w:t xml:space="preserve"> </w:t>
      </w:r>
      <w:r w:rsidRPr="00AE1D5A">
        <w:rPr>
          <w:i/>
          <w:iCs/>
        </w:rPr>
        <w:t>See</w:t>
      </w:r>
      <w:r>
        <w:t xml:space="preserve"> 11 U.S.C. </w:t>
      </w:r>
      <w:r>
        <w:rPr>
          <w:rFonts w:cs="Times New Roman"/>
        </w:rPr>
        <w:t>§</w:t>
      </w:r>
      <w:r>
        <w:t xml:space="preserve"> 1125(a)(1) (defining “adequate information”) and 11 U.S.C. </w:t>
      </w:r>
      <w:r>
        <w:rPr>
          <w:rFonts w:cs="Times New Roman"/>
        </w:rPr>
        <w:t>§</w:t>
      </w:r>
      <w:r>
        <w:t xml:space="preserve"> 1126(b) (requiring “adequate information” as condition for accepting plan).</w:t>
      </w:r>
    </w:p>
  </w:footnote>
  <w:footnote w:id="82">
    <w:p w14:paraId="112510AD" w14:textId="77777777" w:rsidR="00C639B0" w:rsidRDefault="00C639B0" w:rsidP="00C639B0">
      <w:pPr>
        <w:pStyle w:val="FootnoteText"/>
        <w:jc w:val="both"/>
      </w:pPr>
      <w:r>
        <w:rPr>
          <w:rStyle w:val="FootnoteReference"/>
        </w:rPr>
        <w:footnoteRef/>
      </w:r>
      <w:r>
        <w:rPr>
          <w:i/>
          <w:iCs/>
        </w:rPr>
        <w:t xml:space="preserve"> See </w:t>
      </w:r>
      <w:r w:rsidRPr="00DB52B5">
        <w:rPr>
          <w:i/>
          <w:iCs/>
        </w:rPr>
        <w:t>In re Smallhold, Inc</w:t>
      </w:r>
      <w:r>
        <w:t xml:space="preserve">., Case No. 24-10267 (CTG), p. 2 (Bankr. D. Del. Sept. 25, 2024) (Some opinions have adopted a ‘contract’ model, concluding that a finding of consent required an affirmative indication that the creditor consented to the release.  To comply with this view, a creditor was typically required affirmatively to check a box on its ballot indicating that it intended to ‘opt in’ to the third-party release.  Others have taken the opposite view, concluding that so long as the creditor was clearly and conspicuously informed that the failure to ‘opt out’ would operate as a release of third-party claims, such a release would be effective against any creditor that did not check a box to ‘opt out’ of the third-party release.”; </w:t>
      </w:r>
      <w:r w:rsidRPr="005C501D">
        <w:rPr>
          <w:i/>
          <w:iCs/>
        </w:rPr>
        <w:t>see also</w:t>
      </w:r>
      <w:r>
        <w:t xml:space="preserve"> </w:t>
      </w:r>
      <w:r w:rsidRPr="005C501D">
        <w:t xml:space="preserve">U.S. Supreme Court Bankruptcy update </w:t>
      </w:r>
      <w:r w:rsidRPr="00445B60">
        <w:t>Jones Day</w:t>
      </w:r>
      <w:r>
        <w:t xml:space="preserve"> (August 1, 2024) (“It is generally accepted that a chapter 11 plan can release nondebtors from claims of other nondebtor third parties, if the release is consensual.  </w:t>
      </w:r>
      <w:r w:rsidRPr="005C501D">
        <w:rPr>
          <w:i/>
          <w:iCs/>
        </w:rPr>
        <w:t>See generally</w:t>
      </w:r>
      <w:r>
        <w:t xml:space="preserve"> Collier on Bankruptcy </w:t>
      </w:r>
      <w:r>
        <w:rPr>
          <w:rFonts w:cs="Times New Roman"/>
        </w:rPr>
        <w:t>¶</w:t>
      </w:r>
      <w:r>
        <w:t xml:space="preserve"> 524.05 (16</w:t>
      </w:r>
      <w:r w:rsidRPr="005C501D">
        <w:rPr>
          <w:vertAlign w:val="superscript"/>
        </w:rPr>
        <w:t>th</w:t>
      </w:r>
      <w:r>
        <w:t xml:space="preserve"> ed. 2024) (citing cases). What constitutes consent, however, is sometimes disputed.  Collier </w:t>
      </w:r>
      <w:r>
        <w:rPr>
          <w:rFonts w:cs="Times New Roman"/>
        </w:rPr>
        <w:t>¶</w:t>
      </w:r>
      <w:r>
        <w:t xml:space="preserve"> 1141.02[5](b) (discussing various opt-out and opt-in mechanisms that have been attempted as a manifestation of consent for impaired and unimpaired creditors). </w:t>
      </w:r>
    </w:p>
  </w:footnote>
  <w:footnote w:id="83">
    <w:p w14:paraId="55FD8215" w14:textId="77777777" w:rsidR="00C639B0" w:rsidRDefault="00C639B0" w:rsidP="00C639B0">
      <w:pPr>
        <w:pStyle w:val="FootnoteText"/>
        <w:jc w:val="both"/>
      </w:pPr>
      <w:r>
        <w:rPr>
          <w:rStyle w:val="FootnoteReference"/>
        </w:rPr>
        <w:footnoteRef/>
      </w:r>
      <w:r>
        <w:t xml:space="preserve"> </w:t>
      </w:r>
      <w:r w:rsidRPr="00E94A4F">
        <w:rPr>
          <w:i/>
          <w:iCs/>
        </w:rPr>
        <w:t xml:space="preserve">See In re Spirit Airlines, Inc., </w:t>
      </w:r>
      <w:r>
        <w:t>Case No. 24-11988 (SHL), Doc. 115, p. 18 (Bankr S.D. N.Y. Nov. 26, 2024) (“An opt-in provides that no party (even a party voting in favor of the proposed plan) would be deemed to have granted a third-party release unless that party elected to submit a form that opted into a release, with that election being separate from that party’s vote with respect to the plan.).</w:t>
      </w:r>
    </w:p>
  </w:footnote>
  <w:footnote w:id="84">
    <w:p w14:paraId="7974332C" w14:textId="77777777" w:rsidR="00C639B0" w:rsidRDefault="00C639B0" w:rsidP="00C639B0">
      <w:pPr>
        <w:pStyle w:val="FootnoteText"/>
        <w:jc w:val="both"/>
      </w:pPr>
      <w:r>
        <w:rPr>
          <w:rStyle w:val="FootnoteReference"/>
        </w:rPr>
        <w:footnoteRef/>
      </w:r>
      <w:r>
        <w:t xml:space="preserve"> </w:t>
      </w:r>
      <w:r w:rsidRPr="00E94A4F">
        <w:rPr>
          <w:i/>
          <w:iCs/>
        </w:rPr>
        <w:t>See</w:t>
      </w:r>
      <w:r>
        <w:rPr>
          <w:i/>
          <w:iCs/>
        </w:rPr>
        <w:t xml:space="preserve"> In re Roman Catholic Diocese of Syracuse, 2024 Bankr. LEXIS 2807, at *8 </w:t>
      </w:r>
      <w:r w:rsidRPr="0051301C">
        <w:t>(</w:t>
      </w:r>
      <w:r w:rsidRPr="005C501D">
        <w:t>proposed ballots contained an optional form allowing claimants to opt out of third-party releases; if a claimant failed to check the opt-out box or return a ballot, the claimant was deemed to consent to the releases.”);</w:t>
      </w:r>
      <w:r>
        <w:rPr>
          <w:i/>
          <w:iCs/>
        </w:rPr>
        <w:t xml:space="preserve"> see also</w:t>
      </w:r>
      <w:r w:rsidRPr="00E94A4F">
        <w:rPr>
          <w:i/>
          <w:iCs/>
        </w:rPr>
        <w:t xml:space="preserve"> In re Spirit Airlines, Inc., </w:t>
      </w:r>
      <w:r>
        <w:t xml:space="preserve">Chapter 11 Case No. 24-11988 (SHL), Doc. 115, p. 18 (S.D. N.Y. Nov. 26, 2024) (An opt-out provides that a third-party release will be effective as to each party who is sent a ballot or opt-out form that clearly explains that the ballot or opt-out form must be returned and the opt-out box checked if the party elects not to approve the third-party release.”); </w:t>
      </w:r>
      <w:r w:rsidRPr="005C501D">
        <w:rPr>
          <w:i/>
          <w:iCs/>
        </w:rPr>
        <w:t>contra In re Tonawanda Coke Corp</w:t>
      </w:r>
      <w:r>
        <w:t>., 662 B.R. 220, 223 (Bankr. W.D.N.Y. 2024) (“mere ability to opt out of a release is insufficient to establish ... consent.”)</w:t>
      </w:r>
    </w:p>
  </w:footnote>
  <w:footnote w:id="85">
    <w:p w14:paraId="79DC0D20" w14:textId="77777777" w:rsidR="00C639B0" w:rsidRDefault="00C639B0" w:rsidP="00C639B0">
      <w:pPr>
        <w:pStyle w:val="FootnoteText"/>
        <w:jc w:val="both"/>
      </w:pPr>
      <w:r>
        <w:rPr>
          <w:rStyle w:val="FootnoteReference"/>
        </w:rPr>
        <w:footnoteRef/>
      </w:r>
      <w:r>
        <w:t xml:space="preserve"> </w:t>
      </w:r>
      <w:r>
        <w:rPr>
          <w:i/>
          <w:iCs/>
        </w:rPr>
        <w:t xml:space="preserve"> </w:t>
      </w:r>
      <w:r>
        <w:t xml:space="preserve"> FED. R. CIV. P. 23(c)(2), Committee Note 2018 (“The ultimate goal of giving notice is to enable class members to make informed decisions about whether to opt out, or, in instances where a proposed settlement is involved, to object or to make claims.”; </w:t>
      </w:r>
      <w:r w:rsidRPr="005C501D">
        <w:rPr>
          <w:i/>
          <w:iCs/>
        </w:rPr>
        <w:t>see also</w:t>
      </w:r>
      <w:r>
        <w:t xml:space="preserve"> </w:t>
      </w:r>
      <w:r w:rsidRPr="00E94A4F">
        <w:rPr>
          <w:i/>
          <w:iCs/>
        </w:rPr>
        <w:t xml:space="preserve">See In re Spirit Airlines, Inc., </w:t>
      </w:r>
      <w:r>
        <w:t>Case No. 24-11988 (SHL), Doc. 115, p. 19 (Bankr S.D.N.Y. Nov. 26, 2024) (“Decisions in this District generally permit use of an opt-out mechanism if the affected parties receive clear and prominent notice and explanation of the releases and are provided an opportunity to decline to grant them.”)</w:t>
      </w:r>
    </w:p>
  </w:footnote>
  <w:footnote w:id="86">
    <w:p w14:paraId="09F0856E" w14:textId="77777777" w:rsidR="00C639B0" w:rsidRDefault="00C639B0" w:rsidP="00C639B0">
      <w:pPr>
        <w:pStyle w:val="FootnoteText"/>
        <w:jc w:val="both"/>
      </w:pPr>
      <w:r>
        <w:rPr>
          <w:rStyle w:val="FootnoteReference"/>
        </w:rPr>
        <w:footnoteRef/>
      </w:r>
      <w:r>
        <w:t xml:space="preserve"> In a mass-tort bankruptcy, tort-claimant creditors are asked whether they want to be excluded from an agreement releasing and forsaking the opportunity to sue a tortious nondebtor in return for the nondebtor’s contributions to a litigation trust established on their behalf.  In a analogous class action, class members are also asked whether they want to be excluded from an agreement releasing the tortious defendant from liability in return for a settlement award. The principles and due-process concerns regarding the “opt-out” mechanisms, which relinquish important rights, are similar in both types of cases.  FED. R. CIV. P. 23(c)(2)(B)(v) (“The notice must clearly and concisely state in plain, easily understood language: ...(v) that the court will exclude from the class any member who requests exclusion.”) </w:t>
      </w:r>
    </w:p>
  </w:footnote>
  <w:footnote w:id="87">
    <w:p w14:paraId="6B3B89BA" w14:textId="77777777" w:rsidR="00C639B0" w:rsidRPr="00C5770F" w:rsidRDefault="00C639B0" w:rsidP="00C639B0">
      <w:pPr>
        <w:pStyle w:val="FootnoteText"/>
        <w:jc w:val="both"/>
      </w:pPr>
      <w:r>
        <w:rPr>
          <w:rStyle w:val="FootnoteReference"/>
        </w:rPr>
        <w:footnoteRef/>
      </w:r>
      <w:r>
        <w:rPr>
          <w:i/>
          <w:iCs/>
        </w:rPr>
        <w:t xml:space="preserve"> </w:t>
      </w:r>
      <w:r w:rsidRPr="005C48B3">
        <w:rPr>
          <w:i/>
          <w:iCs/>
        </w:rPr>
        <w:t xml:space="preserve">See </w:t>
      </w:r>
      <w:r w:rsidRPr="005C48B3">
        <w:t>Best Practice MDL-§ 16(a)</w:t>
      </w:r>
      <w:r>
        <w:t>, above.</w:t>
      </w:r>
    </w:p>
  </w:footnote>
  <w:footnote w:id="88">
    <w:p w14:paraId="661F8A52" w14:textId="77777777" w:rsidR="00C639B0" w:rsidRPr="003275FF" w:rsidRDefault="00C639B0" w:rsidP="00C639B0">
      <w:pPr>
        <w:pStyle w:val="FootnoteText"/>
        <w:jc w:val="both"/>
      </w:pPr>
      <w:r w:rsidRPr="003275FF">
        <w:rPr>
          <w:rStyle w:val="FootnoteReference"/>
        </w:rPr>
        <w:footnoteRef/>
      </w:r>
      <w:r w:rsidRPr="0051224E">
        <w:rPr>
          <w:vertAlign w:val="superscript"/>
        </w:rPr>
        <w:t xml:space="preserve"> </w:t>
      </w:r>
      <w:r w:rsidRPr="003275FF">
        <w:rPr>
          <w:i/>
          <w:iCs/>
        </w:rPr>
        <w:t>See</w:t>
      </w:r>
      <w:r w:rsidRPr="0051224E">
        <w:rPr>
          <w:i/>
        </w:rPr>
        <w:t xml:space="preserve"> </w:t>
      </w:r>
      <w:r w:rsidRPr="003275FF">
        <w:t>11 U.S.C. § 1125(a)(1) (defining “adequate information”) and 11 U.S.C. § 1126(b) (requiring “adequate information” as condition for accepting plan).</w:t>
      </w:r>
    </w:p>
  </w:footnote>
  <w:footnote w:id="89">
    <w:p w14:paraId="630A5F67" w14:textId="77777777" w:rsidR="00C639B0" w:rsidRDefault="00C639B0" w:rsidP="00C639B0">
      <w:pPr>
        <w:pStyle w:val="FootnoteText"/>
        <w:jc w:val="both"/>
      </w:pPr>
      <w:r>
        <w:rPr>
          <w:rStyle w:val="FootnoteReference"/>
        </w:rPr>
        <w:footnoteRef/>
      </w:r>
      <w:r>
        <w:t xml:space="preserve"> </w:t>
      </w:r>
      <w:r w:rsidRPr="008D0A22">
        <w:rPr>
          <w:i/>
          <w:iCs/>
        </w:rPr>
        <w:t>See</w:t>
      </w:r>
      <w:r>
        <w:t xml:space="preserve"> Appendix A, which contains more details about the anticipated tort-claimants’ recoveries in the summary-disclosure statement.</w:t>
      </w:r>
    </w:p>
  </w:footnote>
  <w:footnote w:id="90">
    <w:p w14:paraId="1FFAD6AD" w14:textId="77777777" w:rsidR="00C639B0" w:rsidRPr="007B64B7" w:rsidRDefault="00C639B0" w:rsidP="00C639B0">
      <w:pPr>
        <w:pStyle w:val="FootnoteText"/>
        <w:jc w:val="both"/>
      </w:pPr>
      <w:r>
        <w:rPr>
          <w:rStyle w:val="FootnoteReference"/>
        </w:rPr>
        <w:footnoteRef/>
      </w:r>
      <w:r>
        <w:t xml:space="preserve"> </w:t>
      </w:r>
      <w:r w:rsidRPr="00912033">
        <w:rPr>
          <w:i/>
          <w:iCs/>
        </w:rPr>
        <w:t>See In re Spirit Airlines, Inc</w:t>
      </w:r>
      <w:r w:rsidRPr="0051224E">
        <w:rPr>
          <w:i/>
        </w:rPr>
        <w:t>.,</w:t>
      </w:r>
      <w:r w:rsidRPr="007B64B7">
        <w:t xml:space="preserve"> 668 B.R. 689, 703-716 (Bankr. S.D.N.Y 2025) (providing extended discussion of caselaw on court rulings regarding various scenarios involving opt-out provisions).</w:t>
      </w:r>
    </w:p>
  </w:footnote>
  <w:footnote w:id="91">
    <w:p w14:paraId="750A5FAB" w14:textId="77777777" w:rsidR="00C639B0" w:rsidRPr="001A28F3" w:rsidRDefault="00C639B0" w:rsidP="00C639B0">
      <w:pPr>
        <w:pStyle w:val="FootnoteText"/>
        <w:jc w:val="both"/>
      </w:pPr>
      <w:r w:rsidRPr="009D0E15">
        <w:rPr>
          <w:rStyle w:val="FootnoteReference"/>
        </w:rPr>
        <w:footnoteRef/>
      </w:r>
      <w:r w:rsidRPr="0051224E">
        <w:rPr>
          <w:vertAlign w:val="superscript"/>
        </w:rPr>
        <w:t xml:space="preserve">  </w:t>
      </w:r>
      <w:r>
        <w:rPr>
          <w:i/>
          <w:iCs/>
        </w:rPr>
        <w:t xml:space="preserve">See </w:t>
      </w:r>
      <w:r>
        <w:t>FED. R. CIV. P.</w:t>
      </w:r>
      <w:r w:rsidRPr="001A28F3">
        <w:t xml:space="preserve"> 23(c)(2), Committee Note 2018 (“The ultimate goal of giving notice is to enable class members to make informed decisions about whether to opt out, or, in instances where a proposed settlement is involved, to object or to make claims.”; </w:t>
      </w:r>
      <w:r w:rsidRPr="009654EB">
        <w:rPr>
          <w:i/>
          <w:iCs/>
        </w:rPr>
        <w:t>see also</w:t>
      </w:r>
      <w:r w:rsidRPr="0051224E">
        <w:rPr>
          <w:i/>
        </w:rPr>
        <w:t xml:space="preserve"> </w:t>
      </w:r>
      <w:r w:rsidRPr="009654EB">
        <w:rPr>
          <w:i/>
          <w:iCs/>
        </w:rPr>
        <w:t>In re Spirit Airlines, Inc.,</w:t>
      </w:r>
      <w:r w:rsidRPr="0051224E">
        <w:t xml:space="preserve"> </w:t>
      </w:r>
      <w:r w:rsidRPr="001A28F3">
        <w:t xml:space="preserve">Chapter 11 Case No. 24-11988 (SHL), Doc. 115, p. 19 (S.D. N.Y. Nov. 26, 2024) (“Decisions in this District generally permit use of an </w:t>
      </w:r>
      <w:r w:rsidRPr="007B64B7">
        <w:t>opt</w:t>
      </w:r>
      <w:r w:rsidRPr="001A28F3">
        <w:t xml:space="preserve">-out mechanism if the affected parties receive clear and prominent notice and explanation of the releases and are provided an opportunity to decline to grant them.”) </w:t>
      </w:r>
      <w:r>
        <w:t xml:space="preserve"> </w:t>
      </w:r>
    </w:p>
    <w:p w14:paraId="2A05257F" w14:textId="77777777" w:rsidR="00C639B0" w:rsidRPr="001A28F3" w:rsidRDefault="00C639B0" w:rsidP="00C639B0">
      <w:pPr>
        <w:pStyle w:val="FootnoteText"/>
        <w:jc w:val="both"/>
      </w:pPr>
      <w:r>
        <w:tab/>
      </w:r>
      <w:r w:rsidRPr="001A28F3">
        <w:t xml:space="preserve">Jurisprudence governing notices to opt out from proposed class-action settlements under </w:t>
      </w:r>
      <w:r>
        <w:t>FED. R. CIV. P.</w:t>
      </w:r>
      <w:r w:rsidRPr="001A28F3">
        <w:t xml:space="preserve"> 23(c)</w:t>
      </w:r>
      <w:r>
        <w:t>—</w:t>
      </w:r>
      <w:r w:rsidRPr="001A28F3">
        <w:t>including the means, format, and content of notices that meet constitutional due-process requirements</w:t>
      </w:r>
      <w:r>
        <w:t>—</w:t>
      </w:r>
      <w:r w:rsidRPr="001A28F3">
        <w:t xml:space="preserve"> provides </w:t>
      </w:r>
      <w:r>
        <w:t xml:space="preserve">useful </w:t>
      </w:r>
      <w:r w:rsidRPr="001A28F3">
        <w:t xml:space="preserve">guidance on effecting a valid consensual release in a mass-tort bankruptcy. </w:t>
      </w:r>
      <w:r>
        <w:t xml:space="preserve"> </w:t>
      </w:r>
      <w:r w:rsidRPr="001A28F3">
        <w:t xml:space="preserve">In a class action, class members are also asked whether they want to be excluded from an agreement releasing the tortious defendant from liability in return for a settlement award. </w:t>
      </w:r>
      <w:r>
        <w:t xml:space="preserve"> That’s so because t</w:t>
      </w:r>
      <w:r w:rsidRPr="001A28F3">
        <w:t xml:space="preserve">he principles and due-process concerns regarding the “opt-out” mechanisms, which relinquish important rights, are similar in both types of cases.  </w:t>
      </w:r>
      <w:r>
        <w:t>Those concerns are expressly addressed in FED. R. CIV. P.</w:t>
      </w:r>
      <w:r w:rsidRPr="001A28F3">
        <w:t xml:space="preserve"> 23(c)(2)(B)(v) (“The notice must clearly and concisely state in plain, easily understood language: ...(v) that the court will exclude from the class any member who requests exclusion.”)</w:t>
      </w:r>
    </w:p>
  </w:footnote>
  <w:footnote w:id="92">
    <w:p w14:paraId="227C5513" w14:textId="77777777" w:rsidR="00C639B0" w:rsidRPr="001A28F3" w:rsidRDefault="00C639B0" w:rsidP="00C639B0">
      <w:pPr>
        <w:pStyle w:val="FootnoteText"/>
        <w:jc w:val="both"/>
      </w:pPr>
      <w:r w:rsidRPr="0051224E">
        <w:rPr>
          <w:rStyle w:val="FootnoteReference"/>
        </w:rPr>
        <w:footnoteRef/>
      </w:r>
      <w:r w:rsidRPr="001A28F3">
        <w:t xml:space="preserve"> </w:t>
      </w:r>
      <w:r w:rsidRPr="00637F2F">
        <w:rPr>
          <w:i/>
          <w:iCs/>
        </w:rPr>
        <w:t>See In re Smallhold, Inc</w:t>
      </w:r>
      <w:r w:rsidRPr="0051224E">
        <w:rPr>
          <w:i/>
        </w:rPr>
        <w:t>.,</w:t>
      </w:r>
      <w:r w:rsidRPr="001A28F3">
        <w:t xml:space="preserve"> Case No. 24-10267, Doc. 181-1, Exhibit C, p. 21, Ballot for Accepting or Rejecting Chapter 11 Plan of Reorganization of Smallhold, Inc. (</w:t>
      </w:r>
      <w:r>
        <w:t>Bankr. D. Del.</w:t>
      </w:r>
      <w:r w:rsidRPr="001A28F3">
        <w:t xml:space="preserve"> June 3, 2024) (no opt-out box was contained in the ballot; acceptance was presumed if the plan were to be accepted) and Notice of deadlines to accept or reject the plan, submit opt-out forms, and object to confirmation of plan, Doc. 271, pp.-10 (Dec. 18, 2024); </w:t>
      </w:r>
      <w:r w:rsidRPr="005D5EE1">
        <w:rPr>
          <w:i/>
          <w:iCs/>
        </w:rPr>
        <w:t>see also In re Spirit Airlines, Inc.,</w:t>
      </w:r>
      <w:r w:rsidRPr="001A28F3">
        <w:t xml:space="preserve"> Case No. 24-11988, Doc. 115, p. 96, Master Ballot for Voting on the Joint Chapter 11 Plan of Reorganization (Nov. 26, 2024) (separate opt-out box included alongside boxes to approve or reject plan).  </w:t>
      </w:r>
    </w:p>
  </w:footnote>
  <w:footnote w:id="93">
    <w:p w14:paraId="16D88EE0" w14:textId="77777777" w:rsidR="00C639B0" w:rsidRPr="001A28F3" w:rsidRDefault="00C639B0" w:rsidP="00C639B0">
      <w:pPr>
        <w:pStyle w:val="FootnoteText"/>
        <w:jc w:val="both"/>
      </w:pPr>
      <w:r w:rsidRPr="0051224E">
        <w:rPr>
          <w:rStyle w:val="FootnoteReference"/>
        </w:rPr>
        <w:footnoteRef/>
      </w:r>
      <w:r w:rsidRPr="001A28F3">
        <w:t xml:space="preserve"> </w:t>
      </w:r>
      <w:r w:rsidRPr="00CD4AB4">
        <w:rPr>
          <w:i/>
          <w:iCs/>
        </w:rPr>
        <w:t>See, e.g., In re Smallhold, Inc.,</w:t>
      </w:r>
      <w:r w:rsidRPr="001A28F3">
        <w:t xml:space="preserve"> Case No. 24-10267 (CTG), ECF #288, Appendix A (D. Del. Sept. 25, 2024) (Including a </w:t>
      </w:r>
      <w:r>
        <w:t>t</w:t>
      </w:r>
      <w:r w:rsidRPr="001A28F3">
        <w:t>hird-</w:t>
      </w:r>
      <w:r>
        <w:t>p</w:t>
      </w:r>
      <w:r w:rsidRPr="001A28F3">
        <w:t>arty release in a confirmation notice containing 377 words in a single run-on sentence</w:t>
      </w:r>
      <w:r>
        <w:t xml:space="preserve">; </w:t>
      </w:r>
      <w:r w:rsidRPr="001A28F3">
        <w:t xml:space="preserve">is added to Appendix B as an example of what </w:t>
      </w:r>
      <w:r w:rsidRPr="0051224E">
        <w:t>not</w:t>
      </w:r>
      <w:r w:rsidRPr="001A28F3">
        <w:t xml:space="preserve"> to use as a model in any case going forward).</w:t>
      </w:r>
    </w:p>
  </w:footnote>
  <w:footnote w:id="94">
    <w:p w14:paraId="0CEDDA1B" w14:textId="77777777" w:rsidR="00C639B0" w:rsidRDefault="00C639B0" w:rsidP="00C639B0">
      <w:pPr>
        <w:pStyle w:val="FootnoteText"/>
        <w:jc w:val="both"/>
      </w:pPr>
      <w:r>
        <w:rPr>
          <w:rStyle w:val="FootnoteReference"/>
        </w:rPr>
        <w:footnoteRef/>
      </w:r>
      <w:r>
        <w:t xml:space="preserve"> </w:t>
      </w:r>
      <w:r w:rsidRPr="005C501D">
        <w:rPr>
          <w:i/>
          <w:iCs/>
        </w:rPr>
        <w:t>See In re The Roman Catholic Diocese of Rockville Centre, New York</w:t>
      </w:r>
      <w:r>
        <w:t xml:space="preserve">, No., 20-12345 (MG) (Bankr. S.D.N.Y. Dec. 4, 2024), ECF No.3465; </w:t>
      </w:r>
      <w:r w:rsidRPr="005C501D">
        <w:rPr>
          <w:i/>
          <w:iCs/>
        </w:rPr>
        <w:t>see also Amicus brief Boys Scouts</w:t>
      </w:r>
      <w:r>
        <w:t xml:space="preserve"> (“[M]ore than 1,000 insurance policies have been sold back to issuing insurers and insurance rights conveyed to the settlement trust by BSA and thousands of nondebtors”).  </w:t>
      </w:r>
    </w:p>
  </w:footnote>
  <w:footnote w:id="95">
    <w:p w14:paraId="1BD4F02A" w14:textId="77777777" w:rsidR="00C639B0" w:rsidRDefault="00C639B0" w:rsidP="00C639B0">
      <w:pPr>
        <w:pStyle w:val="FootnoteText"/>
        <w:jc w:val="both"/>
      </w:pPr>
      <w:r>
        <w:rPr>
          <w:rStyle w:val="FootnoteReference"/>
        </w:rPr>
        <w:footnoteRef/>
      </w:r>
      <w:r>
        <w:t xml:space="preserve"> 11 U.S.C. 1123(b)(4) – “a plan may provide for the sale of all or substantially all of the property of the estate, and the distribution of the proceeds of such sale among holders of claims or interests.”; </w:t>
      </w:r>
      <w:r w:rsidRPr="005C501D">
        <w:rPr>
          <w:i/>
          <w:iCs/>
        </w:rPr>
        <w:t>see Nat’l Union Fire Ins. v. BSA</w:t>
      </w:r>
      <w:r>
        <w:t>, 650 B.R. 87 (D. Del. March 28, 2023) (“Debtors routinely assign their insurance policy interests to a settlement trust”.);  s</w:t>
      </w:r>
      <w:r w:rsidRPr="005C501D">
        <w:rPr>
          <w:i/>
          <w:iCs/>
        </w:rPr>
        <w:t>ee also, e.g., In re Combustion Eng’g</w:t>
      </w:r>
      <w:r>
        <w:t xml:space="preserve">, 391 F. 3d 190, 218 n.27 (3d Cir. 2003) (‘The Bankruptcy Code expressly contemplates the inclusion of debtor insurance policies in the bankruptcy estate.’); </w:t>
      </w:r>
      <w:r w:rsidRPr="005C501D">
        <w:rPr>
          <w:i/>
          <w:iCs/>
        </w:rPr>
        <w:t>In re Kaiser Aluminum Corp</w:t>
      </w:r>
      <w:r>
        <w:t xml:space="preserve">., 343 B.R. 88, 95 (Bankr. D. Del. 2006); </w:t>
      </w:r>
      <w:r w:rsidRPr="005C501D">
        <w:rPr>
          <w:i/>
          <w:iCs/>
        </w:rPr>
        <w:t>In re Fed.-Mogul, Inc.,</w:t>
      </w:r>
      <w:r>
        <w:t xml:space="preserve"> 385 B.R. 560, 567 (Bankr. D. Del. 2008) (‘[Section] 1123(a)(5)(B) expressly contemplates that the debtor’s interests in the policies may be assigned to a trust or other entity.); </w:t>
      </w:r>
      <w:r w:rsidRPr="005C501D">
        <w:rPr>
          <w:i/>
          <w:iCs/>
        </w:rPr>
        <w:t>see also</w:t>
      </w:r>
      <w:r>
        <w:t xml:space="preserve"> </w:t>
      </w:r>
      <w:r w:rsidRPr="005C501D">
        <w:rPr>
          <w:i/>
          <w:iCs/>
        </w:rPr>
        <w:t xml:space="preserve">In re </w:t>
      </w:r>
      <w:r w:rsidRPr="008C0C76">
        <w:rPr>
          <w:i/>
          <w:iCs/>
        </w:rPr>
        <w:t>Congoleum</w:t>
      </w:r>
      <w:r w:rsidRPr="005C501D">
        <w:rPr>
          <w:i/>
          <w:iCs/>
        </w:rPr>
        <w:t xml:space="preserve"> Corp</w:t>
      </w:r>
      <w:r>
        <w:t>., 2008 Bank. LEXIS 2375, 2008 WL 4186899, at *2 (Bankr. D.N.J. Sept. 2, 2008 [A] plan of reorganization may assign insurance policies to a personal injury trust.’).”</w:t>
      </w:r>
    </w:p>
  </w:footnote>
  <w:footnote w:id="96">
    <w:p w14:paraId="530E3121" w14:textId="77777777" w:rsidR="00C639B0" w:rsidRDefault="00C639B0" w:rsidP="00C639B0">
      <w:pPr>
        <w:pStyle w:val="FootnoteText"/>
        <w:jc w:val="both"/>
      </w:pPr>
      <w:r>
        <w:rPr>
          <w:rStyle w:val="FootnoteReference"/>
        </w:rPr>
        <w:footnoteRef/>
      </w:r>
      <w:r>
        <w:t xml:space="preserve"> </w:t>
      </w:r>
      <w:r w:rsidRPr="005C501D">
        <w:rPr>
          <w:i/>
          <w:iCs/>
        </w:rPr>
        <w:t>See</w:t>
      </w:r>
      <w:r>
        <w:t xml:space="preserve"> amicus brief </w:t>
      </w:r>
      <w:r w:rsidRPr="005C501D">
        <w:rPr>
          <w:i/>
          <w:iCs/>
        </w:rPr>
        <w:t>In Re Boy Scouts of Am.</w:t>
      </w:r>
      <w:r>
        <w:t xml:space="preserve"> (“more than 1,000 insurance policies have been sold back to issuing insurers and insurance rights conveyed to the settlement trust by BSA and thousands of nondebtors”).</w:t>
      </w:r>
    </w:p>
  </w:footnote>
  <w:footnote w:id="97">
    <w:p w14:paraId="627FAFD4" w14:textId="77777777" w:rsidR="00C639B0" w:rsidRDefault="00C639B0" w:rsidP="00C639B0">
      <w:pPr>
        <w:pStyle w:val="FootnoteText"/>
        <w:jc w:val="both"/>
      </w:pPr>
      <w:r>
        <w:rPr>
          <w:rStyle w:val="FootnoteReference"/>
        </w:rPr>
        <w:footnoteRef/>
      </w:r>
      <w:r>
        <w:t xml:space="preserve"> </w:t>
      </w:r>
      <w:r w:rsidRPr="00A06E57">
        <w:rPr>
          <w:i/>
          <w:iCs/>
        </w:rPr>
        <w:t xml:space="preserve">See </w:t>
      </w:r>
      <w:r w:rsidRPr="00EF5814">
        <w:rPr>
          <w:i/>
          <w:iCs/>
        </w:rPr>
        <w:t xml:space="preserve">NexPoint Advisors, L.P. v. Highland Capital Mgmt., L.P. (In re Highland Capital Mgmt., L.P.), </w:t>
      </w:r>
      <w:r>
        <w:t>48 F.4</w:t>
      </w:r>
      <w:r w:rsidRPr="00A06E57">
        <w:rPr>
          <w:vertAlign w:val="superscript"/>
        </w:rPr>
        <w:t>th</w:t>
      </w:r>
      <w:r>
        <w:t xml:space="preserve"> 419 (5</w:t>
      </w:r>
      <w:r w:rsidRPr="00A06E57">
        <w:rPr>
          <w:vertAlign w:val="superscript"/>
        </w:rPr>
        <w:t>th</w:t>
      </w:r>
      <w:r>
        <w:t xml:space="preserve"> Cir. 2022) (“The injunction requires that, before any lawsuit is filed, the plaintiff must seek the bankruptcy court’s approval of the claim as ‘colorable’ – </w:t>
      </w:r>
      <w:r w:rsidRPr="00991D83">
        <w:rPr>
          <w:i/>
          <w:iCs/>
        </w:rPr>
        <w:t>i.e</w:t>
      </w:r>
      <w:r>
        <w:t xml:space="preserve">., the bankruptcy court acts as gatekeeper.”).  The gatekeeper injunction was thereafter continued by the bankruptcy court after analyzing whether, after that decision, the gatekeeper provision continued to be permissible.  </w:t>
      </w:r>
      <w:r w:rsidRPr="005106A5">
        <w:rPr>
          <w:i/>
          <w:iCs/>
        </w:rPr>
        <w:t>See In re Highland Capital Mgmt., L.P.,</w:t>
      </w:r>
      <w:r>
        <w:t xml:space="preserve"> 2023 Bankr. LEXIS 527, *15-18, 2023 WL 2250145 (Bankr. N.D. Tex. Feb. 27, 2023) (“the Gatekeeper Provision was somewhat of a tool to deal with any future, potential lawsuits that might be deemed to run afoul of the Injunctions.  It did not effectuate a release or an absolution of any liability.  Rather, as the ‘gatekeeper’ nickname implies, it simply provided that a plaintiff would have to ask the gatekeeper before bringing a claim.  No one would be allowed to bring a claim against a defined universe of ‘Protected Parties’ without first asking the bankruptcy court.  The bankruptcy court would have to determine, after notice, that such claim or cause of action represents a colorable claim against a Protected Party and specifically authorize such plaintiff to bring such claim against any such Protected Party.  If the bankruptcy court were to deny permission, then, presumably, such denial could be appealed.”)</w:t>
      </w:r>
    </w:p>
    <w:p w14:paraId="578946FC" w14:textId="77777777" w:rsidR="00C639B0" w:rsidRDefault="00C639B0" w:rsidP="00C639B0">
      <w:pPr>
        <w:pStyle w:val="FootnoteText"/>
        <w:jc w:val="both"/>
      </w:pPr>
    </w:p>
    <w:p w14:paraId="48750BC3" w14:textId="77777777" w:rsidR="00C639B0" w:rsidRDefault="00C639B0" w:rsidP="00C639B0">
      <w:pPr>
        <w:pStyle w:val="FootnoteText"/>
        <w:jc w:val="both"/>
      </w:pPr>
      <w:r w:rsidRPr="0096771A">
        <w:rPr>
          <w:i/>
          <w:iCs/>
        </w:rPr>
        <w:t>See also In re Highland Cap. Mgmt., L.P.,</w:t>
      </w:r>
      <w:r>
        <w:t xml:space="preserve"> 2023 Bankr. LEXIS 2104, 2023 WL 5523949 (Bankr. S.D. Tex. Aug. 25, 2023) (bankruptcy court determined, further to its earlier gatekeeper injunction and gatekeeper role, that the debtor company was acting under the influence of an officer in continuing to pursue vexatious litigation to achieve his desired result in the bankruptcy case—so, in addition to failing to show that its proposed claims had foundation and merit, the debtor could not show that it was pursuing the proposed claims for a proper purpose and, thus, could not meet the requirements under the gatekeeper injunction’s colorability requirement); </w:t>
      </w:r>
    </w:p>
    <w:p w14:paraId="4D5105FD" w14:textId="77777777" w:rsidR="00C639B0" w:rsidRDefault="00C639B0" w:rsidP="00C639B0">
      <w:pPr>
        <w:pStyle w:val="FootnoteText"/>
        <w:jc w:val="both"/>
      </w:pPr>
    </w:p>
    <w:p w14:paraId="385FA60F" w14:textId="77777777" w:rsidR="00C639B0" w:rsidRDefault="00C639B0" w:rsidP="00C639B0">
      <w:pPr>
        <w:pStyle w:val="FootnoteText"/>
        <w:jc w:val="both"/>
      </w:pPr>
      <w:r w:rsidRPr="00B713FB">
        <w:rPr>
          <w:i/>
          <w:iCs/>
        </w:rPr>
        <w:t>See also In re BearingPoint, Inc</w:t>
      </w:r>
      <w:r w:rsidRPr="00B713FB">
        <w:t>.</w:t>
      </w:r>
      <w:r>
        <w:t xml:space="preserve"> 453 B.R. 486, 495 (Bankr. S.D.N.Y. 2011) (not a mass tort case) (implementing a gatekeeper injunction: “I’ve canvassed the allegations the Trustee wishes to pursue, and I'm satisfied that they're colorable and the action isn’t a strike suit.  Thus, as the Trustee properly observes, the concerns as to which I wanted to act in a gatekeeper role have been satisfied.”); </w:t>
      </w:r>
      <w:r w:rsidRPr="00941A23">
        <w:rPr>
          <w:i/>
          <w:iCs/>
        </w:rPr>
        <w:t>In re BlockFi Inc. et al.,</w:t>
      </w:r>
      <w:r w:rsidRPr="00941A23">
        <w:t xml:space="preserve"> Case No. 22-19361 -MBK, Docket No. 1660, ¶ 18</w:t>
      </w:r>
      <w:r>
        <w:t xml:space="preserve"> (not a mass tort case) (</w:t>
      </w:r>
      <w:r w:rsidRPr="00A7548C">
        <w:t>confirm</w:t>
      </w:r>
      <w:r>
        <w:t>ing</w:t>
      </w:r>
      <w:r w:rsidRPr="00A7548C">
        <w:t xml:space="preserve"> a plan with similar </w:t>
      </w:r>
      <w:r>
        <w:t>gatekeeping</w:t>
      </w:r>
      <w:r w:rsidRPr="00A7548C">
        <w:t xml:space="preserve"> provisions in </w:t>
      </w:r>
      <w:r>
        <w:t>that</w:t>
      </w:r>
      <w:r w:rsidRPr="00A7548C">
        <w:t xml:space="preserve"> case</w:t>
      </w:r>
      <w:r>
        <w:t>)</w:t>
      </w:r>
      <w:r w:rsidRPr="00941A23">
        <w:t>.</w:t>
      </w:r>
    </w:p>
    <w:p w14:paraId="48725D8C" w14:textId="77777777" w:rsidR="00C639B0" w:rsidRDefault="00C639B0" w:rsidP="00C639B0">
      <w:pPr>
        <w:pStyle w:val="FootnoteText"/>
        <w:jc w:val="both"/>
      </w:pPr>
    </w:p>
    <w:p w14:paraId="667BA45D" w14:textId="77777777" w:rsidR="00C639B0" w:rsidRDefault="00C639B0" w:rsidP="00C639B0">
      <w:pPr>
        <w:pStyle w:val="FootnoteText"/>
        <w:jc w:val="both"/>
      </w:pPr>
      <w:r>
        <w:t xml:space="preserve">Several commentators have observed, after </w:t>
      </w:r>
      <w:r w:rsidRPr="00640E0A">
        <w:rPr>
          <w:i/>
          <w:iCs/>
        </w:rPr>
        <w:t>Highland Capital</w:t>
      </w:r>
      <w:r>
        <w:t xml:space="preserve">, that if nonconsensual third-party releases turned out to be invalidated by the Supreme Court in </w:t>
      </w:r>
      <w:r w:rsidRPr="00640E0A">
        <w:rPr>
          <w:i/>
          <w:iCs/>
        </w:rPr>
        <w:t>Purdue</w:t>
      </w:r>
      <w:r>
        <w:t xml:space="preserve"> (as they later were), some of the protections offered by third-party releases might be obtained by Gatekeeper Orders.  </w:t>
      </w:r>
      <w:r w:rsidRPr="00640E0A">
        <w:rPr>
          <w:i/>
          <w:iCs/>
        </w:rPr>
        <w:t>See</w:t>
      </w:r>
      <w:r>
        <w:t xml:space="preserve"> Dickinson &amp; Ray, Gatekeeping Provisions May Provide an Alternative to Nonconsensual Releases, ABI JOURNAL, Vol.  XLII, No. 12 (DEC. 2023); Hollander, Rubens and Litterine-Kaufman, Highland Ch. 11 Remand Reinforces Gatekeeping Availability (Mar. 20, 2023), http://media.orrick.com/Media%20Library/public/files/insights/2023/law360-highland-ch-11-remand-reinforces-gatekeeping-availability.pdf (Mar. 10, 2023) (last visited Aug. 30, 2025); Chovanes &amp; Herz, Are Gate-Keeper Provisions in Chapter 11 Confirmation Orders a Stopgap for Nonconsensual Third-Party Releases?, http://insolvency.foxrothschild.com/2024/01/are-gate-keeper-provisions-in-chapter-11-confirmation-orders-a-stopgap-for-nonconsensual-third-party-releases/ (Jan 2, 2024) (last visited Aug. 30, 2025).</w:t>
      </w:r>
    </w:p>
  </w:footnote>
  <w:footnote w:id="98">
    <w:p w14:paraId="305D8231" w14:textId="77777777" w:rsidR="00C639B0" w:rsidRDefault="00C639B0" w:rsidP="00C639B0">
      <w:pPr>
        <w:pStyle w:val="FootnoteText"/>
        <w:jc w:val="both"/>
      </w:pPr>
      <w:r>
        <w:rPr>
          <w:rStyle w:val="FootnoteReference"/>
        </w:rPr>
        <w:footnoteRef/>
      </w:r>
      <w:r>
        <w:t xml:space="preserve"> Gibson, Elizabeth, Judicial Management of Mass Tort Bankruptcy Cases, p. 22, Federal Judicial Center (2005).</w:t>
      </w:r>
    </w:p>
  </w:footnote>
  <w:footnote w:id="99">
    <w:p w14:paraId="0E5855B0" w14:textId="77777777" w:rsidR="00C639B0" w:rsidRDefault="00C639B0" w:rsidP="00C639B0">
      <w:pPr>
        <w:pStyle w:val="FootnoteText"/>
        <w:jc w:val="both"/>
      </w:pPr>
      <w:r>
        <w:rPr>
          <w:rStyle w:val="FootnoteReference"/>
        </w:rPr>
        <w:footnoteRef/>
      </w:r>
      <w:r>
        <w:t xml:space="preserve"> 28 U.S.C. </w:t>
      </w:r>
      <w:r>
        <w:rPr>
          <w:rFonts w:cs="Times New Roman"/>
        </w:rPr>
        <w:t>§</w:t>
      </w:r>
      <w:r>
        <w:t>157(b)(5); 28</w:t>
      </w:r>
      <w:r w:rsidRPr="000A3421">
        <w:t xml:space="preserve"> </w:t>
      </w:r>
      <w:r>
        <w:t xml:space="preserve">U.S.C. </w:t>
      </w:r>
      <w:r>
        <w:rPr>
          <w:rFonts w:cs="Times New Roman"/>
        </w:rPr>
        <w:t>§1334(b)</w:t>
      </w:r>
      <w:r>
        <w:t>.</w:t>
      </w:r>
    </w:p>
  </w:footnote>
  <w:footnote w:id="100">
    <w:p w14:paraId="6DDC0A24" w14:textId="77777777" w:rsidR="00C639B0" w:rsidRDefault="00C639B0" w:rsidP="00C639B0">
      <w:pPr>
        <w:pStyle w:val="FootnoteText"/>
        <w:jc w:val="both"/>
      </w:pPr>
      <w:r>
        <w:rPr>
          <w:rStyle w:val="FootnoteReference"/>
        </w:rPr>
        <w:footnoteRef/>
      </w:r>
      <w:r>
        <w:t xml:space="preserve"> </w:t>
      </w:r>
      <w:r w:rsidRPr="00B82223">
        <w:rPr>
          <w:i/>
          <w:iCs/>
        </w:rPr>
        <w:t>See In Re: Imerys Talc Amer., Inc</w:t>
      </w:r>
      <w:r>
        <w:t>., No. 19-mc-103 (MN) (Dist. Del. July 19, 2019) (“The Court need not consider all factors and no one factor is determinative, but instead ‘should apply these factors flexibly, for their relevance and importance will vary with the particular circumstances of each case.’”)</w:t>
      </w:r>
    </w:p>
  </w:footnote>
  <w:footnote w:id="101">
    <w:p w14:paraId="2D7DF2AD" w14:textId="77777777" w:rsidR="00C639B0" w:rsidRDefault="00C639B0" w:rsidP="00C639B0">
      <w:pPr>
        <w:pStyle w:val="FootnoteText"/>
        <w:jc w:val="both"/>
      </w:pPr>
      <w:r>
        <w:rPr>
          <w:rStyle w:val="FootnoteReference"/>
        </w:rPr>
        <w:footnoteRef/>
      </w:r>
      <w:r>
        <w:t xml:space="preserve"> Courts are able to dispose of mass-tort MDLs involving tens of thousands of individual tort actions, primarily because the actions are dismissed or settle. </w:t>
      </w:r>
      <w:r w:rsidRPr="005C501D">
        <w:rPr>
          <w:i/>
          <w:iCs/>
        </w:rPr>
        <w:t>See</w:t>
      </w:r>
      <w:r>
        <w:t xml:space="preserve"> Gibson, Elizabeth, Judicial Management of Mass Tort Bankruptcy Cases, p. 24, Federal Judicial Center (2005) (“In cases in which the courts approved the transfer of mass tort litigation against closely affiliated nondebtor parties, those claims ended up being resolved as part of the overall resolution of the tort claims in the debtor’s plan of reorganization.” citing </w:t>
      </w:r>
      <w:r w:rsidRPr="005C501D">
        <w:rPr>
          <w:i/>
          <w:iCs/>
        </w:rPr>
        <w:t>In re Dow Corning Corp</w:t>
      </w:r>
      <w:r>
        <w:t xml:space="preserve">., 255 B.R. 445, 475 (Bankr. E.D. Mich. 2000); </w:t>
      </w:r>
      <w:r w:rsidRPr="005C501D">
        <w:rPr>
          <w:i/>
          <w:iCs/>
        </w:rPr>
        <w:t>but see</w:t>
      </w:r>
      <w:r>
        <w:t xml:space="preserve"> </w:t>
      </w:r>
      <w:r w:rsidRPr="005C501D">
        <w:rPr>
          <w:i/>
          <w:iCs/>
        </w:rPr>
        <w:t>In re Imery’s Talc Amer. Inc.</w:t>
      </w:r>
      <w:r w:rsidRPr="00885859">
        <w:t xml:space="preserve"> </w:t>
      </w:r>
      <w:r>
        <w:t xml:space="preserve">No. 19-mc-103 (MN) (Dist. Del. July 19, 2019) (court abstained from transferring 2,400 state cases, concluding that such an undertaking would be difficult).  </w:t>
      </w:r>
    </w:p>
  </w:footnote>
  <w:footnote w:id="102">
    <w:p w14:paraId="53D3AA64" w14:textId="77777777" w:rsidR="00C639B0" w:rsidRDefault="00C639B0" w:rsidP="00C639B0">
      <w:pPr>
        <w:pStyle w:val="FootnoteText"/>
        <w:jc w:val="both"/>
      </w:pPr>
      <w:r>
        <w:rPr>
          <w:rStyle w:val="FootnoteReference"/>
        </w:rPr>
        <w:footnoteRef/>
      </w:r>
      <w:r>
        <w:t xml:space="preserve"> </w:t>
      </w:r>
      <w:r w:rsidRPr="005C501D">
        <w:rPr>
          <w:i/>
          <w:iCs/>
        </w:rPr>
        <w:t>See, e.g., Am. Imaging Servs., Inc. v. Eagle-Picher Indus., Inc.</w:t>
      </w:r>
      <w:r>
        <w:t xml:space="preserve">, 963 F.2d 855 (6th Cir. 1992); </w:t>
      </w:r>
      <w:r w:rsidRPr="005C501D">
        <w:rPr>
          <w:i/>
          <w:iCs/>
        </w:rPr>
        <w:t xml:space="preserve">A.H. Robins v. Piccinin, </w:t>
      </w:r>
      <w:r>
        <w:t xml:space="preserve">788 F.2d 994 (4th Cir. 1986); </w:t>
      </w:r>
      <w:r w:rsidRPr="005C501D">
        <w:rPr>
          <w:i/>
          <w:iCs/>
        </w:rPr>
        <w:t>Johns-Manville Corp. v. Asbestos Litig. Group</w:t>
      </w:r>
      <w:r>
        <w:rPr>
          <w:i/>
          <w:iCs/>
        </w:rPr>
        <w:t>,</w:t>
      </w:r>
      <w:r>
        <w:t xml:space="preserve"> 40 B.R. 219 (S.D.N.Y. 1984); </w:t>
      </w:r>
      <w:r w:rsidRPr="005C501D">
        <w:rPr>
          <w:i/>
          <w:iCs/>
        </w:rPr>
        <w:t>W.R. Grace &amp; Co. v. Chakarian</w:t>
      </w:r>
      <w:r w:rsidRPr="008E0BA7">
        <w:t>, 42 Bankr. Ct. Dec. 270 (Bankr. D. Del. 2004)</w:t>
      </w:r>
      <w:r>
        <w:t>.</w:t>
      </w:r>
    </w:p>
  </w:footnote>
  <w:footnote w:id="103">
    <w:p w14:paraId="7A3CAC78" w14:textId="77777777" w:rsidR="00C639B0" w:rsidRDefault="00C639B0" w:rsidP="00C639B0">
      <w:pPr>
        <w:pStyle w:val="FootnoteText"/>
        <w:jc w:val="both"/>
      </w:pPr>
      <w:r>
        <w:rPr>
          <w:rStyle w:val="FootnoteReference"/>
        </w:rPr>
        <w:footnoteRef/>
      </w:r>
      <w:r>
        <w:t xml:space="preserve"> Gibson, Elizabeth, Judicial Management of Mass Tort Bankruptcy Cases, p. 25, Federal Judicial Center (2005).</w:t>
      </w:r>
    </w:p>
  </w:footnote>
  <w:footnote w:id="104">
    <w:p w14:paraId="04B17840" w14:textId="77777777" w:rsidR="00C639B0" w:rsidRDefault="00C639B0" w:rsidP="00C639B0">
      <w:pPr>
        <w:pStyle w:val="FootnoteText"/>
        <w:jc w:val="both"/>
      </w:pPr>
      <w:r>
        <w:rPr>
          <w:rStyle w:val="FootnoteReference"/>
        </w:rPr>
        <w:footnoteRef/>
      </w:r>
      <w:r>
        <w:t xml:space="preserve"> Gibson, Elizabeth, Judicial Management of Mass Tort Bankruptcy Cases, p. 27, Federal Judicial Center (2005).</w:t>
      </w:r>
    </w:p>
  </w:footnote>
  <w:footnote w:id="105">
    <w:p w14:paraId="275EDE15" w14:textId="77777777" w:rsidR="00C639B0" w:rsidRPr="006D4327" w:rsidRDefault="00C639B0" w:rsidP="00C639B0">
      <w:pPr>
        <w:pStyle w:val="FootnoteText"/>
        <w:jc w:val="both"/>
      </w:pPr>
      <w:r>
        <w:rPr>
          <w:rStyle w:val="FootnoteReference"/>
        </w:rPr>
        <w:footnoteRef/>
      </w:r>
      <w:r>
        <w:t xml:space="preserve"> </w:t>
      </w:r>
      <w:r w:rsidRPr="00EC6C89">
        <w:rPr>
          <w:i/>
          <w:iCs/>
        </w:rPr>
        <w:t>See, e.g., In re Parlement Techs., Inc.,</w:t>
      </w:r>
      <w:r w:rsidRPr="007618DC">
        <w:t xml:space="preserve"> 661 B.R. 722 (Bankr. D. Del. 2024)</w:t>
      </w:r>
      <w:r>
        <w:t xml:space="preserve">; (determining that such an injunction was authorized, but concluding, in that case, that an insufficient showing for obtaining it had been made); </w:t>
      </w:r>
      <w:r w:rsidRPr="00EC6C89">
        <w:rPr>
          <w:i/>
          <w:iCs/>
        </w:rPr>
        <w:t>Purdue Pharma L.P. v. Commonwealth of Mass.</w:t>
      </w:r>
      <w:r>
        <w:t xml:space="preserve"> (</w:t>
      </w:r>
      <w:r w:rsidRPr="00C7017D">
        <w:rPr>
          <w:i/>
          <w:iCs/>
        </w:rPr>
        <w:t>In re</w:t>
      </w:r>
      <w:r w:rsidRPr="00946C69">
        <w:t xml:space="preserve"> </w:t>
      </w:r>
      <w:r w:rsidRPr="00946C69">
        <w:rPr>
          <w:i/>
          <w:iCs/>
        </w:rPr>
        <w:t>Purdue Pharma L.P</w:t>
      </w:r>
      <w:r w:rsidRPr="00EC6C89">
        <w:t>), 666 B.R. 461</w:t>
      </w:r>
      <w:r>
        <w:t xml:space="preserve"> </w:t>
      </w:r>
      <w:r w:rsidRPr="00EC6C89">
        <w:t>(Bankr. S.D.N.Y. 2024)</w:t>
      </w:r>
      <w:r>
        <w:t xml:space="preserve"> (on remand after nonconsensual third-party releases had been invalidated in the </w:t>
      </w:r>
      <w:r w:rsidRPr="00EC6C89">
        <w:rPr>
          <w:i/>
          <w:iCs/>
        </w:rPr>
        <w:t>Purdue</w:t>
      </w:r>
      <w:r>
        <w:t xml:space="preserve"> Supreme Court decision, issuing what became the 40</w:t>
      </w:r>
      <w:r w:rsidRPr="005D7328">
        <w:rPr>
          <w:vertAlign w:val="superscript"/>
        </w:rPr>
        <w:t>th</w:t>
      </w:r>
      <w:r>
        <w:t xml:space="preserve"> preliminary injunction blocking litigation against nondebtors during the pendency of the case, to assist mediators working to achieve agreement on consensual releases).</w:t>
      </w:r>
    </w:p>
    <w:p w14:paraId="7D7A9342" w14:textId="77777777" w:rsidR="00C639B0" w:rsidRDefault="00C639B0" w:rsidP="00C639B0">
      <w:pPr>
        <w:pStyle w:val="FootnoteText"/>
        <w:jc w:val="both"/>
      </w:pPr>
    </w:p>
    <w:p w14:paraId="62703DB1" w14:textId="77777777" w:rsidR="00C639B0" w:rsidRDefault="00C639B0" w:rsidP="00C639B0">
      <w:pPr>
        <w:pStyle w:val="FootnoteText"/>
        <w:jc w:val="both"/>
      </w:pPr>
      <w:r>
        <w:t xml:space="preserve">In </w:t>
      </w:r>
      <w:r w:rsidRPr="00EC6C89">
        <w:rPr>
          <w:i/>
          <w:iCs/>
        </w:rPr>
        <w:t>Parlement Technologies,</w:t>
      </w:r>
      <w:r>
        <w:t xml:space="preserve"> which was likewise decided after </w:t>
      </w:r>
      <w:r w:rsidRPr="00EC6C89">
        <w:rPr>
          <w:i/>
          <w:iCs/>
        </w:rPr>
        <w:t>Purdue</w:t>
      </w:r>
      <w:r>
        <w:t xml:space="preserve">, the court, after analyzing the earlier decisions (including, of course, </w:t>
      </w:r>
      <w:r w:rsidRPr="00EC6C89">
        <w:rPr>
          <w:i/>
          <w:iCs/>
        </w:rPr>
        <w:t>Purdue</w:t>
      </w:r>
      <w:r>
        <w:t>), concluded, in the context of a stay of litigation against nondebtors during the pendency of a chapter 11 case (and the requirement, for a preliminary injunction, of “success on the merits”), explained:</w:t>
      </w:r>
    </w:p>
    <w:p w14:paraId="06FB8CBD" w14:textId="77777777" w:rsidR="00C639B0" w:rsidRDefault="00C639B0" w:rsidP="00C639B0">
      <w:pPr>
        <w:pStyle w:val="fnquote"/>
        <w:spacing w:after="0"/>
        <w:ind w:left="720" w:right="720"/>
        <w:jc w:val="both"/>
      </w:pPr>
      <w:r>
        <w:t xml:space="preserve">“[S]uccess on the merits” cannot be based on the likelihood that the non-debtor would be entitled to a non-consensual third-party release through the plan process.  But a preliminary injunction may still be granted if the Court concludes that (a) providing the debtor's management a breathing spell from the distraction of other litigation is necessary to permit the debtor to focus on the reorganization of its business or </w:t>
      </w:r>
      <w:r w:rsidRPr="00665ABF">
        <w:t>(b) because it believes the parties may ultimately be able to negotiate a plan that includes a consensual resolution of the claims against the non-debtors.</w:t>
      </w:r>
      <w:r>
        <w:t xml:space="preserve">  </w:t>
      </w:r>
    </w:p>
    <w:p w14:paraId="7B52F58A" w14:textId="77777777" w:rsidR="00C639B0" w:rsidRDefault="00C639B0" w:rsidP="00C639B0">
      <w:pPr>
        <w:pStyle w:val="fnquote"/>
        <w:spacing w:after="0"/>
        <w:ind w:left="720" w:right="720"/>
      </w:pPr>
    </w:p>
    <w:p w14:paraId="38A2A8E4" w14:textId="77777777" w:rsidR="00C639B0" w:rsidRDefault="00C639B0" w:rsidP="00C639B0">
      <w:pPr>
        <w:pStyle w:val="FootnoteText"/>
      </w:pPr>
      <w:r>
        <w:t>661 B.R. at 724.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065"/>
    <w:multiLevelType w:val="hybridMultilevel"/>
    <w:tmpl w:val="F458780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3E467BA"/>
    <w:multiLevelType w:val="hybridMultilevel"/>
    <w:tmpl w:val="6E009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37A"/>
    <w:multiLevelType w:val="hybridMultilevel"/>
    <w:tmpl w:val="F93AE8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311BA"/>
    <w:multiLevelType w:val="hybridMultilevel"/>
    <w:tmpl w:val="126872FA"/>
    <w:lvl w:ilvl="0" w:tplc="6D1A07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C35AA"/>
    <w:multiLevelType w:val="hybridMultilevel"/>
    <w:tmpl w:val="FD16E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2F5EA8"/>
    <w:multiLevelType w:val="hybridMultilevel"/>
    <w:tmpl w:val="3844D4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356176C"/>
    <w:multiLevelType w:val="hybridMultilevel"/>
    <w:tmpl w:val="EA7673F6"/>
    <w:lvl w:ilvl="0" w:tplc="0700F6BC">
      <w:start w:val="1"/>
      <w:numFmt w:val="decimal"/>
      <w:lvlText w:val="%1."/>
      <w:lvlJc w:val="left"/>
      <w:pPr>
        <w:ind w:left="1530" w:hanging="360"/>
      </w:pPr>
      <w:rPr>
        <w:b w:val="0"/>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num w:numId="1" w16cid:durableId="1615016068">
    <w:abstractNumId w:val="6"/>
  </w:num>
  <w:num w:numId="2" w16cid:durableId="998118412">
    <w:abstractNumId w:val="4"/>
  </w:num>
  <w:num w:numId="3" w16cid:durableId="1034697167">
    <w:abstractNumId w:val="0"/>
  </w:num>
  <w:num w:numId="4" w16cid:durableId="8146238">
    <w:abstractNumId w:val="1"/>
  </w:num>
  <w:num w:numId="5" w16cid:durableId="2126073540">
    <w:abstractNumId w:val="2"/>
  </w:num>
  <w:num w:numId="6" w16cid:durableId="1842239242">
    <w:abstractNumId w:val="5"/>
  </w:num>
  <w:num w:numId="7" w16cid:durableId="1026830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B0"/>
    <w:rsid w:val="00235207"/>
    <w:rsid w:val="00415F46"/>
    <w:rsid w:val="00463704"/>
    <w:rsid w:val="00603285"/>
    <w:rsid w:val="007213F0"/>
    <w:rsid w:val="0087223F"/>
    <w:rsid w:val="00A61EA8"/>
    <w:rsid w:val="00A8570A"/>
    <w:rsid w:val="00AB33C2"/>
    <w:rsid w:val="00BB7987"/>
    <w:rsid w:val="00BC465F"/>
    <w:rsid w:val="00C624D6"/>
    <w:rsid w:val="00C639B0"/>
    <w:rsid w:val="00C654FF"/>
    <w:rsid w:val="00C95781"/>
    <w:rsid w:val="00C971A6"/>
    <w:rsid w:val="00DA6099"/>
    <w:rsid w:val="00E0307A"/>
    <w:rsid w:val="00E62BE9"/>
    <w:rsid w:val="00F709A6"/>
    <w:rsid w:val="00FD0EB6"/>
    <w:rsid w:val="00FE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101D"/>
  <w15:chartTrackingRefBased/>
  <w15:docId w15:val="{EF2127EF-107D-42DC-BEB9-E672360B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9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9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39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39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39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39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39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9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9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39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39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39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39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39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3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9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9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39B0"/>
    <w:pPr>
      <w:spacing w:before="160"/>
      <w:jc w:val="center"/>
    </w:pPr>
    <w:rPr>
      <w:i/>
      <w:iCs/>
      <w:color w:val="404040" w:themeColor="text1" w:themeTint="BF"/>
    </w:rPr>
  </w:style>
  <w:style w:type="character" w:customStyle="1" w:styleId="QuoteChar">
    <w:name w:val="Quote Char"/>
    <w:basedOn w:val="DefaultParagraphFont"/>
    <w:link w:val="Quote"/>
    <w:uiPriority w:val="29"/>
    <w:rsid w:val="00C639B0"/>
    <w:rPr>
      <w:i/>
      <w:iCs/>
      <w:color w:val="404040" w:themeColor="text1" w:themeTint="BF"/>
    </w:rPr>
  </w:style>
  <w:style w:type="paragraph" w:styleId="ListParagraph">
    <w:name w:val="List Paragraph"/>
    <w:basedOn w:val="Normal"/>
    <w:uiPriority w:val="34"/>
    <w:qFormat/>
    <w:rsid w:val="00C639B0"/>
    <w:pPr>
      <w:ind w:left="720"/>
      <w:contextualSpacing/>
    </w:pPr>
  </w:style>
  <w:style w:type="character" w:styleId="IntenseEmphasis">
    <w:name w:val="Intense Emphasis"/>
    <w:basedOn w:val="DefaultParagraphFont"/>
    <w:uiPriority w:val="21"/>
    <w:qFormat/>
    <w:rsid w:val="00C639B0"/>
    <w:rPr>
      <w:i/>
      <w:iCs/>
      <w:color w:val="0F4761" w:themeColor="accent1" w:themeShade="BF"/>
    </w:rPr>
  </w:style>
  <w:style w:type="paragraph" w:styleId="IntenseQuote">
    <w:name w:val="Intense Quote"/>
    <w:basedOn w:val="Normal"/>
    <w:next w:val="Normal"/>
    <w:link w:val="IntenseQuoteChar"/>
    <w:uiPriority w:val="30"/>
    <w:qFormat/>
    <w:rsid w:val="00C63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9B0"/>
    <w:rPr>
      <w:i/>
      <w:iCs/>
      <w:color w:val="0F4761" w:themeColor="accent1" w:themeShade="BF"/>
    </w:rPr>
  </w:style>
  <w:style w:type="character" w:styleId="IntenseReference">
    <w:name w:val="Intense Reference"/>
    <w:basedOn w:val="DefaultParagraphFont"/>
    <w:uiPriority w:val="32"/>
    <w:qFormat/>
    <w:rsid w:val="00C639B0"/>
    <w:rPr>
      <w:b/>
      <w:bCs/>
      <w:smallCaps/>
      <w:color w:val="0F4761" w:themeColor="accent1" w:themeShade="BF"/>
      <w:spacing w:val="5"/>
    </w:rPr>
  </w:style>
  <w:style w:type="character" w:styleId="Hyperlink">
    <w:name w:val="Hyperlink"/>
    <w:basedOn w:val="DefaultParagraphFont"/>
    <w:uiPriority w:val="99"/>
    <w:unhideWhenUsed/>
    <w:rsid w:val="00C639B0"/>
    <w:rPr>
      <w:color w:val="467886" w:themeColor="hyperlink"/>
      <w:u w:val="single"/>
    </w:rPr>
  </w:style>
  <w:style w:type="paragraph" w:styleId="FootnoteText">
    <w:name w:val="footnote text"/>
    <w:aliases w:val="fn Text"/>
    <w:basedOn w:val="Normal"/>
    <w:link w:val="FootnoteTextChar"/>
    <w:uiPriority w:val="99"/>
    <w:unhideWhenUsed/>
    <w:qFormat/>
    <w:rsid w:val="00C639B0"/>
    <w:pPr>
      <w:spacing w:after="0" w:line="240" w:lineRule="auto"/>
    </w:pPr>
    <w:rPr>
      <w:color w:val="000000" w:themeColor="text1"/>
      <w:kern w:val="0"/>
      <w:sz w:val="20"/>
      <w:szCs w:val="20"/>
      <w14:ligatures w14:val="none"/>
    </w:rPr>
  </w:style>
  <w:style w:type="character" w:customStyle="1" w:styleId="FootnoteTextChar">
    <w:name w:val="Footnote Text Char"/>
    <w:aliases w:val="fn Text Char"/>
    <w:basedOn w:val="DefaultParagraphFont"/>
    <w:link w:val="FootnoteText"/>
    <w:uiPriority w:val="99"/>
    <w:rsid w:val="00C639B0"/>
    <w:rPr>
      <w:color w:val="000000" w:themeColor="text1"/>
      <w:kern w:val="0"/>
      <w:sz w:val="20"/>
      <w:szCs w:val="20"/>
      <w14:ligatures w14:val="none"/>
    </w:rPr>
  </w:style>
  <w:style w:type="character" w:styleId="FootnoteReference">
    <w:name w:val="footnote reference"/>
    <w:aliases w:val="fn Reference"/>
    <w:basedOn w:val="DefaultParagraphFont"/>
    <w:uiPriority w:val="99"/>
    <w:unhideWhenUsed/>
    <w:qFormat/>
    <w:rsid w:val="00C639B0"/>
    <w:rPr>
      <w:vertAlign w:val="superscript"/>
    </w:rPr>
  </w:style>
  <w:style w:type="character" w:styleId="Emphasis">
    <w:name w:val="Emphasis"/>
    <w:basedOn w:val="DefaultParagraphFont"/>
    <w:uiPriority w:val="20"/>
    <w:qFormat/>
    <w:rsid w:val="00C639B0"/>
    <w:rPr>
      <w:i/>
      <w:iCs/>
    </w:rPr>
  </w:style>
  <w:style w:type="character" w:customStyle="1" w:styleId="uv3um">
    <w:name w:val="uv3um"/>
    <w:basedOn w:val="DefaultParagraphFont"/>
    <w:rsid w:val="00C639B0"/>
  </w:style>
  <w:style w:type="paragraph" w:customStyle="1" w:styleId="fnquote">
    <w:name w:val="fn quote"/>
    <w:basedOn w:val="Quote"/>
    <w:link w:val="fnquoteChar"/>
    <w:qFormat/>
    <w:rsid w:val="00C639B0"/>
    <w:pPr>
      <w:spacing w:before="0" w:after="240" w:line="240" w:lineRule="auto"/>
      <w:ind w:left="2160" w:right="2160"/>
      <w:jc w:val="left"/>
    </w:pPr>
    <w:rPr>
      <w:i w:val="0"/>
      <w:sz w:val="20"/>
      <w:szCs w:val="24"/>
    </w:rPr>
  </w:style>
  <w:style w:type="character" w:customStyle="1" w:styleId="fnquoteChar">
    <w:name w:val="fn quote Char"/>
    <w:basedOn w:val="DefaultParagraphFont"/>
    <w:link w:val="fnquote"/>
    <w:rsid w:val="00C639B0"/>
    <w:rPr>
      <w:iCs/>
      <w:color w:val="404040" w:themeColor="text1" w:themeTint="BF"/>
      <w:sz w:val="20"/>
      <w:szCs w:val="24"/>
    </w:rPr>
  </w:style>
  <w:style w:type="paragraph" w:styleId="NoSpacing">
    <w:name w:val="No Spacing"/>
    <w:uiPriority w:val="1"/>
    <w:qFormat/>
    <w:rsid w:val="00C639B0"/>
    <w:pPr>
      <w:spacing w:after="0" w:line="240" w:lineRule="auto"/>
    </w:pPr>
  </w:style>
  <w:style w:type="character" w:styleId="UnresolvedMention">
    <w:name w:val="Unresolved Mention"/>
    <w:basedOn w:val="DefaultParagraphFont"/>
    <w:uiPriority w:val="99"/>
    <w:semiHidden/>
    <w:unhideWhenUsed/>
    <w:rsid w:val="00E0307A"/>
    <w:rPr>
      <w:color w:val="605E5C"/>
      <w:shd w:val="clear" w:color="auto" w:fill="E1DFDD"/>
    </w:rPr>
  </w:style>
  <w:style w:type="paragraph" w:styleId="Header">
    <w:name w:val="header"/>
    <w:basedOn w:val="Normal"/>
    <w:link w:val="HeaderChar"/>
    <w:uiPriority w:val="99"/>
    <w:unhideWhenUsed/>
    <w:rsid w:val="00A85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70A"/>
  </w:style>
  <w:style w:type="paragraph" w:styleId="Footer">
    <w:name w:val="footer"/>
    <w:basedOn w:val="Normal"/>
    <w:link w:val="FooterChar"/>
    <w:uiPriority w:val="99"/>
    <w:unhideWhenUsed/>
    <w:rsid w:val="00A85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biejcenter.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abiejcenter.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scourts.gov/sites/default/files/essentials_for_drafting_clear_legal_rules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30</Pages>
  <Words>8491</Words>
  <Characters>47380</Characters>
  <Application>Microsoft Office Word</Application>
  <DocSecurity>0</DocSecurity>
  <Lines>707</Lines>
  <Paragraphs>165</Paragraphs>
  <ScaleCrop>false</ScaleCrop>
  <Company/>
  <LinksUpToDate>false</LinksUpToDate>
  <CharactersWithSpaces>55706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9</cp:revision>
  <dcterms:created xsi:type="dcterms:W3CDTF">2025-11-20T16:07:00Z</dcterms:created>
  <dcterms:modified xsi:type="dcterms:W3CDTF">2025-11-26T12:49:00Z</dcterms:modified>
</cp:coreProperties>
</file>