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29" w:type="dxa"/>
        <w:tblInd w:w="1021" w:type="dxa"/>
        <w:tblCellMar>
          <w:top w:w="74" w:type="dxa"/>
          <w:left w:w="5" w:type="dxa"/>
          <w:right w:w="7" w:type="dxa"/>
        </w:tblCellMar>
        <w:tblLook w:val="04A0" w:firstRow="1" w:lastRow="0" w:firstColumn="1" w:lastColumn="0" w:noHBand="0" w:noVBand="1"/>
      </w:tblPr>
      <w:tblGrid>
        <w:gridCol w:w="4649"/>
        <w:gridCol w:w="4680"/>
      </w:tblGrid>
      <w:tr w:rsidR="005D7B59" w14:paraId="0425C1D5" w14:textId="77777777">
        <w:trPr>
          <w:trHeight w:val="4565"/>
        </w:trPr>
        <w:tc>
          <w:tcPr>
            <w:tcW w:w="4649" w:type="dxa"/>
            <w:tcBorders>
              <w:top w:val="single" w:sz="4" w:space="0" w:color="000000"/>
              <w:left w:val="single" w:sz="4" w:space="0" w:color="000000"/>
              <w:bottom w:val="single" w:sz="4" w:space="0" w:color="000000"/>
              <w:right w:val="single" w:sz="4" w:space="0" w:color="000000"/>
            </w:tcBorders>
          </w:tcPr>
          <w:p w14:paraId="769F6E22" w14:textId="5028A44F" w:rsidR="005D7B59" w:rsidRDefault="005D6172">
            <w:pPr>
              <w:spacing w:after="165"/>
              <w:ind w:left="0" w:firstLine="0"/>
              <w:jc w:val="left"/>
            </w:pPr>
            <w:r>
              <w:rPr>
                <w:b/>
                <w:sz w:val="26"/>
              </w:rPr>
              <w:t xml:space="preserve"> </w:t>
            </w:r>
          </w:p>
          <w:p w14:paraId="5D510CFB" w14:textId="77777777" w:rsidR="005D7B59" w:rsidRDefault="005D6172">
            <w:pPr>
              <w:spacing w:after="0"/>
              <w:ind w:left="108" w:firstLine="0"/>
              <w:jc w:val="left"/>
            </w:pPr>
            <w:r>
              <w:rPr>
                <w:b/>
              </w:rPr>
              <w:t xml:space="preserve">IN RE: ALLERGAN BIOCELL </w:t>
            </w:r>
          </w:p>
          <w:p w14:paraId="096BD221" w14:textId="77777777" w:rsidR="005D7B59" w:rsidRDefault="005D6172">
            <w:pPr>
              <w:spacing w:after="0"/>
              <w:ind w:left="108" w:firstLine="0"/>
              <w:jc w:val="left"/>
            </w:pPr>
            <w:r>
              <w:rPr>
                <w:b/>
              </w:rPr>
              <w:t xml:space="preserve">TEXTURED BREAST IMPLANT </w:t>
            </w:r>
          </w:p>
          <w:p w14:paraId="0868E068" w14:textId="77777777" w:rsidR="005D7B59" w:rsidRDefault="005D6172">
            <w:pPr>
              <w:spacing w:after="91"/>
              <w:ind w:left="108" w:firstLine="0"/>
              <w:jc w:val="left"/>
            </w:pPr>
            <w:r>
              <w:rPr>
                <w:b/>
              </w:rPr>
              <w:t xml:space="preserve">PRODUCTS LIABILITY LITIGATION </w:t>
            </w:r>
          </w:p>
          <w:p w14:paraId="3A75B3E6" w14:textId="77777777" w:rsidR="005D7B59" w:rsidRDefault="005D6172">
            <w:pPr>
              <w:spacing w:after="62"/>
              <w:ind w:left="0" w:firstLine="0"/>
              <w:jc w:val="left"/>
            </w:pPr>
            <w:r>
              <w:t xml:space="preserve"> </w:t>
            </w:r>
          </w:p>
          <w:p w14:paraId="50834849" w14:textId="77777777" w:rsidR="005D7B59" w:rsidRDefault="005D6172">
            <w:pPr>
              <w:spacing w:after="22"/>
              <w:ind w:left="0" w:firstLine="0"/>
              <w:jc w:val="left"/>
            </w:pPr>
            <w:r>
              <w:rPr>
                <w:b/>
                <w:sz w:val="20"/>
              </w:rPr>
              <w:t xml:space="preserve"> </w:t>
            </w:r>
          </w:p>
          <w:p w14:paraId="5778E82B" w14:textId="77777777" w:rsidR="005D7B59" w:rsidRDefault="005D6172">
            <w:pPr>
              <w:spacing w:after="0"/>
              <w:ind w:left="0" w:firstLine="0"/>
              <w:jc w:val="left"/>
            </w:pPr>
            <w:r>
              <w:rPr>
                <w:b/>
              </w:rPr>
              <w:t xml:space="preserve"> </w:t>
            </w:r>
          </w:p>
          <w:p w14:paraId="546F96AE" w14:textId="77777777" w:rsidR="005D7B59" w:rsidRDefault="005D6172">
            <w:pPr>
              <w:spacing w:after="298"/>
              <w:ind w:left="126" w:firstLine="0"/>
              <w:jc w:val="left"/>
            </w:pPr>
            <w:r>
              <w:rPr>
                <w:rFonts w:ascii="Calibri" w:eastAsia="Calibri" w:hAnsi="Calibri" w:cs="Calibri"/>
                <w:noProof/>
                <w:sz w:val="22"/>
              </w:rPr>
              <mc:AlternateContent>
                <mc:Choice Requires="wpg">
                  <w:drawing>
                    <wp:inline distT="0" distB="0" distL="0" distR="0" wp14:anchorId="08709BB0" wp14:editId="63115E97">
                      <wp:extent cx="2864546" cy="6096"/>
                      <wp:effectExtent l="0" t="0" r="0" b="0"/>
                      <wp:docPr id="1584" name="Group 1584"/>
                      <wp:cNvGraphicFramePr/>
                      <a:graphic xmlns:a="http://schemas.openxmlformats.org/drawingml/2006/main">
                        <a:graphicData uri="http://schemas.microsoft.com/office/word/2010/wordprocessingGroup">
                          <wpg:wgp>
                            <wpg:cNvGrpSpPr/>
                            <wpg:grpSpPr>
                              <a:xfrm>
                                <a:off x="0" y="0"/>
                                <a:ext cx="2864546" cy="6096"/>
                                <a:chOff x="0" y="0"/>
                                <a:chExt cx="2864546" cy="6096"/>
                              </a:xfrm>
                            </wpg:grpSpPr>
                            <wps:wsp>
                              <wps:cNvPr id="83" name="Shape 83"/>
                              <wps:cNvSpPr/>
                              <wps:spPr>
                                <a:xfrm>
                                  <a:off x="0" y="0"/>
                                  <a:ext cx="2864546" cy="0"/>
                                </a:xfrm>
                                <a:custGeom>
                                  <a:avLst/>
                                  <a:gdLst/>
                                  <a:ahLst/>
                                  <a:cxnLst/>
                                  <a:rect l="0" t="0" r="0" b="0"/>
                                  <a:pathLst>
                                    <a:path w="2864546">
                                      <a:moveTo>
                                        <a:pt x="2864546" y="0"/>
                                      </a:moveTo>
                                      <a:lnTo>
                                        <a:pt x="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4" style="width:225.555pt;height:0.48pt;mso-position-horizontal-relative:char;mso-position-vertical-relative:line" coordsize="28645,60">
                      <v:shape id="Shape 83" style="position:absolute;width:28645;height:0;left:0;top:0;" coordsize="2864546,0" path="m2864546,0l0,0">
                        <v:stroke weight="0.48pt" endcap="flat" joinstyle="round" on="true" color="#000000"/>
                        <v:fill on="false" color="#000000" opacity="0"/>
                      </v:shape>
                    </v:group>
                  </w:pict>
                </mc:Fallback>
              </mc:AlternateContent>
            </w:r>
          </w:p>
          <w:p w14:paraId="57F481FA" w14:textId="77777777" w:rsidR="005D7B59" w:rsidRDefault="005D6172">
            <w:pPr>
              <w:spacing w:after="182"/>
              <w:ind w:left="108" w:firstLine="0"/>
              <w:jc w:val="left"/>
            </w:pPr>
            <w:r>
              <w:t xml:space="preserve">This Order Relates to All Actions:  </w:t>
            </w:r>
          </w:p>
          <w:p w14:paraId="5A2B3BD2" w14:textId="77777777" w:rsidR="005D7B59" w:rsidRDefault="005D6172">
            <w:pPr>
              <w:spacing w:after="0"/>
              <w:ind w:left="108" w:firstLine="0"/>
              <w:jc w:val="left"/>
            </w:pPr>
            <w:r>
              <w:rPr>
                <w:b/>
                <w:i/>
                <w:sz w:val="22"/>
              </w:rPr>
              <w:t xml:space="preserve">In re Allergan </w:t>
            </w:r>
            <w:proofErr w:type="spellStart"/>
            <w:r>
              <w:rPr>
                <w:b/>
                <w:i/>
                <w:sz w:val="22"/>
              </w:rPr>
              <w:t>Biocell</w:t>
            </w:r>
            <w:proofErr w:type="spellEnd"/>
            <w:r>
              <w:rPr>
                <w:b/>
                <w:i/>
                <w:sz w:val="22"/>
              </w:rPr>
              <w:t xml:space="preserve"> Textured Breast Implant </w:t>
            </w:r>
          </w:p>
          <w:p w14:paraId="47A2C5A0" w14:textId="77777777" w:rsidR="005D7B59" w:rsidRDefault="005D6172">
            <w:pPr>
              <w:spacing w:after="0"/>
              <w:ind w:left="108" w:firstLine="0"/>
              <w:jc w:val="left"/>
            </w:pPr>
            <w:r>
              <w:rPr>
                <w:b/>
                <w:i/>
                <w:sz w:val="22"/>
              </w:rPr>
              <w:t>Product Liability Litigation</w:t>
            </w:r>
            <w:r>
              <w:rPr>
                <w:b/>
                <w:sz w:val="22"/>
              </w:rPr>
              <w:t>, MCL No. 634</w:t>
            </w:r>
            <w:r>
              <w:t xml:space="preserve"> </w:t>
            </w:r>
          </w:p>
        </w:tc>
        <w:tc>
          <w:tcPr>
            <w:tcW w:w="4680" w:type="dxa"/>
            <w:tcBorders>
              <w:top w:val="single" w:sz="4" w:space="0" w:color="000000"/>
              <w:left w:val="single" w:sz="4" w:space="0" w:color="000000"/>
              <w:bottom w:val="single" w:sz="4" w:space="0" w:color="000000"/>
              <w:right w:val="single" w:sz="4" w:space="0" w:color="000000"/>
            </w:tcBorders>
          </w:tcPr>
          <w:p w14:paraId="4A8458E6" w14:textId="77777777" w:rsidR="005D7B59" w:rsidRDefault="005D6172">
            <w:pPr>
              <w:spacing w:after="0" w:line="240" w:lineRule="auto"/>
              <w:ind w:left="0" w:right="4507" w:firstLine="0"/>
              <w:jc w:val="left"/>
            </w:pPr>
            <w:r>
              <w:rPr>
                <w:b/>
                <w:sz w:val="26"/>
              </w:rPr>
              <w:t xml:space="preserve"> </w:t>
            </w:r>
            <w:r>
              <w:t xml:space="preserve"> </w:t>
            </w:r>
          </w:p>
          <w:p w14:paraId="52535E39" w14:textId="77777777" w:rsidR="005D7B59" w:rsidRDefault="005D6172">
            <w:pPr>
              <w:spacing w:after="0"/>
              <w:ind w:left="101" w:firstLine="0"/>
              <w:jc w:val="left"/>
            </w:pPr>
            <w:r>
              <w:t xml:space="preserve">MDL No. 2921 </w:t>
            </w:r>
          </w:p>
          <w:p w14:paraId="63529569" w14:textId="77777777" w:rsidR="005D7B59" w:rsidRDefault="005D6172">
            <w:pPr>
              <w:spacing w:after="168"/>
              <w:ind w:left="101" w:firstLine="0"/>
            </w:pPr>
            <w:r>
              <w:t xml:space="preserve">Civil Action No.: 2:19-md-2921 (BRM)(ESK) </w:t>
            </w:r>
          </w:p>
          <w:p w14:paraId="723ABBC7" w14:textId="77777777" w:rsidR="005D7B59" w:rsidRDefault="005D6172">
            <w:pPr>
              <w:spacing w:after="485"/>
              <w:ind w:left="0" w:firstLine="0"/>
              <w:jc w:val="left"/>
            </w:pPr>
            <w:r>
              <w:rPr>
                <w:sz w:val="22"/>
              </w:rPr>
              <w:t xml:space="preserve"> </w:t>
            </w:r>
          </w:p>
          <w:p w14:paraId="5242AAF1" w14:textId="77777777" w:rsidR="005D7B59" w:rsidRDefault="005D6172">
            <w:pPr>
              <w:spacing w:after="0"/>
              <w:ind w:left="9" w:firstLine="0"/>
              <w:jc w:val="center"/>
            </w:pPr>
            <w:r>
              <w:rPr>
                <w:b/>
              </w:rPr>
              <w:t xml:space="preserve">SPECIAL MASTER CASE </w:t>
            </w:r>
          </w:p>
          <w:p w14:paraId="62A4BDE2" w14:textId="77777777" w:rsidR="005D7B59" w:rsidRDefault="005D6172">
            <w:pPr>
              <w:spacing w:after="201"/>
              <w:ind w:left="10" w:firstLine="0"/>
              <w:jc w:val="center"/>
            </w:pPr>
            <w:r>
              <w:rPr>
                <w:b/>
              </w:rPr>
              <w:t xml:space="preserve">MANAGEMENT ORDER NO. 31 </w:t>
            </w:r>
          </w:p>
          <w:p w14:paraId="65157B3D" w14:textId="77777777" w:rsidR="005D7B59" w:rsidRDefault="005D6172">
            <w:pPr>
              <w:spacing w:after="0"/>
              <w:ind w:left="72" w:firstLine="0"/>
              <w:jc w:val="center"/>
            </w:pPr>
            <w:r>
              <w:rPr>
                <w:b/>
              </w:rPr>
              <w:t xml:space="preserve"> </w:t>
            </w:r>
          </w:p>
        </w:tc>
      </w:tr>
    </w:tbl>
    <w:p w14:paraId="3789C6B8" w14:textId="77777777" w:rsidR="005D7B59" w:rsidRDefault="005D6172">
      <w:pPr>
        <w:spacing w:after="0"/>
        <w:ind w:left="718" w:firstLine="0"/>
        <w:jc w:val="left"/>
      </w:pPr>
      <w:r>
        <w:t xml:space="preserve"> </w:t>
      </w:r>
    </w:p>
    <w:p w14:paraId="3B995F7B" w14:textId="77777777" w:rsidR="005D7B59" w:rsidRDefault="005D6172">
      <w:pPr>
        <w:spacing w:after="26" w:line="479" w:lineRule="auto"/>
        <w:ind w:left="718" w:firstLine="720"/>
      </w:pPr>
      <w:r>
        <w:rPr>
          <w:b/>
        </w:rPr>
        <w:t>THIS MATTER</w:t>
      </w:r>
      <w:r>
        <w:t xml:space="preserve"> having come before the Special Master and the MCL Court on August 23, 2023 wherein the parties discussed their proposed validation protocols for the random sampling of Allergan’s non-responsive documents, and the courts having considered the parties’ submissions dated August 8, 2023 and the parties’ arguments during the status conference on August 23, 2023; </w:t>
      </w:r>
      <w:r>
        <w:rPr>
          <w:b/>
        </w:rPr>
        <w:t>IT IS</w:t>
      </w:r>
      <w:r>
        <w:t xml:space="preserve"> on this 7</w:t>
      </w:r>
      <w:r>
        <w:rPr>
          <w:vertAlign w:val="superscript"/>
        </w:rPr>
        <w:t>th</w:t>
      </w:r>
      <w:r>
        <w:t xml:space="preserve"> day of September, 2023, </w:t>
      </w:r>
    </w:p>
    <w:p w14:paraId="05F0B4F9" w14:textId="77777777" w:rsidR="005D7B59" w:rsidRDefault="005D6172">
      <w:pPr>
        <w:spacing w:after="260"/>
        <w:jc w:val="left"/>
      </w:pPr>
      <w:r>
        <w:rPr>
          <w:b/>
        </w:rPr>
        <w:t>ORDERED</w:t>
      </w:r>
      <w:r>
        <w:t xml:space="preserve"> that: </w:t>
      </w:r>
    </w:p>
    <w:p w14:paraId="518B70CB" w14:textId="77777777" w:rsidR="00275E6B" w:rsidRDefault="005D6172" w:rsidP="00275E6B">
      <w:pPr>
        <w:numPr>
          <w:ilvl w:val="0"/>
          <w:numId w:val="1"/>
        </w:numPr>
        <w:spacing w:after="312" w:line="476" w:lineRule="auto"/>
        <w:ind w:right="180" w:hanging="360"/>
      </w:pPr>
      <w:r>
        <w:t xml:space="preserve">Allergan’s discovery host (Consilio) shall use the Relativity software to generate and collect a random sampling of 750 documents from the population of custodial document </w:t>
      </w:r>
      <w:proofErr w:type="gramStart"/>
      <w:r>
        <w:t>search term</w:t>
      </w:r>
      <w:proofErr w:type="gramEnd"/>
      <w:r>
        <w:t xml:space="preserve"> hits where Allergan completed its review and determined that those documents are non-responsive (and therefore have not been produced or logged). </w:t>
      </w:r>
    </w:p>
    <w:p w14:paraId="32EBD9D7" w14:textId="527E478B" w:rsidR="005D7B59" w:rsidRPr="00AF51C1" w:rsidRDefault="005D6172" w:rsidP="00275E6B">
      <w:pPr>
        <w:numPr>
          <w:ilvl w:val="0"/>
          <w:numId w:val="1"/>
        </w:numPr>
        <w:spacing w:after="312" w:line="476" w:lineRule="auto"/>
        <w:ind w:right="180" w:hanging="360"/>
        <w:rPr>
          <w:highlight w:val="yellow"/>
        </w:rPr>
      </w:pPr>
      <w:r>
        <w:t xml:space="preserve">Allergan </w:t>
      </w:r>
      <w:r w:rsidRPr="00AF51C1">
        <w:rPr>
          <w:highlight w:val="yellow"/>
        </w:rPr>
        <w:t xml:space="preserve">shall produce those non-privileged documents directly to Plaintiffs within 20 days of the date of this Order.  </w:t>
      </w:r>
    </w:p>
    <w:p w14:paraId="1D10E78C" w14:textId="77777777" w:rsidR="005D7B59" w:rsidRPr="00AF51C1" w:rsidRDefault="005D6172">
      <w:pPr>
        <w:numPr>
          <w:ilvl w:val="0"/>
          <w:numId w:val="1"/>
        </w:numPr>
        <w:spacing w:line="476" w:lineRule="auto"/>
        <w:ind w:right="180" w:hanging="360"/>
        <w:rPr>
          <w:highlight w:val="yellow"/>
        </w:rPr>
      </w:pPr>
      <w:r w:rsidRPr="00AF51C1">
        <w:rPr>
          <w:highlight w:val="yellow"/>
        </w:rPr>
        <w:t xml:space="preserve">To the extent that Allergan determines in good faith that any document collected from the random sampling should be reviewed by the Special Master prior to review by Plaintiffs for reasons other than non-relevance, counsel for Allergan shall provide such document to the Special Master with a concise explanation of why such document should not be produced to the Plaintiffs’ counsel for this validation review. </w:t>
      </w:r>
    </w:p>
    <w:p w14:paraId="2C8FA28E" w14:textId="77777777" w:rsidR="005D7B59" w:rsidRDefault="005D6172">
      <w:pPr>
        <w:numPr>
          <w:ilvl w:val="0"/>
          <w:numId w:val="1"/>
        </w:numPr>
        <w:spacing w:line="476" w:lineRule="auto"/>
        <w:ind w:right="180" w:hanging="360"/>
      </w:pPr>
      <w:r>
        <w:lastRenderedPageBreak/>
        <w:t xml:space="preserve">Within 30 days of receiving Allergan’s production, Plaintiffs shall submit a letter to the Special Master advising whether it sees any need to revisit the overall document production. </w:t>
      </w:r>
    </w:p>
    <w:p w14:paraId="1D5BDA02" w14:textId="77777777" w:rsidR="005D7B59" w:rsidRDefault="005D6172">
      <w:pPr>
        <w:spacing w:after="255"/>
        <w:ind w:left="718" w:firstLine="0"/>
        <w:jc w:val="left"/>
      </w:pPr>
      <w:r>
        <w:t xml:space="preserve"> </w:t>
      </w:r>
    </w:p>
    <w:p w14:paraId="67C74FF2" w14:textId="77777777" w:rsidR="005D7B59" w:rsidRDefault="005D6172">
      <w:pPr>
        <w:spacing w:after="0"/>
        <w:jc w:val="left"/>
      </w:pPr>
      <w:proofErr w:type="gramStart"/>
      <w:r>
        <w:rPr>
          <w:b/>
        </w:rPr>
        <w:t>SO</w:t>
      </w:r>
      <w:proofErr w:type="gramEnd"/>
      <w:r>
        <w:rPr>
          <w:b/>
        </w:rPr>
        <w:t xml:space="preserve"> ORDERED.</w:t>
      </w:r>
      <w:r>
        <w:t xml:space="preserve"> </w:t>
      </w:r>
    </w:p>
    <w:p w14:paraId="6452F338" w14:textId="77777777" w:rsidR="005D7B59" w:rsidRDefault="005D6172">
      <w:pPr>
        <w:spacing w:after="5"/>
        <w:ind w:left="718" w:firstLine="0"/>
        <w:jc w:val="left"/>
      </w:pPr>
      <w:r>
        <w:t xml:space="preserve"> </w:t>
      </w:r>
    </w:p>
    <w:p w14:paraId="5D49924B" w14:textId="77777777" w:rsidR="005D7B59" w:rsidRDefault="005D6172">
      <w:pPr>
        <w:tabs>
          <w:tab w:val="center" w:pos="6466"/>
          <w:tab w:val="center" w:pos="9989"/>
        </w:tabs>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C66B4C7" wp14:editId="7B31FBAC">
                <wp:simplePos x="0" y="0"/>
                <wp:positionH relativeFrom="page">
                  <wp:posOffset>1307469</wp:posOffset>
                </wp:positionH>
                <wp:positionV relativeFrom="page">
                  <wp:posOffset>0</wp:posOffset>
                </wp:positionV>
                <wp:extent cx="630" cy="9972040"/>
                <wp:effectExtent l="0" t="0" r="0" b="0"/>
                <wp:wrapSquare wrapText="bothSides"/>
                <wp:docPr id="1581" name="Group 1581"/>
                <wp:cNvGraphicFramePr/>
                <a:graphic xmlns:a="http://schemas.openxmlformats.org/drawingml/2006/main">
                  <a:graphicData uri="http://schemas.microsoft.com/office/word/2010/wordprocessingGroup">
                    <wpg:wgp>
                      <wpg:cNvGrpSpPr/>
                      <wpg:grpSpPr>
                        <a:xfrm>
                          <a:off x="0" y="0"/>
                          <a:ext cx="630" cy="9972040"/>
                          <a:chOff x="0" y="0"/>
                          <a:chExt cx="630" cy="9972040"/>
                        </a:xfrm>
                      </wpg:grpSpPr>
                      <wps:wsp>
                        <wps:cNvPr id="98" name="Shape 98"/>
                        <wps:cNvSpPr/>
                        <wps:spPr>
                          <a:xfrm>
                            <a:off x="0" y="0"/>
                            <a:ext cx="630" cy="9972040"/>
                          </a:xfrm>
                          <a:custGeom>
                            <a:avLst/>
                            <a:gdLst/>
                            <a:ahLst/>
                            <a:cxnLst/>
                            <a:rect l="0" t="0" r="0" b="0"/>
                            <a:pathLst>
                              <a:path w="630" h="9972040">
                                <a:moveTo>
                                  <a:pt x="630" y="997204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1" style="width:0.0495758pt;height:785.2pt;position:absolute;mso-position-horizontal-relative:page;mso-position-horizontal:absolute;margin-left:102.95pt;mso-position-vertical-relative:page;margin-top:0pt;" coordsize="6,99720">
                <v:shape id="Shape 98" style="position:absolute;width:6;height:99720;left:0;top:0;" coordsize="630,9972040" path="m630,9972040l0,0">
                  <v:stroke weight="0.5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790FD54" wp14:editId="2053657F">
                <wp:simplePos x="0" y="0"/>
                <wp:positionH relativeFrom="page">
                  <wp:posOffset>7433946</wp:posOffset>
                </wp:positionH>
                <wp:positionV relativeFrom="page">
                  <wp:posOffset>0</wp:posOffset>
                </wp:positionV>
                <wp:extent cx="635" cy="10058400"/>
                <wp:effectExtent l="0" t="0" r="0" b="0"/>
                <wp:wrapSquare wrapText="bothSides"/>
                <wp:docPr id="1582" name="Group 1582"/>
                <wp:cNvGraphicFramePr/>
                <a:graphic xmlns:a="http://schemas.openxmlformats.org/drawingml/2006/main">
                  <a:graphicData uri="http://schemas.microsoft.com/office/word/2010/wordprocessingGroup">
                    <wpg:wgp>
                      <wpg:cNvGrpSpPr/>
                      <wpg:grpSpPr>
                        <a:xfrm>
                          <a:off x="0" y="0"/>
                          <a:ext cx="635" cy="10058400"/>
                          <a:chOff x="0" y="0"/>
                          <a:chExt cx="635" cy="10058400"/>
                        </a:xfrm>
                      </wpg:grpSpPr>
                      <wps:wsp>
                        <wps:cNvPr id="99" name="Shape 99"/>
                        <wps:cNvSpPr/>
                        <wps:spPr>
                          <a:xfrm>
                            <a:off x="0" y="0"/>
                            <a:ext cx="635" cy="10058400"/>
                          </a:xfrm>
                          <a:custGeom>
                            <a:avLst/>
                            <a:gdLst/>
                            <a:ahLst/>
                            <a:cxnLst/>
                            <a:rect l="0" t="0" r="0" b="0"/>
                            <a:pathLst>
                              <a:path w="635" h="10058400">
                                <a:moveTo>
                                  <a:pt x="0" y="0"/>
                                </a:moveTo>
                                <a:lnTo>
                                  <a:pt x="635" y="1005840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2" style="width:0.0499878pt;height:792pt;position:absolute;mso-position-horizontal-relative:page;mso-position-horizontal:absolute;margin-left:585.35pt;mso-position-vertical-relative:page;margin-top:0pt;" coordsize="6,100584">
                <v:shape id="Shape 99" style="position:absolute;width:6;height:100584;left:0;top:0;" coordsize="635,10058400" path="m0,0l635,10058400">
                  <v:stroke weight="0.5pt" endcap="flat" joinstyle="round"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A6974C8" wp14:editId="7AB1E69B">
                <wp:simplePos x="0" y="0"/>
                <wp:positionH relativeFrom="page">
                  <wp:posOffset>1257307</wp:posOffset>
                </wp:positionH>
                <wp:positionV relativeFrom="page">
                  <wp:posOffset>0</wp:posOffset>
                </wp:positionV>
                <wp:extent cx="628" cy="10058400"/>
                <wp:effectExtent l="0" t="0" r="0" b="0"/>
                <wp:wrapSquare wrapText="bothSides"/>
                <wp:docPr id="1583" name="Group 1583"/>
                <wp:cNvGraphicFramePr/>
                <a:graphic xmlns:a="http://schemas.openxmlformats.org/drawingml/2006/main">
                  <a:graphicData uri="http://schemas.microsoft.com/office/word/2010/wordprocessingGroup">
                    <wpg:wgp>
                      <wpg:cNvGrpSpPr/>
                      <wpg:grpSpPr>
                        <a:xfrm>
                          <a:off x="0" y="0"/>
                          <a:ext cx="628" cy="10058400"/>
                          <a:chOff x="0" y="0"/>
                          <a:chExt cx="628" cy="10058400"/>
                        </a:xfrm>
                      </wpg:grpSpPr>
                      <wps:wsp>
                        <wps:cNvPr id="100" name="Shape 100"/>
                        <wps:cNvSpPr/>
                        <wps:spPr>
                          <a:xfrm>
                            <a:off x="0" y="0"/>
                            <a:ext cx="628" cy="10058400"/>
                          </a:xfrm>
                          <a:custGeom>
                            <a:avLst/>
                            <a:gdLst/>
                            <a:ahLst/>
                            <a:cxnLst/>
                            <a:rect l="0" t="0" r="0" b="0"/>
                            <a:pathLst>
                              <a:path w="628" h="10058400">
                                <a:moveTo>
                                  <a:pt x="628" y="10058400"/>
                                </a:moveTo>
                                <a:lnTo>
                                  <a:pt x="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583" style="width:0.0494385pt;height:792pt;position:absolute;mso-position-horizontal-relative:page;mso-position-horizontal:absolute;margin-left:99.0006pt;mso-position-vertical-relative:page;margin-top:0pt;" coordsize="6,100584">
                <v:shape id="Shape 100" style="position:absolute;width:6;height:100584;left:0;top:0;" coordsize="628,10058400" path="m628,10058400l0,0">
                  <v:stroke weight="0.5pt" endcap="flat" joinstyle="round" on="true" color="#000000"/>
                  <v:fill on="false" color="#000000" opacity="0"/>
                </v:shape>
                <w10:wrap type="square"/>
              </v:group>
            </w:pict>
          </mc:Fallback>
        </mc:AlternateContent>
      </w:r>
      <w:r>
        <w:rPr>
          <w:rFonts w:ascii="Calibri" w:eastAsia="Calibri" w:hAnsi="Calibri" w:cs="Calibri"/>
          <w:sz w:val="22"/>
        </w:rPr>
        <w:tab/>
      </w:r>
      <w:r>
        <w:rPr>
          <w:u w:val="single" w:color="000000"/>
        </w:rPr>
        <w:t xml:space="preserve">/s/ </w:t>
      </w:r>
      <w:r>
        <w:rPr>
          <w:i/>
          <w:u w:val="single" w:color="000000"/>
        </w:rPr>
        <w:t xml:space="preserve">Joseph A. Dickson </w:t>
      </w:r>
      <w:r>
        <w:rPr>
          <w:i/>
          <w:u w:val="single" w:color="000000"/>
        </w:rPr>
        <w:tab/>
      </w:r>
      <w:r>
        <w:rPr>
          <w:i/>
        </w:rPr>
        <w:t xml:space="preserve"> </w:t>
      </w:r>
    </w:p>
    <w:p w14:paraId="6A7E371D" w14:textId="77777777" w:rsidR="005D7B59" w:rsidRDefault="005D6172">
      <w:r>
        <w:t xml:space="preserve">Hon. Joseph A. Dickson, U.S.M.J. (Ret.) </w:t>
      </w:r>
    </w:p>
    <w:p w14:paraId="071534A5" w14:textId="77777777" w:rsidR="005D7B59" w:rsidRDefault="005D6172">
      <w:pPr>
        <w:spacing w:after="3"/>
        <w:jc w:val="center"/>
      </w:pPr>
      <w:r>
        <w:t xml:space="preserve">Special Master </w:t>
      </w:r>
    </w:p>
    <w:p w14:paraId="53916100" w14:textId="77777777" w:rsidR="005D7B59" w:rsidRDefault="005D6172">
      <w:pPr>
        <w:spacing w:after="0"/>
        <w:ind w:left="718" w:firstLine="0"/>
        <w:jc w:val="center"/>
      </w:pPr>
      <w:r>
        <w:t xml:space="preserve"> </w:t>
      </w:r>
    </w:p>
    <w:p w14:paraId="0B432CA6" w14:textId="77777777" w:rsidR="005D7B59" w:rsidRDefault="005D6172">
      <w:pPr>
        <w:spacing w:after="5"/>
        <w:ind w:left="718" w:firstLine="0"/>
        <w:jc w:val="center"/>
      </w:pPr>
      <w:r>
        <w:t xml:space="preserve"> </w:t>
      </w:r>
    </w:p>
    <w:p w14:paraId="2B148225" w14:textId="77777777" w:rsidR="005D7B59" w:rsidRDefault="005D6172">
      <w:pPr>
        <w:tabs>
          <w:tab w:val="center" w:pos="6533"/>
          <w:tab w:val="center" w:pos="9989"/>
        </w:tabs>
        <w:spacing w:after="0"/>
        <w:ind w:left="0" w:firstLine="0"/>
        <w:jc w:val="left"/>
      </w:pPr>
      <w:r>
        <w:rPr>
          <w:rFonts w:ascii="Calibri" w:eastAsia="Calibri" w:hAnsi="Calibri" w:cs="Calibri"/>
          <w:sz w:val="22"/>
        </w:rPr>
        <w:tab/>
      </w:r>
      <w:r>
        <w:rPr>
          <w:u w:val="single" w:color="000000"/>
        </w:rPr>
        <w:t xml:space="preserve">/s/ </w:t>
      </w:r>
      <w:r>
        <w:rPr>
          <w:i/>
          <w:u w:val="single" w:color="000000"/>
        </w:rPr>
        <w:t xml:space="preserve">Gregg A. Padovano </w:t>
      </w:r>
      <w:r>
        <w:rPr>
          <w:i/>
          <w:u w:val="single" w:color="000000"/>
        </w:rPr>
        <w:tab/>
      </w:r>
      <w:r>
        <w:rPr>
          <w:i/>
        </w:rPr>
        <w:t xml:space="preserve"> </w:t>
      </w:r>
    </w:p>
    <w:p w14:paraId="4CD194DD" w14:textId="77777777" w:rsidR="005D7B59" w:rsidRDefault="005D6172">
      <w:r>
        <w:t xml:space="preserve">Hon. Gregg A. Padovano, J.S.C. </w:t>
      </w:r>
    </w:p>
    <w:p w14:paraId="1F48D0CF" w14:textId="77777777" w:rsidR="005D7B59" w:rsidRDefault="005D6172">
      <w:pPr>
        <w:spacing w:after="0"/>
        <w:ind w:left="718" w:firstLine="0"/>
        <w:jc w:val="center"/>
      </w:pPr>
      <w:r>
        <w:t xml:space="preserve"> </w:t>
      </w:r>
    </w:p>
    <w:p w14:paraId="477F459A" w14:textId="77777777" w:rsidR="005D7B59" w:rsidRDefault="005D6172">
      <w:pPr>
        <w:spacing w:after="0"/>
        <w:ind w:left="718" w:firstLine="0"/>
        <w:jc w:val="left"/>
      </w:pPr>
      <w:r>
        <w:t xml:space="preserve"> </w:t>
      </w:r>
    </w:p>
    <w:p w14:paraId="789E0BD2" w14:textId="77777777" w:rsidR="005D7B59" w:rsidRDefault="005D6172">
      <w:r>
        <w:t xml:space="preserve">Date: September 7, 2023 </w:t>
      </w:r>
    </w:p>
    <w:p w14:paraId="62386030" w14:textId="77777777" w:rsidR="005D7B59" w:rsidRDefault="005D6172">
      <w:pPr>
        <w:spacing w:after="0"/>
        <w:ind w:left="718" w:firstLine="0"/>
        <w:jc w:val="left"/>
      </w:pPr>
      <w:r>
        <w:t xml:space="preserve"> </w:t>
      </w:r>
    </w:p>
    <w:p w14:paraId="27CEF6AB" w14:textId="77777777" w:rsidR="005D7B59" w:rsidRDefault="005D6172">
      <w:pPr>
        <w:spacing w:after="0"/>
        <w:ind w:left="718" w:firstLine="0"/>
        <w:jc w:val="left"/>
      </w:pPr>
      <w:r>
        <w:t xml:space="preserve"> </w:t>
      </w:r>
    </w:p>
    <w:p w14:paraId="49D9C0CF" w14:textId="77777777" w:rsidR="005D7B59" w:rsidRDefault="005D6172">
      <w:pPr>
        <w:spacing w:after="0"/>
        <w:ind w:left="718" w:firstLine="0"/>
        <w:jc w:val="left"/>
      </w:pPr>
      <w:r>
        <w:t xml:space="preserve"> </w:t>
      </w:r>
    </w:p>
    <w:p w14:paraId="41C69200" w14:textId="77777777" w:rsidR="005D7B59" w:rsidRDefault="005D6172">
      <w:pPr>
        <w:spacing w:after="0"/>
        <w:ind w:left="718" w:firstLine="0"/>
        <w:jc w:val="left"/>
      </w:pPr>
      <w:r>
        <w:t xml:space="preserve"> </w:t>
      </w:r>
    </w:p>
    <w:p w14:paraId="79DBEACE" w14:textId="77777777" w:rsidR="005D7B59" w:rsidRDefault="005D6172">
      <w:pPr>
        <w:spacing w:after="0"/>
        <w:ind w:left="718" w:firstLine="0"/>
        <w:jc w:val="left"/>
      </w:pPr>
      <w:r>
        <w:t xml:space="preserve"> </w:t>
      </w:r>
    </w:p>
    <w:p w14:paraId="04CBD4C1" w14:textId="77777777" w:rsidR="005D7B59" w:rsidRDefault="005D6172">
      <w:pPr>
        <w:spacing w:after="2896"/>
        <w:ind w:left="718" w:firstLine="0"/>
        <w:jc w:val="left"/>
      </w:pPr>
      <w:r>
        <w:t xml:space="preserve"> </w:t>
      </w:r>
    </w:p>
    <w:p w14:paraId="1AADA397" w14:textId="77777777" w:rsidR="005D7B59" w:rsidRDefault="005D6172">
      <w:pPr>
        <w:spacing w:after="3"/>
        <w:jc w:val="center"/>
      </w:pPr>
      <w:r>
        <w:t xml:space="preserve">2 </w:t>
      </w:r>
    </w:p>
    <w:sectPr w:rsidR="005D7B59">
      <w:pgSz w:w="12240" w:h="15840"/>
      <w:pgMar w:top="275" w:right="682" w:bottom="716" w:left="12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5316"/>
    <w:multiLevelType w:val="hybridMultilevel"/>
    <w:tmpl w:val="749A9572"/>
    <w:lvl w:ilvl="0" w:tplc="B55C191C">
      <w:start w:val="1"/>
      <w:numFmt w:val="decimal"/>
      <w:lvlText w:val="%1."/>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5CE17A">
      <w:start w:val="1"/>
      <w:numFmt w:val="lowerLetter"/>
      <w:lvlText w:val="%2"/>
      <w:lvlJc w:val="left"/>
      <w:pPr>
        <w:ind w:left="2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6C4B6">
      <w:start w:val="1"/>
      <w:numFmt w:val="lowerRoman"/>
      <w:lvlText w:val="%3"/>
      <w:lvlJc w:val="left"/>
      <w:pPr>
        <w:ind w:left="3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4EEC36">
      <w:start w:val="1"/>
      <w:numFmt w:val="decimal"/>
      <w:lvlText w:val="%4"/>
      <w:lvlJc w:val="left"/>
      <w:pPr>
        <w:ind w:left="3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AE32A">
      <w:start w:val="1"/>
      <w:numFmt w:val="lowerLetter"/>
      <w:lvlText w:val="%5"/>
      <w:lvlJc w:val="left"/>
      <w:pPr>
        <w:ind w:left="4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DAFD22">
      <w:start w:val="1"/>
      <w:numFmt w:val="lowerRoman"/>
      <w:lvlText w:val="%6"/>
      <w:lvlJc w:val="left"/>
      <w:pPr>
        <w:ind w:left="5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082082">
      <w:start w:val="1"/>
      <w:numFmt w:val="decimal"/>
      <w:lvlText w:val="%7"/>
      <w:lvlJc w:val="left"/>
      <w:pPr>
        <w:ind w:left="5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2E556">
      <w:start w:val="1"/>
      <w:numFmt w:val="lowerLetter"/>
      <w:lvlText w:val="%8"/>
      <w:lvlJc w:val="left"/>
      <w:pPr>
        <w:ind w:left="6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EE3292">
      <w:start w:val="1"/>
      <w:numFmt w:val="lowerRoman"/>
      <w:lvlText w:val="%9"/>
      <w:lvlJc w:val="left"/>
      <w:pPr>
        <w:ind w:left="7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8436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59"/>
    <w:rsid w:val="00275E6B"/>
    <w:rsid w:val="00571923"/>
    <w:rsid w:val="005D6172"/>
    <w:rsid w:val="005D7B59"/>
    <w:rsid w:val="00AC482C"/>
    <w:rsid w:val="00AF51C1"/>
    <w:rsid w:val="00E3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61EF0"/>
  <w15:docId w15:val="{C1079CF6-7988-490F-82F5-9EA7DAA1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9" w:lineRule="auto"/>
      <w:ind w:left="728"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1710</Characters>
  <Application>Microsoft Office Word</Application>
  <DocSecurity>0</DocSecurity>
  <Lines>63</Lines>
  <Paragraphs>29</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Manna, Brittany</dc:creator>
  <cp:keywords/>
  <cp:lastModifiedBy>John Rabiej</cp:lastModifiedBy>
  <cp:revision>4</cp:revision>
  <dcterms:created xsi:type="dcterms:W3CDTF">2026-01-21T19:15:00Z</dcterms:created>
  <dcterms:modified xsi:type="dcterms:W3CDTF">2026-01-22T14:12:00Z</dcterms:modified>
</cp:coreProperties>
</file>