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8AE9" w14:textId="4DCE0DE4" w:rsidR="00285104" w:rsidRDefault="00285104">
      <w:pPr>
        <w:rPr>
          <w:b/>
          <w:bCs/>
        </w:rPr>
      </w:pPr>
      <w:r>
        <w:rPr>
          <w:noProof/>
        </w:rPr>
        <w:drawing>
          <wp:inline distT="0" distB="0" distL="0" distR="0" wp14:anchorId="74F7C7C8" wp14:editId="3A6AEDD5">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5">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573CAD37" w14:textId="0927F6A5" w:rsidR="00285104" w:rsidRDefault="00285104" w:rsidP="00285104">
      <w:pPr>
        <w:jc w:val="center"/>
        <w:rPr>
          <w:b/>
          <w:bCs/>
        </w:rPr>
      </w:pPr>
      <w:r>
        <w:rPr>
          <w:b/>
          <w:bCs/>
        </w:rPr>
        <w:t>January 14, 2026</w:t>
      </w:r>
    </w:p>
    <w:p w14:paraId="3F54EB64" w14:textId="77777777" w:rsidR="00285104" w:rsidRDefault="00285104" w:rsidP="00285104">
      <w:pPr>
        <w:jc w:val="center"/>
        <w:rPr>
          <w:b/>
          <w:bCs/>
        </w:rPr>
      </w:pPr>
    </w:p>
    <w:p w14:paraId="6AF3AC01" w14:textId="0F0BEAD5" w:rsidR="00C624D6" w:rsidRPr="005D1EF3" w:rsidRDefault="003033E1">
      <w:pPr>
        <w:rPr>
          <w:b/>
          <w:bCs/>
        </w:rPr>
      </w:pPr>
      <w:r w:rsidRPr="005D1EF3">
        <w:rPr>
          <w:b/>
          <w:bCs/>
        </w:rPr>
        <w:t>Work-Product Challenges to TAR and Generative AI Joint Training and Validating</w:t>
      </w:r>
    </w:p>
    <w:p w14:paraId="068D3BA1" w14:textId="29278174" w:rsidR="005E1B85" w:rsidRDefault="005E1B85">
      <w:r w:rsidRPr="005E1B85">
        <w:rPr>
          <w:u w:val="single"/>
        </w:rPr>
        <w:t>ISSUE</w:t>
      </w:r>
      <w:r w:rsidR="00006320">
        <w:rPr>
          <w:u w:val="single"/>
        </w:rPr>
        <w:t>S</w:t>
      </w:r>
      <w:r>
        <w:t xml:space="preserve">: </w:t>
      </w:r>
      <w:r w:rsidR="00006320" w:rsidRPr="00006320">
        <w:t>Does the work-product doctrine prohibit a court from directing parties to jointly develop and apply generative-AI prompts to search documents?  Wouldn't such a court order be different from a court order requiring the defendant to disclose the AI prompt once it was developed and applied? </w:t>
      </w:r>
    </w:p>
    <w:p w14:paraId="1A6921D7" w14:textId="24748FFE" w:rsidR="005E1B85" w:rsidRDefault="005E1B85" w:rsidP="005E1B85">
      <w:r>
        <w:t>Directing parties to work, develop, and submit joint statements and positions</w:t>
      </w:r>
      <w:r w:rsidR="00DD514E" w:rsidRPr="00DD514E">
        <w:rPr>
          <w:rFonts w:ascii="Arial" w:hAnsi="Arial" w:cs="Arial"/>
          <w:color w:val="222222"/>
          <w:shd w:val="clear" w:color="auto" w:fill="FFFFFF"/>
        </w:rPr>
        <w:t xml:space="preserve"> </w:t>
      </w:r>
      <w:r w:rsidR="00DD514E" w:rsidRPr="00DD514E">
        <w:t>on a</w:t>
      </w:r>
      <w:r w:rsidR="00DD514E">
        <w:t xml:space="preserve"> </w:t>
      </w:r>
      <w:r w:rsidR="00DD514E" w:rsidRPr="00DD514E">
        <w:t>prospective basis</w:t>
      </w:r>
      <w:r>
        <w:t xml:space="preserve"> is a common practice in litigation.</w:t>
      </w:r>
    </w:p>
    <w:p w14:paraId="4E43E6B5" w14:textId="37BB5522" w:rsidR="005E1B85" w:rsidRDefault="005E1B85" w:rsidP="005E1B85">
      <w:pPr>
        <w:pStyle w:val="ListParagraph"/>
        <w:numPr>
          <w:ilvl w:val="0"/>
          <w:numId w:val="1"/>
        </w:numPr>
      </w:pPr>
      <w:r>
        <w:t xml:space="preserve">No different from requiring parties </w:t>
      </w:r>
      <w:r w:rsidRPr="00DE080F">
        <w:rPr>
          <w:i/>
          <w:iCs/>
        </w:rPr>
        <w:t>to submit discovery plan</w:t>
      </w:r>
      <w:r>
        <w:t xml:space="preserve"> under Rule 26(f)(3) –</w:t>
      </w:r>
      <w:r w:rsidR="00285104">
        <w:t xml:space="preserve"> </w:t>
      </w:r>
      <w:r>
        <w:t xml:space="preserve">A discovery plan must state the parties’ views and proposals on “the subjects on which discovery may be needed” </w:t>
      </w:r>
    </w:p>
    <w:p w14:paraId="1DF69109" w14:textId="77777777" w:rsidR="005E1B85" w:rsidRDefault="005E1B85" w:rsidP="005E1B85">
      <w:pPr>
        <w:pStyle w:val="ListParagraph"/>
        <w:numPr>
          <w:ilvl w:val="0"/>
          <w:numId w:val="1"/>
        </w:numPr>
      </w:pPr>
      <w:r>
        <w:t xml:space="preserve">No different from requiring parties </w:t>
      </w:r>
      <w:r w:rsidRPr="00DE080F">
        <w:rPr>
          <w:i/>
          <w:iCs/>
        </w:rPr>
        <w:t>to jointly submit position statement</w:t>
      </w:r>
      <w:r>
        <w:t xml:space="preserve"> in MDL, now required under Rule 16.1(b)(3)(G)</w:t>
      </w:r>
    </w:p>
    <w:p w14:paraId="1726D399" w14:textId="77777777" w:rsidR="005E1B85" w:rsidRDefault="005E1B85" w:rsidP="005E1B85">
      <w:pPr>
        <w:pStyle w:val="ListParagraph"/>
        <w:numPr>
          <w:ilvl w:val="0"/>
          <w:numId w:val="1"/>
        </w:numPr>
      </w:pPr>
      <w:r>
        <w:t xml:space="preserve">No different from requiring parties </w:t>
      </w:r>
      <w:r w:rsidRPr="00DE080F">
        <w:rPr>
          <w:i/>
          <w:iCs/>
        </w:rPr>
        <w:t xml:space="preserve">to jointly </w:t>
      </w:r>
      <w:r>
        <w:rPr>
          <w:i/>
          <w:iCs/>
        </w:rPr>
        <w:t>agree on</w:t>
      </w:r>
      <w:r w:rsidRPr="00DE080F">
        <w:rPr>
          <w:i/>
          <w:iCs/>
        </w:rPr>
        <w:t xml:space="preserve"> selection</w:t>
      </w:r>
      <w:r>
        <w:t xml:space="preserve"> of keywords</w:t>
      </w:r>
    </w:p>
    <w:p w14:paraId="33B76DDF" w14:textId="4EDC369A" w:rsidR="005E1B85" w:rsidRDefault="005E1B85" w:rsidP="005E1B85">
      <w:pPr>
        <w:ind w:left="360"/>
      </w:pPr>
      <w:r>
        <w:t>_____________________________________</w:t>
      </w:r>
    </w:p>
    <w:p w14:paraId="35D31BA8" w14:textId="21BC3E7C" w:rsidR="00A06803" w:rsidRPr="00A06803" w:rsidRDefault="00A06803">
      <w:pPr>
        <w:rPr>
          <w:rFonts w:cs="Times New Roman"/>
          <w:color w:val="333333"/>
          <w:u w:val="single"/>
          <w:shd w:val="clear" w:color="auto" w:fill="FFFFFF"/>
        </w:rPr>
      </w:pPr>
      <w:r w:rsidRPr="00A06803">
        <w:rPr>
          <w:rFonts w:cs="Times New Roman"/>
          <w:color w:val="333333"/>
          <w:u w:val="single"/>
          <w:shd w:val="clear" w:color="auto" w:fill="FFFFFF"/>
        </w:rPr>
        <w:t>Rule 23(b)(3)</w:t>
      </w:r>
    </w:p>
    <w:p w14:paraId="73D3F79D" w14:textId="77777777" w:rsidR="00A06803" w:rsidRPr="00A06803" w:rsidRDefault="00A06803" w:rsidP="00A06803">
      <w:pPr>
        <w:pStyle w:val="statutory-body-1em"/>
        <w:shd w:val="clear" w:color="auto" w:fill="FFFFFF"/>
        <w:spacing w:before="0" w:beforeAutospacing="0" w:after="150" w:afterAutospacing="0"/>
        <w:ind w:left="240" w:firstLine="240"/>
        <w:rPr>
          <w:color w:val="333333"/>
        </w:rPr>
      </w:pPr>
      <w:r w:rsidRPr="00A06803">
        <w:rPr>
          <w:color w:val="333333"/>
        </w:rPr>
        <w:t>(3) </w:t>
      </w:r>
      <w:r w:rsidRPr="00A06803">
        <w:rPr>
          <w:rStyle w:val="Emphasis"/>
          <w:rFonts w:eastAsiaTheme="majorEastAsia"/>
          <w:color w:val="333333"/>
        </w:rPr>
        <w:t>Trial Preparation: Materials.</w:t>
      </w:r>
    </w:p>
    <w:p w14:paraId="25CF304B" w14:textId="77777777" w:rsidR="00A06803" w:rsidRPr="00A06803" w:rsidRDefault="00A06803" w:rsidP="00A06803">
      <w:pPr>
        <w:pStyle w:val="statutory-body-2em"/>
        <w:shd w:val="clear" w:color="auto" w:fill="FFFFFF"/>
        <w:spacing w:before="0" w:beforeAutospacing="0" w:after="150" w:afterAutospacing="0"/>
        <w:ind w:left="480" w:firstLine="240"/>
        <w:rPr>
          <w:color w:val="333333"/>
        </w:rPr>
      </w:pPr>
      <w:r w:rsidRPr="00A06803">
        <w:rPr>
          <w:color w:val="333333"/>
        </w:rPr>
        <w:t>(A) </w:t>
      </w:r>
      <w:r w:rsidRPr="00A06803">
        <w:rPr>
          <w:rStyle w:val="Emphasis"/>
          <w:rFonts w:eastAsiaTheme="majorEastAsia"/>
          <w:color w:val="333333"/>
        </w:rPr>
        <w:t>Documents and Tangible Things.</w:t>
      </w:r>
      <w:r w:rsidRPr="00A06803">
        <w:rPr>
          <w:color w:val="333333"/>
        </w:rPr>
        <w:t xml:space="preserve"> Ordinarily, a party may not discover documents and tangible things </w:t>
      </w:r>
      <w:r w:rsidRPr="00546AA3">
        <w:rPr>
          <w:i/>
          <w:iCs/>
          <w:color w:val="333333"/>
        </w:rPr>
        <w:t>that are prepared in anticipation of litigation or for trial</w:t>
      </w:r>
      <w:r w:rsidRPr="00A06803">
        <w:rPr>
          <w:color w:val="333333"/>
        </w:rPr>
        <w:t xml:space="preserve"> by or for another party or its representative (including the other party's attorney, consultant, surety, indemnitor, insurer, or agent).</w:t>
      </w:r>
    </w:p>
    <w:p w14:paraId="5B4DEB78" w14:textId="7ED8C6E2" w:rsidR="00A06803" w:rsidRPr="00A06803" w:rsidRDefault="00F34E72">
      <w:pPr>
        <w:rPr>
          <w:rFonts w:cs="Times New Roman"/>
          <w:color w:val="333333"/>
          <w:u w:val="single"/>
          <w:shd w:val="clear" w:color="auto" w:fill="FFFFFF"/>
        </w:rPr>
      </w:pPr>
      <w:r w:rsidRPr="00A06803">
        <w:rPr>
          <w:rFonts w:cs="Times New Roman"/>
          <w:color w:val="333333"/>
          <w:u w:val="single"/>
          <w:shd w:val="clear" w:color="auto" w:fill="FFFFFF"/>
        </w:rPr>
        <w:t xml:space="preserve">Rule 26(b)(3), 1970 Committee </w:t>
      </w:r>
      <w:r w:rsidR="00A06803" w:rsidRPr="00A06803">
        <w:rPr>
          <w:rFonts w:cs="Times New Roman"/>
          <w:color w:val="333333"/>
          <w:u w:val="single"/>
          <w:shd w:val="clear" w:color="auto" w:fill="FFFFFF"/>
        </w:rPr>
        <w:t>N</w:t>
      </w:r>
      <w:r w:rsidRPr="00A06803">
        <w:rPr>
          <w:rFonts w:cs="Times New Roman"/>
          <w:color w:val="333333"/>
          <w:u w:val="single"/>
          <w:shd w:val="clear" w:color="auto" w:fill="FFFFFF"/>
        </w:rPr>
        <w:t>ot</w:t>
      </w:r>
      <w:r w:rsidR="00A06803" w:rsidRPr="00A06803">
        <w:rPr>
          <w:rFonts w:cs="Times New Roman"/>
          <w:color w:val="333333"/>
          <w:u w:val="single"/>
          <w:shd w:val="clear" w:color="auto" w:fill="FFFFFF"/>
        </w:rPr>
        <w:t>e</w:t>
      </w:r>
    </w:p>
    <w:p w14:paraId="71D96903" w14:textId="154D8E04" w:rsidR="00F34E72" w:rsidRPr="00A06803" w:rsidRDefault="00F34E72">
      <w:pPr>
        <w:rPr>
          <w:rFonts w:cs="Times New Roman"/>
          <w:color w:val="333333"/>
          <w:shd w:val="clear" w:color="auto" w:fill="FFFFFF"/>
        </w:rPr>
      </w:pPr>
      <w:r w:rsidRPr="00A06803">
        <w:rPr>
          <w:rFonts w:cs="Times New Roman"/>
          <w:color w:val="333333"/>
          <w:shd w:val="clear" w:color="auto" w:fill="FFFFFF"/>
        </w:rPr>
        <w:t>Some of the most controversial and vexing problems to emerge from the discovery rules have arisen out of requests for the production of documents or things prepared in anticipation of litigation or for trial.</w:t>
      </w:r>
    </w:p>
    <w:p w14:paraId="04417570" w14:textId="73FF5F6A" w:rsidR="00F34E72" w:rsidRDefault="00F34E72">
      <w:pPr>
        <w:rPr>
          <w:rFonts w:cs="Times New Roman"/>
          <w:color w:val="333333"/>
          <w:shd w:val="clear" w:color="auto" w:fill="FFFFFF"/>
        </w:rPr>
      </w:pPr>
      <w:r w:rsidRPr="00A06803">
        <w:rPr>
          <w:rFonts w:cs="Times New Roman"/>
          <w:color w:val="333333"/>
          <w:shd w:val="clear" w:color="auto" w:fill="FFFFFF"/>
        </w:rPr>
        <w:t xml:space="preserve">On the other hand, the requirement of a special showing for discovery of trial preparation materials reflects the view that each side's </w:t>
      </w:r>
      <w:r w:rsidRPr="00DE080F">
        <w:rPr>
          <w:rFonts w:cs="Times New Roman"/>
          <w:i/>
          <w:iCs/>
          <w:color w:val="333333"/>
          <w:shd w:val="clear" w:color="auto" w:fill="FFFFFF"/>
        </w:rPr>
        <w:t>informal evaluation of its case should be protected</w:t>
      </w:r>
      <w:r w:rsidRPr="00A06803">
        <w:rPr>
          <w:rFonts w:cs="Times New Roman"/>
          <w:color w:val="333333"/>
          <w:shd w:val="clear" w:color="auto" w:fill="FFFFFF"/>
        </w:rPr>
        <w:t xml:space="preserve">, that each side </w:t>
      </w:r>
      <w:r w:rsidRPr="00DE080F">
        <w:rPr>
          <w:rFonts w:cs="Times New Roman"/>
          <w:i/>
          <w:iCs/>
          <w:color w:val="333333"/>
          <w:shd w:val="clear" w:color="auto" w:fill="FFFFFF"/>
        </w:rPr>
        <w:t>should be encouraged</w:t>
      </w:r>
      <w:r w:rsidRPr="00A06803">
        <w:rPr>
          <w:rFonts w:cs="Times New Roman"/>
          <w:color w:val="333333"/>
          <w:shd w:val="clear" w:color="auto" w:fill="FFFFFF"/>
        </w:rPr>
        <w:t xml:space="preserve"> to prepare independently, and that one side should not automatically </w:t>
      </w:r>
      <w:r w:rsidRPr="00DE080F">
        <w:rPr>
          <w:rFonts w:cs="Times New Roman"/>
          <w:i/>
          <w:iCs/>
          <w:color w:val="333333"/>
          <w:shd w:val="clear" w:color="auto" w:fill="FFFFFF"/>
        </w:rPr>
        <w:t>have the benefit of the detailed preparatory work</w:t>
      </w:r>
      <w:r w:rsidRPr="00A06803">
        <w:rPr>
          <w:rFonts w:cs="Times New Roman"/>
          <w:color w:val="333333"/>
          <w:shd w:val="clear" w:color="auto" w:fill="FFFFFF"/>
        </w:rPr>
        <w:t xml:space="preserve"> of the other side.</w:t>
      </w:r>
    </w:p>
    <w:p w14:paraId="521B88CA" w14:textId="69D8CA6F" w:rsidR="00A06803" w:rsidRDefault="00A06803">
      <w:pPr>
        <w:rPr>
          <w:rFonts w:cs="Times New Roman"/>
          <w:color w:val="333333"/>
          <w:shd w:val="clear" w:color="auto" w:fill="FFFFFF"/>
        </w:rPr>
      </w:pPr>
      <w:r>
        <w:rPr>
          <w:rFonts w:cs="Times New Roman"/>
          <w:color w:val="333333"/>
          <w:shd w:val="clear" w:color="auto" w:fill="FFFFFF"/>
        </w:rPr>
        <w:t>_____________________________</w:t>
      </w:r>
    </w:p>
    <w:p w14:paraId="6E690244" w14:textId="4D86C331" w:rsidR="00DE080F" w:rsidRDefault="00285104" w:rsidP="00DE080F">
      <w:r w:rsidRPr="00285104">
        <w:rPr>
          <w:rFonts w:cs="Times New Roman"/>
          <w:color w:val="333333"/>
          <w:u w:val="single"/>
          <w:shd w:val="clear" w:color="auto" w:fill="FFFFFF"/>
        </w:rPr>
        <w:lastRenderedPageBreak/>
        <w:t>Relevant Caselaw</w:t>
      </w:r>
    </w:p>
    <w:p w14:paraId="02BA6CBF" w14:textId="77777777" w:rsidR="005E1B85" w:rsidRDefault="00DE080F" w:rsidP="00DE080F">
      <w:r w:rsidRPr="00DE080F">
        <w:sym w:font="Symbol" w:char="F0B7"/>
      </w:r>
      <w:r w:rsidRPr="00DE080F">
        <w:t xml:space="preserve"> 2d. Cir. In re Porsche Automobil Holding SE, 2016 U.S. Dist. LEXIS 20012, at *32 (S.D.N.Y Feb. 18, 2016) (“[</w:t>
      </w:r>
      <w:r w:rsidRPr="005D1EF3">
        <w:rPr>
          <w:i/>
          <w:iCs/>
        </w:rPr>
        <w:t xml:space="preserve">P]arties are encouraged </w:t>
      </w:r>
      <w:r w:rsidRPr="00DE080F">
        <w:t>strongly to discuss narrowing custodians and search terms for retrieval of electronically stored information where possible.”)</w:t>
      </w:r>
    </w:p>
    <w:p w14:paraId="3CC4C109" w14:textId="77777777" w:rsidR="005E1B85" w:rsidRDefault="00DE080F" w:rsidP="00DE080F">
      <w:r w:rsidRPr="00DE080F">
        <w:sym w:font="Symbol" w:char="F0B7"/>
      </w:r>
      <w:r w:rsidRPr="00DE080F">
        <w:t xml:space="preserve"> 5th Cir. Johnson v. Holliday, 2016 U.S. Dist. LEXIS 129633, at *5–6 (M.D. La. Sept. 22, 2016) (ordering “</w:t>
      </w:r>
      <w:r w:rsidRPr="005D1EF3">
        <w:rPr>
          <w:i/>
          <w:iCs/>
        </w:rPr>
        <w:t>Plaintiff's counsel to propose custodians and search terms</w:t>
      </w:r>
      <w:r w:rsidRPr="00DE080F">
        <w:t xml:space="preserve"> . . . for the parties to confer in good faith . . . and . . . to notify the Court whether the parties have agreed upon such custodians and terms”). </w:t>
      </w:r>
    </w:p>
    <w:p w14:paraId="0298F5CA" w14:textId="77777777" w:rsidR="005E1B85" w:rsidRDefault="00DE080F" w:rsidP="00DE080F">
      <w:r w:rsidRPr="00DE080F">
        <w:sym w:font="Symbol" w:char="F0B7"/>
      </w:r>
      <w:r w:rsidRPr="00DE080F">
        <w:t xml:space="preserve"> 9th Cir. Albert v. Lab. Corp. of Am., 2020 U.S. Dist. LEXIS 16979, at *2 (W.D. Wash. Jan. 31, 2020) (“In the ESI Agreement, the </w:t>
      </w:r>
      <w:r w:rsidRPr="005D1EF3">
        <w:rPr>
          <w:i/>
          <w:iCs/>
        </w:rPr>
        <w:t xml:space="preserve">parties agreed to cooperate to determine the appropriate search terms </w:t>
      </w:r>
      <w:r w:rsidRPr="00DE080F">
        <w:t xml:space="preserve">before any effort to search for ESI using search terms is undertaken.”). </w:t>
      </w:r>
    </w:p>
    <w:p w14:paraId="27C5CC3F" w14:textId="632E4EFC" w:rsidR="00DE080F" w:rsidRDefault="00DE080F" w:rsidP="00DE080F">
      <w:r w:rsidRPr="00DE080F">
        <w:sym w:font="Symbol" w:char="F0B7"/>
      </w:r>
      <w:r w:rsidRPr="00DE080F">
        <w:t xml:space="preserve"> 10th Cir. Entrata, Inc. v. Yardi Sys., 2018 U.S. Dist. LEXIS 185744, at *5 (affirming the </w:t>
      </w:r>
      <w:r w:rsidRPr="005D1EF3">
        <w:rPr>
          <w:i/>
          <w:iCs/>
        </w:rPr>
        <w:t>magistrate court’s order which required that “parties are to work together in good faith to identify and negotiate a reasonable set of search terms and/or other search methodology to be used in searches of ESI.</w:t>
      </w:r>
      <w:r w:rsidRPr="00DE080F">
        <w:t xml:space="preserve"> If the parties are unable to agree . . . the parties will submit competing proposals . . .”).</w:t>
      </w:r>
    </w:p>
    <w:p w14:paraId="1B471660" w14:textId="77777777" w:rsidR="005D1EF3" w:rsidRDefault="005E1B85" w:rsidP="00DE080F">
      <w:r>
        <w:t xml:space="preserve">8th Cir. Enter. Fleet Mgmt. v. Guinn, 2018 WL 2068291, at *4 (E.D. Mo. May 3, 2018) (court </w:t>
      </w:r>
      <w:r w:rsidRPr="005D1EF3">
        <w:rPr>
          <w:i/>
          <w:iCs/>
        </w:rPr>
        <w:t>ordered parties to meet-and-confer to narrow ESI search term</w:t>
      </w:r>
      <w:r>
        <w:t xml:space="preserve">s and to agree on a procedure to avoid duplication of a prior search); </w:t>
      </w:r>
    </w:p>
    <w:p w14:paraId="0DACCCB0" w14:textId="39F8DD1B" w:rsidR="005E1B85" w:rsidRDefault="005E1B85" w:rsidP="00DE080F">
      <w:r>
        <w:t>Foster v. Litman, 2020 U.S. Dist. LEXIS 811, at *7–8 (D. Minn. Jan. 3, 2020) (requiring the Plaintiff to “engage in a good-faith meet and confer with Defendants” to specify what specific documents he is seeking).</w:t>
      </w:r>
    </w:p>
    <w:p w14:paraId="16C5AC95" w14:textId="77777777" w:rsidR="00DE080F" w:rsidRDefault="00DE080F" w:rsidP="00DE080F">
      <w:pPr>
        <w:pStyle w:val="ListParagraph"/>
      </w:pPr>
    </w:p>
    <w:sectPr w:rsidR="00DE0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7C9"/>
    <w:multiLevelType w:val="hybridMultilevel"/>
    <w:tmpl w:val="9FFA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21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E1"/>
    <w:rsid w:val="00006320"/>
    <w:rsid w:val="00285104"/>
    <w:rsid w:val="003033E1"/>
    <w:rsid w:val="00406F6F"/>
    <w:rsid w:val="004A3182"/>
    <w:rsid w:val="00546AA3"/>
    <w:rsid w:val="005D1EF3"/>
    <w:rsid w:val="005E1B85"/>
    <w:rsid w:val="007213F0"/>
    <w:rsid w:val="00A06803"/>
    <w:rsid w:val="00B26C53"/>
    <w:rsid w:val="00C624D6"/>
    <w:rsid w:val="00C654FF"/>
    <w:rsid w:val="00C83F30"/>
    <w:rsid w:val="00C95781"/>
    <w:rsid w:val="00C971A6"/>
    <w:rsid w:val="00DD514E"/>
    <w:rsid w:val="00DE080F"/>
    <w:rsid w:val="00F34E72"/>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3DF0"/>
  <w15:chartTrackingRefBased/>
  <w15:docId w15:val="{2885E008-3B3C-45CE-B440-E93BAD5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3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3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3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3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3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3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3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3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3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3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3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3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3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3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3E1"/>
    <w:pPr>
      <w:spacing w:before="160"/>
      <w:jc w:val="center"/>
    </w:pPr>
    <w:rPr>
      <w:i/>
      <w:iCs/>
      <w:color w:val="404040" w:themeColor="text1" w:themeTint="BF"/>
    </w:rPr>
  </w:style>
  <w:style w:type="character" w:customStyle="1" w:styleId="QuoteChar">
    <w:name w:val="Quote Char"/>
    <w:basedOn w:val="DefaultParagraphFont"/>
    <w:link w:val="Quote"/>
    <w:uiPriority w:val="29"/>
    <w:rsid w:val="003033E1"/>
    <w:rPr>
      <w:i/>
      <w:iCs/>
      <w:color w:val="404040" w:themeColor="text1" w:themeTint="BF"/>
    </w:rPr>
  </w:style>
  <w:style w:type="paragraph" w:styleId="ListParagraph">
    <w:name w:val="List Paragraph"/>
    <w:basedOn w:val="Normal"/>
    <w:uiPriority w:val="34"/>
    <w:qFormat/>
    <w:rsid w:val="003033E1"/>
    <w:pPr>
      <w:ind w:left="720"/>
      <w:contextualSpacing/>
    </w:pPr>
  </w:style>
  <w:style w:type="character" w:styleId="IntenseEmphasis">
    <w:name w:val="Intense Emphasis"/>
    <w:basedOn w:val="DefaultParagraphFont"/>
    <w:uiPriority w:val="21"/>
    <w:qFormat/>
    <w:rsid w:val="003033E1"/>
    <w:rPr>
      <w:i/>
      <w:iCs/>
      <w:color w:val="0F4761" w:themeColor="accent1" w:themeShade="BF"/>
    </w:rPr>
  </w:style>
  <w:style w:type="paragraph" w:styleId="IntenseQuote">
    <w:name w:val="Intense Quote"/>
    <w:basedOn w:val="Normal"/>
    <w:next w:val="Normal"/>
    <w:link w:val="IntenseQuoteChar"/>
    <w:uiPriority w:val="30"/>
    <w:qFormat/>
    <w:rsid w:val="00303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3E1"/>
    <w:rPr>
      <w:i/>
      <w:iCs/>
      <w:color w:val="0F4761" w:themeColor="accent1" w:themeShade="BF"/>
    </w:rPr>
  </w:style>
  <w:style w:type="character" w:styleId="IntenseReference">
    <w:name w:val="Intense Reference"/>
    <w:basedOn w:val="DefaultParagraphFont"/>
    <w:uiPriority w:val="32"/>
    <w:qFormat/>
    <w:rsid w:val="003033E1"/>
    <w:rPr>
      <w:b/>
      <w:bCs/>
      <w:smallCaps/>
      <w:color w:val="0F4761" w:themeColor="accent1" w:themeShade="BF"/>
      <w:spacing w:val="5"/>
    </w:rPr>
  </w:style>
  <w:style w:type="paragraph" w:customStyle="1" w:styleId="statutory-body-1em">
    <w:name w:val="statutory-body-1em"/>
    <w:basedOn w:val="Normal"/>
    <w:rsid w:val="00A06803"/>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A06803"/>
    <w:rPr>
      <w:i/>
      <w:iCs/>
    </w:rPr>
  </w:style>
  <w:style w:type="paragraph" w:customStyle="1" w:styleId="statutory-body-2em">
    <w:name w:val="statutory-body-2em"/>
    <w:basedOn w:val="Normal"/>
    <w:rsid w:val="00A06803"/>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587</Words>
  <Characters>3064</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5</cp:revision>
  <dcterms:created xsi:type="dcterms:W3CDTF">2025-12-07T12:54:00Z</dcterms:created>
  <dcterms:modified xsi:type="dcterms:W3CDTF">2026-01-14T12:27:00Z</dcterms:modified>
</cp:coreProperties>
</file>