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17BA" w14:textId="77777777" w:rsidR="00631624" w:rsidRDefault="002D60E3">
      <w:pPr>
        <w:spacing w:after="685" w:line="472" w:lineRule="auto"/>
        <w:ind w:right="5"/>
        <w:jc w:val="center"/>
      </w:pPr>
      <w:r>
        <w:rPr>
          <w:rFonts w:ascii="Calibri" w:eastAsia="Calibri" w:hAnsi="Calibri" w:cs="Calibri"/>
          <w:color w:val="0000FF"/>
        </w:rPr>
        <w:t xml:space="preserve">Case: 1:20-cv-04699 Document #: 4 Filed: 08/17/20 Page 1 of 12 </w:t>
      </w:r>
      <w:proofErr w:type="spellStart"/>
      <w:r>
        <w:rPr>
          <w:rFonts w:ascii="Calibri" w:eastAsia="Calibri" w:hAnsi="Calibri" w:cs="Calibri"/>
          <w:color w:val="0000FF"/>
        </w:rPr>
        <w:t>PageID</w:t>
      </w:r>
      <w:proofErr w:type="spellEnd"/>
      <w:r>
        <w:rPr>
          <w:rFonts w:ascii="Calibri" w:eastAsia="Calibri" w:hAnsi="Calibri" w:cs="Calibri"/>
          <w:color w:val="0000FF"/>
        </w:rPr>
        <w:t xml:space="preserve"> #:41</w:t>
      </w:r>
    </w:p>
    <w:p w14:paraId="6D2B359A" w14:textId="77777777" w:rsidR="00631624" w:rsidRDefault="002D60E3">
      <w:pPr>
        <w:spacing w:after="0" w:line="259" w:lineRule="auto"/>
        <w:ind w:right="10"/>
        <w:jc w:val="center"/>
      </w:pPr>
      <w:r>
        <w:rPr>
          <w:b/>
        </w:rPr>
        <w:t xml:space="preserve">IN THE UNITED STATES DISTRICT COURT </w:t>
      </w:r>
    </w:p>
    <w:p w14:paraId="2DB438AD" w14:textId="77777777" w:rsidR="00631624" w:rsidRDefault="002D60E3">
      <w:pPr>
        <w:spacing w:after="0" w:line="259" w:lineRule="auto"/>
        <w:ind w:right="7"/>
        <w:jc w:val="center"/>
      </w:pPr>
      <w:r>
        <w:rPr>
          <w:b/>
        </w:rPr>
        <w:t xml:space="preserve">FOR THE NORTHERN DISTRICT OF ILILNOIS </w:t>
      </w:r>
    </w:p>
    <w:p w14:paraId="75EF15B1" w14:textId="77777777" w:rsidR="00631624" w:rsidRDefault="002D60E3">
      <w:pPr>
        <w:spacing w:after="0" w:line="259" w:lineRule="auto"/>
        <w:ind w:right="2"/>
        <w:jc w:val="center"/>
      </w:pPr>
      <w:r>
        <w:rPr>
          <w:b/>
        </w:rPr>
        <w:t xml:space="preserve">EASTERN DIVISION </w:t>
      </w:r>
    </w:p>
    <w:p w14:paraId="70202720" w14:textId="77777777" w:rsidR="00631624" w:rsidRDefault="002D60E3">
      <w:pPr>
        <w:spacing w:after="0" w:line="259" w:lineRule="auto"/>
        <w:ind w:left="57" w:firstLine="0"/>
        <w:jc w:val="center"/>
      </w:pPr>
      <w:r>
        <w:rPr>
          <w:b/>
        </w:rPr>
        <w:t xml:space="preserve"> </w:t>
      </w:r>
    </w:p>
    <w:p w14:paraId="1C89F256" w14:textId="77777777" w:rsidR="00631624" w:rsidRDefault="002D60E3">
      <w:pPr>
        <w:spacing w:after="0" w:line="259" w:lineRule="auto"/>
        <w:ind w:left="57" w:firstLine="0"/>
        <w:jc w:val="center"/>
      </w:pPr>
      <w:r>
        <w:rPr>
          <w:b/>
        </w:rPr>
        <w:t xml:space="preserve"> </w:t>
      </w:r>
    </w:p>
    <w:p w14:paraId="73227C85" w14:textId="77777777" w:rsidR="00631624" w:rsidRDefault="002D60E3">
      <w:pPr>
        <w:tabs>
          <w:tab w:val="center" w:pos="2881"/>
          <w:tab w:val="center" w:pos="3601"/>
          <w:tab w:val="center" w:pos="4360"/>
        </w:tabs>
        <w:spacing w:after="0" w:line="259" w:lineRule="auto"/>
        <w:ind w:left="-15" w:firstLine="0"/>
        <w:jc w:val="left"/>
      </w:pPr>
      <w:r>
        <w:rPr>
          <w:b/>
        </w:rPr>
        <w:t>IN RE</w:t>
      </w:r>
      <w:proofErr w:type="gramStart"/>
      <w:r>
        <w:rPr>
          <w:b/>
        </w:rPr>
        <w:t>:  TIKTOK</w:t>
      </w:r>
      <w:proofErr w:type="gramEnd"/>
      <w:r>
        <w:rPr>
          <w:b/>
        </w:rPr>
        <w:t>, INC.</w:t>
      </w:r>
      <w:proofErr w:type="gramStart"/>
      <w:r>
        <w:rPr>
          <w:b/>
        </w:rPr>
        <w:t xml:space="preserve">,  </w:t>
      </w:r>
      <w:r>
        <w:rPr>
          <w:b/>
        </w:rPr>
        <w:tab/>
      </w:r>
      <w:proofErr w:type="gramEnd"/>
      <w:r>
        <w:rPr>
          <w:b/>
        </w:rPr>
        <w:t xml:space="preserve"> </w:t>
      </w:r>
      <w:r>
        <w:rPr>
          <w:b/>
        </w:rPr>
        <w:tab/>
        <w:t xml:space="preserve"> </w:t>
      </w:r>
      <w:r>
        <w:rPr>
          <w:b/>
        </w:rPr>
        <w:tab/>
        <w:t xml:space="preserve">) </w:t>
      </w:r>
    </w:p>
    <w:p w14:paraId="0D0FEBC3" w14:textId="77777777" w:rsidR="00631624" w:rsidRDefault="002D60E3">
      <w:pPr>
        <w:tabs>
          <w:tab w:val="center" w:pos="2881"/>
          <w:tab w:val="center" w:pos="3601"/>
          <w:tab w:val="center" w:pos="4360"/>
          <w:tab w:val="center" w:pos="5797"/>
        </w:tabs>
        <w:spacing w:after="0" w:line="259" w:lineRule="auto"/>
        <w:ind w:left="-15" w:firstLine="0"/>
        <w:jc w:val="left"/>
      </w:pPr>
      <w:r>
        <w:rPr>
          <w:b/>
        </w:rPr>
        <w:t>CONSUMER PRIVACY</w:t>
      </w:r>
      <w:proofErr w:type="gramStart"/>
      <w:r>
        <w:rPr>
          <w:b/>
        </w:rPr>
        <w:t xml:space="preserve"> </w:t>
      </w:r>
      <w:r>
        <w:rPr>
          <w:b/>
        </w:rPr>
        <w:tab/>
        <w:t xml:space="preserve"> </w:t>
      </w:r>
      <w:r>
        <w:rPr>
          <w:b/>
        </w:rPr>
        <w:tab/>
        <w:t xml:space="preserve"> </w:t>
      </w:r>
      <w:r>
        <w:rPr>
          <w:b/>
        </w:rPr>
        <w:tab/>
        <w:t xml:space="preserve">) </w:t>
      </w:r>
      <w:r>
        <w:rPr>
          <w:b/>
        </w:rPr>
        <w:tab/>
        <w:t>MDL</w:t>
      </w:r>
      <w:proofErr w:type="gramEnd"/>
      <w:r>
        <w:rPr>
          <w:b/>
        </w:rPr>
        <w:t xml:space="preserve"> No. 2948 </w:t>
      </w:r>
    </w:p>
    <w:p w14:paraId="36D44B9E" w14:textId="77777777" w:rsidR="00631624" w:rsidRDefault="002D60E3">
      <w:pPr>
        <w:tabs>
          <w:tab w:val="center" w:pos="2160"/>
          <w:tab w:val="center" w:pos="2881"/>
          <w:tab w:val="center" w:pos="3601"/>
          <w:tab w:val="center" w:pos="4360"/>
        </w:tabs>
        <w:spacing w:after="0" w:line="259" w:lineRule="auto"/>
        <w:ind w:left="-15" w:firstLine="0"/>
        <w:jc w:val="left"/>
      </w:pPr>
      <w:r>
        <w:rPr>
          <w:b/>
        </w:rPr>
        <w:t xml:space="preserve">LITIGATION, </w:t>
      </w:r>
      <w:r>
        <w:rPr>
          <w:b/>
        </w:rPr>
        <w:tab/>
        <w:t xml:space="preserve"> </w:t>
      </w:r>
      <w:r>
        <w:rPr>
          <w:b/>
        </w:rPr>
        <w:tab/>
        <w:t xml:space="preserve"> </w:t>
      </w:r>
      <w:r>
        <w:rPr>
          <w:b/>
        </w:rPr>
        <w:tab/>
        <w:t xml:space="preserve"> </w:t>
      </w:r>
      <w:r>
        <w:rPr>
          <w:b/>
        </w:rPr>
        <w:tab/>
        <w:t xml:space="preserve">) </w:t>
      </w:r>
    </w:p>
    <w:p w14:paraId="0965B395" w14:textId="77777777" w:rsidR="00631624" w:rsidRDefault="002D60E3">
      <w:pPr>
        <w:tabs>
          <w:tab w:val="center" w:pos="720"/>
          <w:tab w:val="center" w:pos="1440"/>
          <w:tab w:val="center" w:pos="2160"/>
          <w:tab w:val="center" w:pos="2881"/>
          <w:tab w:val="center" w:pos="3601"/>
          <w:tab w:val="center" w:pos="4360"/>
          <w:tab w:val="center" w:pos="6541"/>
          <w:tab w:val="center" w:pos="8642"/>
          <w:tab w:val="center" w:pos="9362"/>
        </w:tabs>
        <w:spacing w:after="0" w:line="259" w:lineRule="auto"/>
        <w:ind w:left="-15"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proofErr w:type="gramStart"/>
      <w:r>
        <w:rPr>
          <w:b/>
        </w:rPr>
        <w:t xml:space="preserve">) </w:t>
      </w:r>
      <w:r>
        <w:rPr>
          <w:b/>
        </w:rPr>
        <w:tab/>
        <w:t>Master</w:t>
      </w:r>
      <w:proofErr w:type="gramEnd"/>
      <w:r>
        <w:rPr>
          <w:b/>
        </w:rPr>
        <w:t xml:space="preserve"> Docket No. 20 C 4699 </w:t>
      </w:r>
      <w:r>
        <w:rPr>
          <w:b/>
        </w:rPr>
        <w:tab/>
        <w:t xml:space="preserve"> </w:t>
      </w:r>
      <w:r>
        <w:rPr>
          <w:b/>
        </w:rPr>
        <w:tab/>
        <w:t xml:space="preserve"> </w:t>
      </w:r>
    </w:p>
    <w:p w14:paraId="1DA72409" w14:textId="77777777" w:rsidR="00631624" w:rsidRDefault="002D60E3">
      <w:pPr>
        <w:tabs>
          <w:tab w:val="center" w:pos="720"/>
          <w:tab w:val="center" w:pos="1440"/>
          <w:tab w:val="center" w:pos="2160"/>
          <w:tab w:val="center" w:pos="2881"/>
          <w:tab w:val="center" w:pos="3601"/>
          <w:tab w:val="center" w:pos="4360"/>
          <w:tab w:val="center" w:pos="5041"/>
        </w:tabs>
        <w:spacing w:after="0" w:line="259" w:lineRule="auto"/>
        <w:ind w:left="-15"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301E3CFF" w14:textId="77777777" w:rsidR="00631624" w:rsidRDefault="002D60E3">
      <w:pPr>
        <w:tabs>
          <w:tab w:val="center" w:pos="720"/>
          <w:tab w:val="center" w:pos="1440"/>
          <w:tab w:val="center" w:pos="2160"/>
          <w:tab w:val="center" w:pos="2881"/>
          <w:tab w:val="center" w:pos="3601"/>
          <w:tab w:val="center" w:pos="4360"/>
          <w:tab w:val="center" w:pos="5988"/>
        </w:tabs>
        <w:spacing w:after="0" w:line="259" w:lineRule="auto"/>
        <w:ind w:left="-15"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proofErr w:type="gramStart"/>
      <w:r>
        <w:rPr>
          <w:b/>
        </w:rPr>
        <w:t xml:space="preserve">) </w:t>
      </w:r>
      <w:r>
        <w:rPr>
          <w:b/>
        </w:rPr>
        <w:tab/>
        <w:t>Judge</w:t>
      </w:r>
      <w:proofErr w:type="gramEnd"/>
      <w:r>
        <w:rPr>
          <w:b/>
        </w:rPr>
        <w:t xml:space="preserve"> John Z. Lee </w:t>
      </w:r>
    </w:p>
    <w:p w14:paraId="1316C04E" w14:textId="77777777" w:rsidR="00631624" w:rsidRDefault="002D60E3">
      <w:pPr>
        <w:tabs>
          <w:tab w:val="center" w:pos="720"/>
          <w:tab w:val="center" w:pos="1440"/>
          <w:tab w:val="center" w:pos="2160"/>
          <w:tab w:val="center" w:pos="2881"/>
          <w:tab w:val="center" w:pos="3601"/>
          <w:tab w:val="center" w:pos="4360"/>
        </w:tabs>
        <w:spacing w:after="0" w:line="259" w:lineRule="auto"/>
        <w:ind w:left="-15"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6ADC369E" w14:textId="77777777" w:rsidR="00631624" w:rsidRDefault="002D60E3">
      <w:pPr>
        <w:tabs>
          <w:tab w:val="center" w:pos="720"/>
          <w:tab w:val="center" w:pos="1440"/>
          <w:tab w:val="center" w:pos="2160"/>
          <w:tab w:val="center" w:pos="2881"/>
          <w:tab w:val="center" w:pos="3601"/>
          <w:tab w:val="center" w:pos="4360"/>
          <w:tab w:val="center" w:pos="6818"/>
        </w:tabs>
        <w:spacing w:after="0" w:line="259" w:lineRule="auto"/>
        <w:ind w:left="-15"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proofErr w:type="gramStart"/>
      <w:r>
        <w:rPr>
          <w:b/>
        </w:rPr>
        <w:t xml:space="preserve">) </w:t>
      </w:r>
      <w:r>
        <w:rPr>
          <w:b/>
        </w:rPr>
        <w:tab/>
        <w:t>Magistrate</w:t>
      </w:r>
      <w:proofErr w:type="gramEnd"/>
      <w:r>
        <w:rPr>
          <w:b/>
        </w:rPr>
        <w:t xml:space="preserve"> Judge Sunil R. Harjani </w:t>
      </w:r>
    </w:p>
    <w:p w14:paraId="1D2833C7" w14:textId="77777777" w:rsidR="00631624" w:rsidRDefault="002D60E3">
      <w:pPr>
        <w:tabs>
          <w:tab w:val="center" w:pos="4360"/>
          <w:tab w:val="center" w:pos="5041"/>
        </w:tabs>
        <w:spacing w:after="0" w:line="259" w:lineRule="auto"/>
        <w:ind w:left="-15" w:firstLine="0"/>
        <w:jc w:val="left"/>
      </w:pPr>
      <w:r>
        <w:rPr>
          <w:b/>
        </w:rPr>
        <w:t xml:space="preserve">This Document Relates to All Cases </w:t>
      </w:r>
      <w:r>
        <w:rPr>
          <w:b/>
        </w:rPr>
        <w:tab/>
        <w:t xml:space="preserve">) </w:t>
      </w:r>
      <w:r>
        <w:rPr>
          <w:b/>
        </w:rPr>
        <w:tab/>
        <w:t xml:space="preserve"> </w:t>
      </w:r>
    </w:p>
    <w:p w14:paraId="2A570DD2" w14:textId="77777777" w:rsidR="00631624" w:rsidRDefault="002D60E3">
      <w:pPr>
        <w:spacing w:after="0" w:line="259" w:lineRule="auto"/>
        <w:ind w:left="0" w:firstLine="0"/>
        <w:jc w:val="left"/>
      </w:pPr>
      <w:r>
        <w:rPr>
          <w:b/>
        </w:rPr>
        <w:t xml:space="preserve"> </w:t>
      </w:r>
    </w:p>
    <w:p w14:paraId="68B9F16D" w14:textId="77777777" w:rsidR="00631624" w:rsidRDefault="002D60E3">
      <w:pPr>
        <w:spacing w:after="0" w:line="259" w:lineRule="auto"/>
        <w:ind w:left="0" w:firstLine="0"/>
        <w:jc w:val="left"/>
      </w:pPr>
      <w:r>
        <w:rPr>
          <w:b/>
        </w:rPr>
        <w:t xml:space="preserve"> </w:t>
      </w:r>
    </w:p>
    <w:p w14:paraId="406FCF05" w14:textId="77777777" w:rsidR="00631624" w:rsidRDefault="002D60E3">
      <w:pPr>
        <w:spacing w:after="0" w:line="259" w:lineRule="auto"/>
        <w:ind w:left="0" w:firstLine="0"/>
        <w:jc w:val="left"/>
      </w:pPr>
      <w:r>
        <w:rPr>
          <w:b/>
        </w:rPr>
        <w:t xml:space="preserve"> </w:t>
      </w:r>
    </w:p>
    <w:p w14:paraId="1C65C64A" w14:textId="77777777" w:rsidR="00631624" w:rsidRDefault="002D60E3">
      <w:pPr>
        <w:spacing w:after="257" w:line="259" w:lineRule="auto"/>
        <w:ind w:left="79" w:right="76"/>
        <w:jc w:val="center"/>
      </w:pPr>
      <w:r>
        <w:rPr>
          <w:b/>
          <w:u w:val="single" w:color="000000"/>
        </w:rPr>
        <w:t>CASE MANAGEMENT ORDER NO. 1</w:t>
      </w:r>
      <w:r>
        <w:rPr>
          <w:b/>
        </w:rPr>
        <w:t xml:space="preserve"> </w:t>
      </w:r>
    </w:p>
    <w:p w14:paraId="0774C5B3" w14:textId="77777777" w:rsidR="00631624" w:rsidRDefault="002D60E3">
      <w:pPr>
        <w:tabs>
          <w:tab w:val="right" w:pos="9364"/>
        </w:tabs>
        <w:spacing w:after="258" w:line="259" w:lineRule="auto"/>
        <w:ind w:left="-15" w:firstLine="0"/>
        <w:jc w:val="left"/>
      </w:pPr>
      <w:r>
        <w:t xml:space="preserve"> </w:t>
      </w:r>
      <w:r>
        <w:tab/>
        <w:t xml:space="preserve">The Judicial Panel on Multi District </w:t>
      </w:r>
      <w:proofErr w:type="gramStart"/>
      <w:r>
        <w:t>Litigation (“JPML”)</w:t>
      </w:r>
      <w:proofErr w:type="gramEnd"/>
      <w:r>
        <w:t xml:space="preserve">, pursuant to its order of </w:t>
      </w:r>
    </w:p>
    <w:p w14:paraId="25D11C13" w14:textId="77777777" w:rsidR="00631624" w:rsidRDefault="002D60E3">
      <w:pPr>
        <w:ind w:left="-5"/>
      </w:pPr>
      <w:r>
        <w:t xml:space="preserve">August 4, 2020, transferred to this Court the civil actions listed on Exhibit A attached hereto.  Because these transferred civil actions merit special attention as complex litigation, IT IS </w:t>
      </w:r>
    </w:p>
    <w:p w14:paraId="622ED9A5" w14:textId="77777777" w:rsidR="00631624" w:rsidRDefault="002D60E3">
      <w:pPr>
        <w:spacing w:after="252" w:line="259" w:lineRule="auto"/>
        <w:ind w:left="-5"/>
      </w:pPr>
      <w:r>
        <w:t xml:space="preserve">ORDERED THAT: </w:t>
      </w:r>
    </w:p>
    <w:p w14:paraId="3A60797D" w14:textId="77777777" w:rsidR="00631624" w:rsidRDefault="002D60E3">
      <w:pPr>
        <w:numPr>
          <w:ilvl w:val="0"/>
          <w:numId w:val="1"/>
        </w:numPr>
        <w:ind w:hanging="720"/>
      </w:pPr>
      <w:r>
        <w:rPr>
          <w:b/>
        </w:rPr>
        <w:t>Applicability of Order</w:t>
      </w:r>
      <w:r>
        <w:t xml:space="preserve">.  The provisions of this Order (and of future orders applicable to “All Cases”) shall govern the practice and procedure in those actions, listed on </w:t>
      </w:r>
    </w:p>
    <w:p w14:paraId="2221957E" w14:textId="77777777" w:rsidR="00631624" w:rsidRDefault="002D60E3" w:rsidP="003E71DC">
      <w:pPr>
        <w:spacing w:after="37" w:line="482" w:lineRule="auto"/>
        <w:ind w:left="0" w:hanging="14"/>
      </w:pPr>
      <w:r>
        <w:t xml:space="preserve">Exhibit A, that </w:t>
      </w:r>
      <w:proofErr w:type="gramStart"/>
      <w:r>
        <w:t>were</w:t>
      </w:r>
      <w:proofErr w:type="gramEnd"/>
      <w:r>
        <w:t xml:space="preserve"> transferred to this Court by the JPML pursuant to its order of August 4, 2020.  This Order also applies to all related cases filed in all divisions of the Northern District of </w:t>
      </w:r>
    </w:p>
    <w:p w14:paraId="7D70B785" w14:textId="77777777" w:rsidR="00631624" w:rsidRDefault="002D60E3">
      <w:pPr>
        <w:ind w:left="-5"/>
      </w:pPr>
      <w:r>
        <w:t xml:space="preserve">Illinois and will also apply to any “tag-along actions” later filed in, removed to, or transferred to this Court. </w:t>
      </w:r>
    </w:p>
    <w:p w14:paraId="683D64B9" w14:textId="77777777" w:rsidR="00631624" w:rsidRDefault="002D60E3">
      <w:pPr>
        <w:numPr>
          <w:ilvl w:val="0"/>
          <w:numId w:val="1"/>
        </w:numPr>
        <w:spacing w:after="898"/>
        <w:ind w:hanging="720"/>
      </w:pPr>
      <w:r>
        <w:rPr>
          <w:b/>
        </w:rPr>
        <w:t>Consolidation</w:t>
      </w:r>
      <w:r>
        <w:t xml:space="preserve">.  The civil actions assigned to MDL No. 2948 are consolidated for pretrial purposes. Any “tag-along actions” later filed in, removed to or transferred to this Court, or directly filed in the Northern District of Illinois, will automatically be consolidated with </w:t>
      </w:r>
      <w:r>
        <w:lastRenderedPageBreak/>
        <w:t xml:space="preserve">this action without the necessity of future motions or orders. This consolidation, however, does not </w:t>
      </w:r>
      <w:r>
        <w:rPr>
          <w:rFonts w:ascii="Calibri" w:eastAsia="Calibri" w:hAnsi="Calibri" w:cs="Calibri"/>
          <w:color w:val="0000FF"/>
        </w:rPr>
        <w:t xml:space="preserve">Case: 1:20-cv-04699 Document #: 4 Filed: 08/17/20 Page 2 of 12 </w:t>
      </w:r>
      <w:proofErr w:type="spellStart"/>
      <w:proofErr w:type="gramStart"/>
      <w:r>
        <w:rPr>
          <w:rFonts w:ascii="Calibri" w:eastAsia="Calibri" w:hAnsi="Calibri" w:cs="Calibri"/>
          <w:color w:val="0000FF"/>
        </w:rPr>
        <w:t>PageID</w:t>
      </w:r>
      <w:proofErr w:type="spellEnd"/>
      <w:r>
        <w:rPr>
          <w:rFonts w:ascii="Calibri" w:eastAsia="Calibri" w:hAnsi="Calibri" w:cs="Calibri"/>
          <w:color w:val="0000FF"/>
        </w:rPr>
        <w:t xml:space="preserve"> #:</w:t>
      </w:r>
      <w:proofErr w:type="gramEnd"/>
      <w:r>
        <w:rPr>
          <w:rFonts w:ascii="Calibri" w:eastAsia="Calibri" w:hAnsi="Calibri" w:cs="Calibri"/>
          <w:color w:val="0000FF"/>
        </w:rPr>
        <w:t>42</w:t>
      </w:r>
    </w:p>
    <w:p w14:paraId="164DED58" w14:textId="77777777" w:rsidR="00631624" w:rsidRDefault="002D60E3">
      <w:pPr>
        <w:ind w:left="-5"/>
      </w:pPr>
      <w:r>
        <w:t xml:space="preserve">constitute a determination that the actions should be consolidated for trial, nor does it have the effect of making any entity a party to any action in which he, she, or it has not been named, served, or added in accordance with the Federal Rules of Civil Procedure. </w:t>
      </w:r>
    </w:p>
    <w:p w14:paraId="4696FE2B" w14:textId="77777777" w:rsidR="00631624" w:rsidRDefault="002D60E3">
      <w:pPr>
        <w:numPr>
          <w:ilvl w:val="0"/>
          <w:numId w:val="1"/>
        </w:numPr>
        <w:ind w:hanging="720"/>
      </w:pPr>
      <w:r>
        <w:rPr>
          <w:b/>
        </w:rPr>
        <w:t>Master Docket</w:t>
      </w:r>
      <w:r>
        <w:t>.  The Clerk of Court will maintain a master docket case file under the style “</w:t>
      </w:r>
      <w:r>
        <w:rPr>
          <w:i/>
        </w:rPr>
        <w:t>In Re: TikTok, Inc. Consumer Privacy Litigation</w:t>
      </w:r>
      <w:r>
        <w:t xml:space="preserve">” and the master docket identification number “20-cv-4699” as well as the identification “MDL No. 2948.”  All pleadings and filing should be filed in the master docket case no. 20-cv-4699.  When a pleading or filing is intended to be applicable to all actions, this shall be indicated in the caption by the words: “This </w:t>
      </w:r>
    </w:p>
    <w:p w14:paraId="29A1901D" w14:textId="77777777" w:rsidR="00631624" w:rsidRDefault="002D60E3">
      <w:pPr>
        <w:ind w:left="-5"/>
      </w:pPr>
      <w:r>
        <w:t xml:space="preserve">Document Relates to All Cases.” When a pleading is intended to apply to fewer than all cases, this Court's docket number for the individual case or cases to which the document number relates shall appear in the caption immediately after the words: “This Document Relates to [individual case number(s)].”  </w:t>
      </w:r>
    </w:p>
    <w:p w14:paraId="36226FDE" w14:textId="77777777" w:rsidR="00631624" w:rsidRDefault="002D60E3">
      <w:pPr>
        <w:numPr>
          <w:ilvl w:val="0"/>
          <w:numId w:val="1"/>
        </w:numPr>
        <w:ind w:hanging="720"/>
      </w:pPr>
      <w:r>
        <w:rPr>
          <w:b/>
        </w:rPr>
        <w:t>Filing Procedures.</w:t>
      </w:r>
      <w:r>
        <w:t xml:space="preserve">  Any pleading or document which is to be filed in any of these actions shall be filed with the Clerk of this Court and not in the transferor court.  All documents filed in this Court must be filed electronically pursuant to this Court’s General Order on Electronic Case Filing (General Order 211-24) and the CM/ECF User Guide.  All counsel of </w:t>
      </w:r>
      <w:proofErr w:type="gramStart"/>
      <w:r>
        <w:t>record</w:t>
      </w:r>
      <w:proofErr w:type="gramEnd"/>
      <w:r>
        <w:t xml:space="preserve"> </w:t>
      </w:r>
      <w:proofErr w:type="gramStart"/>
      <w:r>
        <w:t>are</w:t>
      </w:r>
      <w:proofErr w:type="gramEnd"/>
      <w:r>
        <w:t xml:space="preserve"> required to register in the Court’s CM/ECF Filing System.  Additional information can be found at:  </w:t>
      </w:r>
      <w:r>
        <w:rPr>
          <w:u w:val="single" w:color="000000"/>
        </w:rPr>
        <w:t>https://www.ilnd.uscourts.gov/CMECF.aspx</w:t>
      </w:r>
      <w:r>
        <w:t xml:space="preserve">. </w:t>
      </w:r>
    </w:p>
    <w:p w14:paraId="408F868B" w14:textId="146F4C45" w:rsidR="003E71DC" w:rsidRDefault="000F49E7" w:rsidP="000F49E7">
      <w:pPr>
        <w:pStyle w:val="ListParagraph"/>
        <w:ind w:firstLine="0"/>
        <w:jc w:val="center"/>
      </w:pPr>
      <w:r>
        <w:rPr>
          <w:b/>
        </w:rPr>
        <w:t>* * * * * *</w:t>
      </w:r>
    </w:p>
    <w:p w14:paraId="1B73390C" w14:textId="52940E46" w:rsidR="00631624" w:rsidRDefault="002D60E3" w:rsidP="000F49E7">
      <w:pPr>
        <w:tabs>
          <w:tab w:val="center" w:pos="1440"/>
          <w:tab w:val="center" w:pos="2273"/>
          <w:tab w:val="center" w:pos="3386"/>
        </w:tabs>
        <w:spacing w:after="259" w:line="482" w:lineRule="auto"/>
        <w:ind w:left="0" w:firstLine="0"/>
        <w:jc w:val="left"/>
      </w:pPr>
      <w:r>
        <w:rPr>
          <w:rFonts w:ascii="Calibri" w:eastAsia="Calibri" w:hAnsi="Calibri" w:cs="Calibri"/>
          <w:sz w:val="22"/>
        </w:rPr>
        <w:lastRenderedPageBreak/>
        <w:tab/>
      </w:r>
      <w:r>
        <w:t xml:space="preserve"> </w:t>
      </w:r>
      <w:r>
        <w:tab/>
      </w:r>
      <w:r>
        <w:rPr>
          <w:b/>
        </w:rPr>
        <w:t xml:space="preserve">Preservation of Evidence.  </w:t>
      </w:r>
      <w:r w:rsidRPr="000F49E7">
        <w:rPr>
          <w:highlight w:val="yellow"/>
        </w:rPr>
        <w:t>All pa</w:t>
      </w:r>
      <w:r>
        <w:t xml:space="preserve">rties and their </w:t>
      </w:r>
      <w:proofErr w:type="gramStart"/>
      <w:r>
        <w:t>counsel</w:t>
      </w:r>
      <w:proofErr w:type="gramEnd"/>
      <w:r>
        <w:t xml:space="preserve"> are reminded of their duty to preserve evidence that may be relevant to this action. </w:t>
      </w:r>
      <w:r w:rsidRPr="000F49E7">
        <w:rPr>
          <w:highlight w:val="yellow"/>
        </w:rPr>
        <w:t xml:space="preserve">The duty extends to documents, data, and tangible things in possession, custody and control of the parties to this action, and any employees, agents, contractors, carriers, bailees, or other nonparties who possess materials reasonably anticipated to be subject to discovery in this action. “Documents, data, and tangible things” is to be interpreted broadly to include writings, records, files, correspondence, reports, memoranda, calendars, diaries, minutes, electronic messages, voice mail, e-mail, telephone </w:t>
      </w:r>
      <w:r w:rsidRPr="000F49E7">
        <w:rPr>
          <w:rFonts w:ascii="Calibri" w:eastAsia="Calibri" w:hAnsi="Calibri" w:cs="Calibri"/>
          <w:color w:val="0000FF"/>
          <w:highlight w:val="yellow"/>
        </w:rPr>
        <w:t xml:space="preserve">Case: </w:t>
      </w:r>
      <w:r w:rsidRPr="000F49E7">
        <w:rPr>
          <w:highlight w:val="yellow"/>
        </w:rPr>
        <w:t>message records or logs, computer and network activity logs, hard drives, backup data, removable computer storage media such as tapes, discs and cards, printouts, document image files, Web pages, databases, spreadsheets, software, books, ledgers, journals, orders, invoices, bills, vouchers, checks statements, worksheets, summaries, compilations, computations, charts, diagrams, graphic presentations, drawings, films, charts, digital or chemical process photographs, video, phonographic, tape or digital recordings or transcripts thereof, drafts, jottings and notes, studies, or drafts of studies or other similar such material. Information that serves to identify, locate, or link such material, such as file inventories, file folders, indices, and metadata, is also included in this definition. Until the parties reach an agreement on a preservation plan or the Court orders otherwise, each party shall take reasonable steps to preserve all documents, data, and tangible things containing information potentially relevant to the subject matter of this litigation.  Counsel is under an obligation to the Court to exercise all reasonable efforts to identify and notify parties and nonparties, including employees of corporate or institutional parties.</w:t>
      </w:r>
      <w:r>
        <w:t xml:space="preserve"> </w:t>
      </w:r>
    </w:p>
    <w:p w14:paraId="3C1CC450" w14:textId="540B703B" w:rsidR="00631624" w:rsidRDefault="002D60E3" w:rsidP="000F49E7">
      <w:pPr>
        <w:numPr>
          <w:ilvl w:val="0"/>
          <w:numId w:val="1"/>
        </w:numPr>
        <w:spacing w:after="892"/>
        <w:ind w:left="-5" w:hanging="720"/>
      </w:pPr>
      <w:r w:rsidRPr="000F49E7">
        <w:rPr>
          <w:b/>
        </w:rPr>
        <w:t xml:space="preserve">Communications with the Court.  </w:t>
      </w:r>
      <w:r>
        <w:t xml:space="preserve">Unless otherwise ordered by this Court, all substantive communications with the Court shall be in writing, with copies to opposing counsel. Nevertheless, the Court recognizes that cooperation by and among Plaintiffs’ counsel and by and among </w:t>
      </w:r>
      <w:r>
        <w:lastRenderedPageBreak/>
        <w:t xml:space="preserve">Defendants’ counsel is essential for the orderly and expeditious resolution of this litigation.  The communication of information </w:t>
      </w:r>
      <w:proofErr w:type="gramStart"/>
      <w:r>
        <w:t>among</w:t>
      </w:r>
      <w:proofErr w:type="gramEnd"/>
      <w:r>
        <w:t xml:space="preserve"> and between Plaintiffs’ counsel and among and between Defendants’ counsel shall not be deemed a waiver of the attorney-client privilege or the protection afforded attorney’s work product, and cooperative efforts contemplated above shall in no way be used against any Plaintiff by Defendants or against a Defendant by any Plaintiff.  Nothing contained in this provision shall be construed to limit the rights of any party or counsel to assert the attorney-client privilege or attorney work product doctrine. </w:t>
      </w:r>
    </w:p>
    <w:p w14:paraId="36A3F446" w14:textId="77777777" w:rsidR="00631624" w:rsidRDefault="002D60E3">
      <w:pPr>
        <w:spacing w:after="266" w:line="259" w:lineRule="auto"/>
        <w:ind w:left="0" w:firstLine="0"/>
        <w:jc w:val="left"/>
      </w:pPr>
      <w:r>
        <w:t xml:space="preserve"> </w:t>
      </w:r>
    </w:p>
    <w:p w14:paraId="4ADEF8A5" w14:textId="77777777" w:rsidR="00631624" w:rsidRDefault="002D60E3">
      <w:pPr>
        <w:spacing w:after="428" w:line="265" w:lineRule="auto"/>
        <w:ind w:left="-5"/>
        <w:jc w:val="left"/>
      </w:pPr>
      <w:r>
        <w:rPr>
          <w:rFonts w:ascii="Century Schoolbook" w:eastAsia="Century Schoolbook" w:hAnsi="Century Schoolbook" w:cs="Century Schoolbook"/>
          <w:b/>
        </w:rPr>
        <w:t xml:space="preserve">IT IS SO ORDERED.                                    ENTERED: 8/17/20 </w:t>
      </w:r>
    </w:p>
    <w:p w14:paraId="66F5BC43" w14:textId="77777777" w:rsidR="00631624" w:rsidRDefault="002D60E3">
      <w:pPr>
        <w:tabs>
          <w:tab w:val="center" w:pos="6172"/>
        </w:tabs>
        <w:spacing w:after="0" w:line="259" w:lineRule="auto"/>
        <w:ind w:left="0" w:firstLine="0"/>
        <w:jc w:val="left"/>
      </w:pPr>
      <w:r>
        <w:rPr>
          <w:rFonts w:ascii="Century Schoolbook" w:eastAsia="Century Schoolbook" w:hAnsi="Century Schoolbook" w:cs="Century Schoolbook"/>
          <w:b/>
        </w:rPr>
        <w:t xml:space="preserve"> </w:t>
      </w:r>
      <w:r>
        <w:rPr>
          <w:rFonts w:ascii="Century Schoolbook" w:eastAsia="Century Schoolbook" w:hAnsi="Century Schoolbook" w:cs="Century Schoolbook"/>
          <w:b/>
        </w:rPr>
        <w:tab/>
      </w:r>
      <w:r>
        <w:rPr>
          <w:noProof/>
        </w:rPr>
        <w:drawing>
          <wp:inline distT="0" distB="0" distL="0" distR="0" wp14:anchorId="3C23B460" wp14:editId="40CBA390">
            <wp:extent cx="2066290" cy="552450"/>
            <wp:effectExtent l="0" t="0" r="0" b="0"/>
            <wp:docPr id="1421" name="Picture 1421"/>
            <wp:cNvGraphicFramePr/>
            <a:graphic xmlns:a="http://schemas.openxmlformats.org/drawingml/2006/main">
              <a:graphicData uri="http://schemas.openxmlformats.org/drawingml/2006/picture">
                <pic:pic xmlns:pic="http://schemas.openxmlformats.org/drawingml/2006/picture">
                  <pic:nvPicPr>
                    <pic:cNvPr id="1421" name="Picture 1421"/>
                    <pic:cNvPicPr/>
                  </pic:nvPicPr>
                  <pic:blipFill>
                    <a:blip r:embed="rId7"/>
                    <a:stretch>
                      <a:fillRect/>
                    </a:stretch>
                  </pic:blipFill>
                  <pic:spPr>
                    <a:xfrm>
                      <a:off x="0" y="0"/>
                      <a:ext cx="2066290" cy="552450"/>
                    </a:xfrm>
                    <a:prstGeom prst="rect">
                      <a:avLst/>
                    </a:prstGeom>
                  </pic:spPr>
                </pic:pic>
              </a:graphicData>
            </a:graphic>
          </wp:inline>
        </w:drawing>
      </w:r>
    </w:p>
    <w:p w14:paraId="7C444CDF" w14:textId="77777777" w:rsidR="00631624" w:rsidRDefault="002D60E3">
      <w:pPr>
        <w:tabs>
          <w:tab w:val="center" w:pos="7081"/>
        </w:tabs>
        <w:spacing w:after="0" w:line="265" w:lineRule="auto"/>
        <w:ind w:left="-15" w:firstLine="0"/>
        <w:jc w:val="left"/>
      </w:pPr>
      <w:r>
        <w:rPr>
          <w:rFonts w:ascii="Century Schoolbook" w:eastAsia="Century Schoolbook" w:hAnsi="Century Schoolbook" w:cs="Century Schoolbook"/>
          <w:b/>
        </w:rPr>
        <w:t xml:space="preserve">                                                                     </w:t>
      </w:r>
      <w:r>
        <w:rPr>
          <w:rFonts w:ascii="Century Schoolbook" w:eastAsia="Century Schoolbook" w:hAnsi="Century Schoolbook" w:cs="Century Schoolbook"/>
          <w:b/>
        </w:rPr>
        <w:tab/>
        <w:t xml:space="preserve">__________________________________ </w:t>
      </w:r>
    </w:p>
    <w:p w14:paraId="634614D9" w14:textId="77777777" w:rsidR="00631624" w:rsidRDefault="002D60E3">
      <w:pPr>
        <w:tabs>
          <w:tab w:val="center" w:pos="5874"/>
        </w:tabs>
        <w:spacing w:after="0" w:line="265" w:lineRule="auto"/>
        <w:ind w:left="-15" w:firstLine="0"/>
        <w:jc w:val="left"/>
      </w:pPr>
      <w:r>
        <w:rPr>
          <w:rFonts w:ascii="Century Schoolbook" w:eastAsia="Century Schoolbook" w:hAnsi="Century Schoolbook" w:cs="Century Schoolbook"/>
          <w:b/>
        </w:rPr>
        <w:t xml:space="preserve">                                                                     </w:t>
      </w:r>
      <w:r>
        <w:rPr>
          <w:rFonts w:ascii="Century Schoolbook" w:eastAsia="Century Schoolbook" w:hAnsi="Century Schoolbook" w:cs="Century Schoolbook"/>
          <w:b/>
        </w:rPr>
        <w:tab/>
        <w:t xml:space="preserve">JOHN Z. LEE </w:t>
      </w:r>
    </w:p>
    <w:p w14:paraId="129AC331" w14:textId="77777777" w:rsidR="00631624" w:rsidRDefault="002D60E3">
      <w:pPr>
        <w:tabs>
          <w:tab w:val="center" w:pos="6817"/>
        </w:tabs>
        <w:spacing w:after="0" w:line="265" w:lineRule="auto"/>
        <w:ind w:left="-15" w:firstLine="0"/>
        <w:jc w:val="left"/>
      </w:pPr>
      <w:r>
        <w:rPr>
          <w:rFonts w:ascii="Century Schoolbook" w:eastAsia="Century Schoolbook" w:hAnsi="Century Schoolbook" w:cs="Century Schoolbook"/>
          <w:b/>
        </w:rPr>
        <w:t xml:space="preserve">                                                                     </w:t>
      </w:r>
      <w:r>
        <w:rPr>
          <w:rFonts w:ascii="Century Schoolbook" w:eastAsia="Century Schoolbook" w:hAnsi="Century Schoolbook" w:cs="Century Schoolbook"/>
          <w:b/>
        </w:rPr>
        <w:tab/>
        <w:t>United States District Judge</w:t>
      </w:r>
      <w:r>
        <w:rPr>
          <w:rFonts w:ascii="Century Schoolbook" w:eastAsia="Century Schoolbook" w:hAnsi="Century Schoolbook" w:cs="Century Schoolbook"/>
        </w:rPr>
        <w:t xml:space="preserve"> </w:t>
      </w:r>
    </w:p>
    <w:p w14:paraId="563EFA07" w14:textId="77777777" w:rsidR="00631624" w:rsidRDefault="002D60E3">
      <w:pPr>
        <w:spacing w:after="252" w:line="259" w:lineRule="auto"/>
        <w:ind w:left="0" w:firstLine="0"/>
        <w:jc w:val="left"/>
      </w:pPr>
      <w:r>
        <w:t xml:space="preserve"> </w:t>
      </w:r>
    </w:p>
    <w:p w14:paraId="490AC678" w14:textId="77777777" w:rsidR="00631624" w:rsidRDefault="002D60E3">
      <w:pPr>
        <w:spacing w:after="0" w:line="259" w:lineRule="auto"/>
        <w:ind w:left="0" w:firstLine="0"/>
        <w:jc w:val="left"/>
      </w:pPr>
      <w:r>
        <w:t xml:space="preserve"> </w:t>
      </w:r>
    </w:p>
    <w:p w14:paraId="3D6CC0F6" w14:textId="77777777" w:rsidR="00631624" w:rsidRDefault="00631624">
      <w:pPr>
        <w:sectPr w:rsidR="00631624">
          <w:footerReference w:type="even" r:id="rId8"/>
          <w:footerReference w:type="default" r:id="rId9"/>
          <w:footerReference w:type="first" r:id="rId10"/>
          <w:pgSz w:w="12240" w:h="15840"/>
          <w:pgMar w:top="275" w:right="1436" w:bottom="1703" w:left="1440" w:header="720" w:footer="720" w:gutter="0"/>
          <w:cols w:space="720"/>
          <w:titlePg/>
        </w:sectPr>
      </w:pPr>
    </w:p>
    <w:p w14:paraId="10336F44" w14:textId="77777777" w:rsidR="00631624" w:rsidRDefault="002D60E3">
      <w:pPr>
        <w:spacing w:after="898" w:line="259" w:lineRule="auto"/>
        <w:ind w:left="474" w:firstLine="0"/>
        <w:jc w:val="left"/>
      </w:pPr>
      <w:r>
        <w:rPr>
          <w:rFonts w:ascii="Calibri" w:eastAsia="Calibri" w:hAnsi="Calibri" w:cs="Calibri"/>
          <w:color w:val="0000FF"/>
        </w:rPr>
        <w:lastRenderedPageBreak/>
        <w:t xml:space="preserve">Case: 1:20-cv-04699 Document #: 4-1 Filed: 08/17/20 Page 1 of 1 </w:t>
      </w:r>
      <w:proofErr w:type="spellStart"/>
      <w:r>
        <w:rPr>
          <w:rFonts w:ascii="Calibri" w:eastAsia="Calibri" w:hAnsi="Calibri" w:cs="Calibri"/>
          <w:color w:val="0000FF"/>
        </w:rPr>
        <w:t>PageID</w:t>
      </w:r>
      <w:proofErr w:type="spellEnd"/>
      <w:r>
        <w:rPr>
          <w:rFonts w:ascii="Calibri" w:eastAsia="Calibri" w:hAnsi="Calibri" w:cs="Calibri"/>
          <w:color w:val="0000FF"/>
        </w:rPr>
        <w:t xml:space="preserve"> #:53</w:t>
      </w:r>
    </w:p>
    <w:p w14:paraId="20404BA3" w14:textId="77777777" w:rsidR="00631624" w:rsidRDefault="002D60E3">
      <w:pPr>
        <w:spacing w:after="218" w:line="259" w:lineRule="auto"/>
        <w:ind w:left="79"/>
        <w:jc w:val="center"/>
      </w:pPr>
      <w:r>
        <w:rPr>
          <w:b/>
          <w:u w:val="single" w:color="000000"/>
        </w:rPr>
        <w:t>CMO 1 - EXHIBIT A</w:t>
      </w:r>
      <w:r>
        <w:rPr>
          <w:b/>
        </w:rPr>
        <w:t xml:space="preserve"> </w:t>
      </w:r>
    </w:p>
    <w:p w14:paraId="5DA26E13" w14:textId="77777777" w:rsidR="00631624" w:rsidRDefault="002D60E3">
      <w:pPr>
        <w:spacing w:after="0" w:line="259" w:lineRule="auto"/>
        <w:ind w:left="2160" w:firstLine="0"/>
        <w:jc w:val="left"/>
      </w:pPr>
      <w:r>
        <w:t xml:space="preserve"> </w:t>
      </w:r>
    </w:p>
    <w:tbl>
      <w:tblPr>
        <w:tblStyle w:val="TableGrid"/>
        <w:tblW w:w="5029" w:type="dxa"/>
        <w:tblInd w:w="2160" w:type="dxa"/>
        <w:tblLook w:val="04A0" w:firstRow="1" w:lastRow="0" w:firstColumn="1" w:lastColumn="0" w:noHBand="0" w:noVBand="1"/>
      </w:tblPr>
      <w:tblGrid>
        <w:gridCol w:w="2161"/>
        <w:gridCol w:w="2868"/>
      </w:tblGrid>
      <w:tr w:rsidR="00631624" w14:paraId="293A88FD" w14:textId="77777777">
        <w:trPr>
          <w:trHeight w:val="392"/>
        </w:trPr>
        <w:tc>
          <w:tcPr>
            <w:tcW w:w="2161" w:type="dxa"/>
            <w:tcBorders>
              <w:top w:val="nil"/>
              <w:left w:val="nil"/>
              <w:bottom w:val="nil"/>
              <w:right w:val="nil"/>
            </w:tcBorders>
          </w:tcPr>
          <w:p w14:paraId="3B65C225" w14:textId="77777777" w:rsidR="00631624" w:rsidRDefault="002D60E3">
            <w:pPr>
              <w:spacing w:after="0" w:line="259" w:lineRule="auto"/>
              <w:ind w:left="0" w:firstLine="0"/>
              <w:jc w:val="left"/>
            </w:pPr>
            <w:r>
              <w:t xml:space="preserve">1:20-cv-02810  </w:t>
            </w:r>
          </w:p>
        </w:tc>
        <w:tc>
          <w:tcPr>
            <w:tcW w:w="2868" w:type="dxa"/>
            <w:tcBorders>
              <w:top w:val="nil"/>
              <w:left w:val="nil"/>
              <w:bottom w:val="nil"/>
              <w:right w:val="nil"/>
            </w:tcBorders>
          </w:tcPr>
          <w:p w14:paraId="49D5C6DB" w14:textId="77777777" w:rsidR="00631624" w:rsidRDefault="002D60E3">
            <w:pPr>
              <w:spacing w:after="0" w:line="259" w:lineRule="auto"/>
              <w:ind w:left="0" w:firstLine="0"/>
              <w:jc w:val="left"/>
            </w:pPr>
            <w:r>
              <w:rPr>
                <w:i/>
              </w:rPr>
              <w:t>E.R. v. TikTok Inc., et al.</w:t>
            </w:r>
            <w:r>
              <w:t xml:space="preserve"> </w:t>
            </w:r>
          </w:p>
        </w:tc>
      </w:tr>
      <w:tr w:rsidR="00631624" w14:paraId="50F34E30" w14:textId="77777777">
        <w:trPr>
          <w:trHeight w:val="517"/>
        </w:trPr>
        <w:tc>
          <w:tcPr>
            <w:tcW w:w="2161" w:type="dxa"/>
            <w:tcBorders>
              <w:top w:val="nil"/>
              <w:left w:val="nil"/>
              <w:bottom w:val="nil"/>
              <w:right w:val="nil"/>
            </w:tcBorders>
            <w:vAlign w:val="center"/>
          </w:tcPr>
          <w:p w14:paraId="45A62C0D" w14:textId="77777777" w:rsidR="00631624" w:rsidRDefault="002D60E3">
            <w:pPr>
              <w:spacing w:after="0" w:line="259" w:lineRule="auto"/>
              <w:ind w:left="0" w:firstLine="0"/>
              <w:jc w:val="left"/>
            </w:pPr>
            <w:r>
              <w:t xml:space="preserve">1:20-cv-02883  </w:t>
            </w:r>
          </w:p>
        </w:tc>
        <w:tc>
          <w:tcPr>
            <w:tcW w:w="2868" w:type="dxa"/>
            <w:tcBorders>
              <w:top w:val="nil"/>
              <w:left w:val="nil"/>
              <w:bottom w:val="nil"/>
              <w:right w:val="nil"/>
            </w:tcBorders>
            <w:vAlign w:val="center"/>
          </w:tcPr>
          <w:p w14:paraId="12F4B5E8" w14:textId="77777777" w:rsidR="00631624" w:rsidRDefault="002D60E3">
            <w:pPr>
              <w:spacing w:after="0" w:line="259" w:lineRule="auto"/>
              <w:ind w:left="0" w:firstLine="0"/>
              <w:jc w:val="left"/>
            </w:pPr>
            <w:r>
              <w:rPr>
                <w:i/>
              </w:rPr>
              <w:t>Marks v. TikTok Inc.</w:t>
            </w:r>
            <w:r>
              <w:t xml:space="preserve"> </w:t>
            </w:r>
          </w:p>
        </w:tc>
      </w:tr>
      <w:tr w:rsidR="00631624" w14:paraId="7E6C8160" w14:textId="77777777">
        <w:trPr>
          <w:trHeight w:val="517"/>
        </w:trPr>
        <w:tc>
          <w:tcPr>
            <w:tcW w:w="2161" w:type="dxa"/>
            <w:tcBorders>
              <w:top w:val="nil"/>
              <w:left w:val="nil"/>
              <w:bottom w:val="nil"/>
              <w:right w:val="nil"/>
            </w:tcBorders>
            <w:vAlign w:val="center"/>
          </w:tcPr>
          <w:p w14:paraId="210B572A" w14:textId="77777777" w:rsidR="00631624" w:rsidRDefault="002D60E3">
            <w:pPr>
              <w:spacing w:after="0" w:line="259" w:lineRule="auto"/>
              <w:ind w:left="0" w:firstLine="0"/>
              <w:jc w:val="left"/>
            </w:pPr>
            <w:r>
              <w:t xml:space="preserve">1:20-cv-02884  </w:t>
            </w:r>
          </w:p>
        </w:tc>
        <w:tc>
          <w:tcPr>
            <w:tcW w:w="2868" w:type="dxa"/>
            <w:tcBorders>
              <w:top w:val="nil"/>
              <w:left w:val="nil"/>
              <w:bottom w:val="nil"/>
              <w:right w:val="nil"/>
            </w:tcBorders>
            <w:vAlign w:val="center"/>
          </w:tcPr>
          <w:p w14:paraId="4B1BA3EC" w14:textId="77777777" w:rsidR="00631624" w:rsidRDefault="002D60E3">
            <w:pPr>
              <w:spacing w:after="0" w:line="259" w:lineRule="auto"/>
              <w:ind w:left="0" w:firstLine="0"/>
              <w:jc w:val="left"/>
            </w:pPr>
            <w:r>
              <w:rPr>
                <w:i/>
              </w:rPr>
              <w:t>D.H. v. TikTok Inc., et al.</w:t>
            </w:r>
            <w:r>
              <w:t xml:space="preserve"> </w:t>
            </w:r>
          </w:p>
        </w:tc>
      </w:tr>
      <w:tr w:rsidR="00631624" w14:paraId="47ACBF3C" w14:textId="77777777">
        <w:trPr>
          <w:trHeight w:val="517"/>
        </w:trPr>
        <w:tc>
          <w:tcPr>
            <w:tcW w:w="2161" w:type="dxa"/>
            <w:tcBorders>
              <w:top w:val="nil"/>
              <w:left w:val="nil"/>
              <w:bottom w:val="nil"/>
              <w:right w:val="nil"/>
            </w:tcBorders>
            <w:vAlign w:val="center"/>
          </w:tcPr>
          <w:p w14:paraId="23AC4E9E" w14:textId="77777777" w:rsidR="00631624" w:rsidRDefault="002D60E3">
            <w:pPr>
              <w:spacing w:after="0" w:line="259" w:lineRule="auto"/>
              <w:ind w:left="0" w:firstLine="0"/>
              <w:jc w:val="left"/>
            </w:pPr>
            <w:r>
              <w:t xml:space="preserve">1:20-cv-02889  </w:t>
            </w:r>
          </w:p>
        </w:tc>
        <w:tc>
          <w:tcPr>
            <w:tcW w:w="2868" w:type="dxa"/>
            <w:tcBorders>
              <w:top w:val="nil"/>
              <w:left w:val="nil"/>
              <w:bottom w:val="nil"/>
              <w:right w:val="nil"/>
            </w:tcBorders>
            <w:vAlign w:val="center"/>
          </w:tcPr>
          <w:p w14:paraId="2450B7ED" w14:textId="77777777" w:rsidR="00631624" w:rsidRDefault="002D60E3">
            <w:pPr>
              <w:spacing w:after="0" w:line="259" w:lineRule="auto"/>
              <w:ind w:left="0" w:firstLine="0"/>
              <w:jc w:val="left"/>
            </w:pPr>
            <w:r>
              <w:rPr>
                <w:i/>
              </w:rPr>
              <w:t>L.B. v. TikTok Inc., et al.</w:t>
            </w:r>
            <w:r>
              <w:t xml:space="preserve"> </w:t>
            </w:r>
          </w:p>
        </w:tc>
      </w:tr>
      <w:tr w:rsidR="00631624" w14:paraId="689982BD" w14:textId="77777777">
        <w:trPr>
          <w:trHeight w:val="518"/>
        </w:trPr>
        <w:tc>
          <w:tcPr>
            <w:tcW w:w="2161" w:type="dxa"/>
            <w:tcBorders>
              <w:top w:val="nil"/>
              <w:left w:val="nil"/>
              <w:bottom w:val="nil"/>
              <w:right w:val="nil"/>
            </w:tcBorders>
            <w:vAlign w:val="center"/>
          </w:tcPr>
          <w:p w14:paraId="49314D38" w14:textId="77777777" w:rsidR="00631624" w:rsidRDefault="002D60E3">
            <w:pPr>
              <w:spacing w:after="0" w:line="259" w:lineRule="auto"/>
              <w:ind w:left="0" w:firstLine="0"/>
              <w:jc w:val="left"/>
            </w:pPr>
            <w:r>
              <w:t xml:space="preserve">1:20-cv-03007  </w:t>
            </w:r>
          </w:p>
        </w:tc>
        <w:tc>
          <w:tcPr>
            <w:tcW w:w="2868" w:type="dxa"/>
            <w:tcBorders>
              <w:top w:val="nil"/>
              <w:left w:val="nil"/>
              <w:bottom w:val="nil"/>
              <w:right w:val="nil"/>
            </w:tcBorders>
            <w:vAlign w:val="center"/>
          </w:tcPr>
          <w:p w14:paraId="036C30D1" w14:textId="77777777" w:rsidR="00631624" w:rsidRDefault="002D60E3">
            <w:pPr>
              <w:spacing w:after="0" w:line="259" w:lineRule="auto"/>
              <w:ind w:left="0" w:firstLine="0"/>
              <w:jc w:val="left"/>
            </w:pPr>
            <w:r>
              <w:rPr>
                <w:i/>
              </w:rPr>
              <w:t>H.S. v. TikTok Inc., et al.</w:t>
            </w:r>
            <w:r>
              <w:t xml:space="preserve"> </w:t>
            </w:r>
          </w:p>
        </w:tc>
      </w:tr>
      <w:tr w:rsidR="00631624" w14:paraId="27D9C2B5" w14:textId="77777777">
        <w:trPr>
          <w:trHeight w:val="519"/>
        </w:trPr>
        <w:tc>
          <w:tcPr>
            <w:tcW w:w="2161" w:type="dxa"/>
            <w:tcBorders>
              <w:top w:val="nil"/>
              <w:left w:val="nil"/>
              <w:bottom w:val="nil"/>
              <w:right w:val="nil"/>
            </w:tcBorders>
            <w:vAlign w:val="center"/>
          </w:tcPr>
          <w:p w14:paraId="64396B11" w14:textId="77777777" w:rsidR="00631624" w:rsidRDefault="002D60E3">
            <w:pPr>
              <w:spacing w:after="0" w:line="259" w:lineRule="auto"/>
              <w:ind w:left="0" w:firstLine="0"/>
              <w:jc w:val="left"/>
            </w:pPr>
            <w:r>
              <w:t xml:space="preserve">1:20-cv-03771  </w:t>
            </w:r>
          </w:p>
        </w:tc>
        <w:tc>
          <w:tcPr>
            <w:tcW w:w="2868" w:type="dxa"/>
            <w:tcBorders>
              <w:top w:val="nil"/>
              <w:left w:val="nil"/>
              <w:bottom w:val="nil"/>
              <w:right w:val="nil"/>
            </w:tcBorders>
            <w:vAlign w:val="center"/>
          </w:tcPr>
          <w:p w14:paraId="09CD6649" w14:textId="77777777" w:rsidR="00631624" w:rsidRDefault="002D60E3">
            <w:pPr>
              <w:spacing w:after="0" w:line="259" w:lineRule="auto"/>
              <w:ind w:left="0" w:firstLine="0"/>
              <w:jc w:val="left"/>
            </w:pPr>
            <w:r>
              <w:rPr>
                <w:i/>
              </w:rPr>
              <w:t>Minors v. TikTok Inc., et al.</w:t>
            </w:r>
            <w:r>
              <w:t xml:space="preserve"> </w:t>
            </w:r>
          </w:p>
        </w:tc>
      </w:tr>
      <w:tr w:rsidR="00631624" w14:paraId="3923CACC" w14:textId="77777777">
        <w:trPr>
          <w:trHeight w:val="517"/>
        </w:trPr>
        <w:tc>
          <w:tcPr>
            <w:tcW w:w="2161" w:type="dxa"/>
            <w:tcBorders>
              <w:top w:val="nil"/>
              <w:left w:val="nil"/>
              <w:bottom w:val="nil"/>
              <w:right w:val="nil"/>
            </w:tcBorders>
            <w:vAlign w:val="center"/>
          </w:tcPr>
          <w:p w14:paraId="680F5877" w14:textId="77777777" w:rsidR="00631624" w:rsidRDefault="002D60E3">
            <w:pPr>
              <w:spacing w:after="0" w:line="259" w:lineRule="auto"/>
              <w:ind w:left="0" w:firstLine="0"/>
              <w:jc w:val="left"/>
            </w:pPr>
            <w:r>
              <w:t xml:space="preserve">1:20-cv-04170  </w:t>
            </w:r>
          </w:p>
        </w:tc>
        <w:tc>
          <w:tcPr>
            <w:tcW w:w="2868" w:type="dxa"/>
            <w:tcBorders>
              <w:top w:val="nil"/>
              <w:left w:val="nil"/>
              <w:bottom w:val="nil"/>
              <w:right w:val="nil"/>
            </w:tcBorders>
            <w:vAlign w:val="center"/>
          </w:tcPr>
          <w:p w14:paraId="2FC1CEB5" w14:textId="77777777" w:rsidR="00631624" w:rsidRDefault="002D60E3">
            <w:pPr>
              <w:spacing w:after="0" w:line="259" w:lineRule="auto"/>
              <w:ind w:left="0" w:firstLine="0"/>
            </w:pPr>
            <w:r>
              <w:rPr>
                <w:i/>
              </w:rPr>
              <w:t>Kukovec v. TikTok Inc., et al.</w:t>
            </w:r>
            <w:r>
              <w:t xml:space="preserve"> </w:t>
            </w:r>
          </w:p>
        </w:tc>
      </w:tr>
      <w:tr w:rsidR="00631624" w14:paraId="5542FC97" w14:textId="77777777">
        <w:trPr>
          <w:trHeight w:val="517"/>
        </w:trPr>
        <w:tc>
          <w:tcPr>
            <w:tcW w:w="2161" w:type="dxa"/>
            <w:tcBorders>
              <w:top w:val="nil"/>
              <w:left w:val="nil"/>
              <w:bottom w:val="nil"/>
              <w:right w:val="nil"/>
            </w:tcBorders>
            <w:vAlign w:val="center"/>
          </w:tcPr>
          <w:p w14:paraId="2D27D42B" w14:textId="77777777" w:rsidR="00631624" w:rsidRDefault="002D60E3">
            <w:pPr>
              <w:spacing w:after="0" w:line="259" w:lineRule="auto"/>
              <w:ind w:left="0" w:firstLine="0"/>
              <w:jc w:val="left"/>
            </w:pPr>
            <w:r>
              <w:t xml:space="preserve">1:20-cv-04731  </w:t>
            </w:r>
          </w:p>
        </w:tc>
        <w:tc>
          <w:tcPr>
            <w:tcW w:w="2868" w:type="dxa"/>
            <w:tcBorders>
              <w:top w:val="nil"/>
              <w:left w:val="nil"/>
              <w:bottom w:val="nil"/>
              <w:right w:val="nil"/>
            </w:tcBorders>
            <w:vAlign w:val="center"/>
          </w:tcPr>
          <w:p w14:paraId="6C034A36" w14:textId="77777777" w:rsidR="00631624" w:rsidRDefault="002D60E3">
            <w:pPr>
              <w:spacing w:after="0" w:line="259" w:lineRule="auto"/>
              <w:ind w:left="0" w:firstLine="0"/>
              <w:jc w:val="left"/>
            </w:pPr>
            <w:r>
              <w:rPr>
                <w:i/>
              </w:rPr>
              <w:t>A.S. v. TikTok Inc., et al.</w:t>
            </w:r>
            <w:r>
              <w:t xml:space="preserve"> </w:t>
            </w:r>
          </w:p>
        </w:tc>
      </w:tr>
      <w:tr w:rsidR="00631624" w14:paraId="0DC5C435" w14:textId="77777777">
        <w:trPr>
          <w:trHeight w:val="517"/>
        </w:trPr>
        <w:tc>
          <w:tcPr>
            <w:tcW w:w="2161" w:type="dxa"/>
            <w:tcBorders>
              <w:top w:val="nil"/>
              <w:left w:val="nil"/>
              <w:bottom w:val="nil"/>
              <w:right w:val="nil"/>
            </w:tcBorders>
            <w:vAlign w:val="center"/>
          </w:tcPr>
          <w:p w14:paraId="05E11A2E" w14:textId="77777777" w:rsidR="00631624" w:rsidRDefault="002D60E3">
            <w:pPr>
              <w:spacing w:after="0" w:line="259" w:lineRule="auto"/>
              <w:ind w:left="0" w:firstLine="0"/>
              <w:jc w:val="left"/>
            </w:pPr>
            <w:r>
              <w:t xml:space="preserve">1:20-cv-04723  </w:t>
            </w:r>
          </w:p>
        </w:tc>
        <w:tc>
          <w:tcPr>
            <w:tcW w:w="2868" w:type="dxa"/>
            <w:tcBorders>
              <w:top w:val="nil"/>
              <w:left w:val="nil"/>
              <w:bottom w:val="nil"/>
              <w:right w:val="nil"/>
            </w:tcBorders>
            <w:vAlign w:val="center"/>
          </w:tcPr>
          <w:p w14:paraId="27B60AB7" w14:textId="77777777" w:rsidR="00631624" w:rsidRDefault="002D60E3">
            <w:pPr>
              <w:spacing w:after="0" w:line="259" w:lineRule="auto"/>
              <w:ind w:left="0" w:firstLine="0"/>
              <w:jc w:val="left"/>
            </w:pPr>
            <w:r>
              <w:rPr>
                <w:i/>
              </w:rPr>
              <w:t>Hong v. TikTok Inc., et al.</w:t>
            </w:r>
            <w:r>
              <w:t xml:space="preserve"> </w:t>
            </w:r>
          </w:p>
        </w:tc>
      </w:tr>
      <w:tr w:rsidR="00631624" w14:paraId="5671D38B" w14:textId="77777777">
        <w:trPr>
          <w:trHeight w:val="517"/>
        </w:trPr>
        <w:tc>
          <w:tcPr>
            <w:tcW w:w="2161" w:type="dxa"/>
            <w:tcBorders>
              <w:top w:val="nil"/>
              <w:left w:val="nil"/>
              <w:bottom w:val="nil"/>
              <w:right w:val="nil"/>
            </w:tcBorders>
            <w:vAlign w:val="center"/>
          </w:tcPr>
          <w:p w14:paraId="7704E1CB" w14:textId="77777777" w:rsidR="00631624" w:rsidRDefault="002D60E3">
            <w:pPr>
              <w:spacing w:after="0" w:line="259" w:lineRule="auto"/>
              <w:ind w:left="0" w:firstLine="0"/>
              <w:jc w:val="left"/>
            </w:pPr>
            <w:r>
              <w:t xml:space="preserve">1:20-cv-04724  </w:t>
            </w:r>
          </w:p>
        </w:tc>
        <w:tc>
          <w:tcPr>
            <w:tcW w:w="2868" w:type="dxa"/>
            <w:tcBorders>
              <w:top w:val="nil"/>
              <w:left w:val="nil"/>
              <w:bottom w:val="nil"/>
              <w:right w:val="nil"/>
            </w:tcBorders>
            <w:vAlign w:val="center"/>
          </w:tcPr>
          <w:p w14:paraId="11571FF6" w14:textId="77777777" w:rsidR="00631624" w:rsidRDefault="002D60E3">
            <w:pPr>
              <w:spacing w:after="0" w:line="259" w:lineRule="auto"/>
              <w:ind w:left="0" w:firstLine="0"/>
              <w:jc w:val="left"/>
            </w:pPr>
            <w:r>
              <w:rPr>
                <w:i/>
              </w:rPr>
              <w:t>P.S. v. TikTok Inc., et al.</w:t>
            </w:r>
            <w:r>
              <w:t xml:space="preserve"> </w:t>
            </w:r>
          </w:p>
        </w:tc>
      </w:tr>
      <w:tr w:rsidR="00631624" w14:paraId="21BDDE03" w14:textId="77777777">
        <w:trPr>
          <w:trHeight w:val="517"/>
        </w:trPr>
        <w:tc>
          <w:tcPr>
            <w:tcW w:w="2161" w:type="dxa"/>
            <w:tcBorders>
              <w:top w:val="nil"/>
              <w:left w:val="nil"/>
              <w:bottom w:val="nil"/>
              <w:right w:val="nil"/>
            </w:tcBorders>
            <w:vAlign w:val="center"/>
          </w:tcPr>
          <w:p w14:paraId="67CD57A8" w14:textId="77777777" w:rsidR="00631624" w:rsidRDefault="002D60E3">
            <w:pPr>
              <w:spacing w:after="0" w:line="259" w:lineRule="auto"/>
              <w:ind w:left="0" w:firstLine="0"/>
              <w:jc w:val="left"/>
            </w:pPr>
            <w:r>
              <w:t xml:space="preserve">1:20-cv-04725  </w:t>
            </w:r>
          </w:p>
        </w:tc>
        <w:tc>
          <w:tcPr>
            <w:tcW w:w="2868" w:type="dxa"/>
            <w:tcBorders>
              <w:top w:val="nil"/>
              <w:left w:val="nil"/>
              <w:bottom w:val="nil"/>
              <w:right w:val="nil"/>
            </w:tcBorders>
            <w:vAlign w:val="center"/>
          </w:tcPr>
          <w:p w14:paraId="4BA8B1E8" w14:textId="77777777" w:rsidR="00631624" w:rsidRDefault="002D60E3">
            <w:pPr>
              <w:spacing w:after="0" w:line="259" w:lineRule="auto"/>
              <w:ind w:left="0" w:firstLine="0"/>
              <w:jc w:val="left"/>
            </w:pPr>
            <w:r>
              <w:rPr>
                <w:i/>
              </w:rPr>
              <w:t>D.M. v. TikTok Inc., et al.</w:t>
            </w:r>
            <w:r>
              <w:t xml:space="preserve"> </w:t>
            </w:r>
          </w:p>
        </w:tc>
      </w:tr>
      <w:tr w:rsidR="00631624" w14:paraId="5BF537B8" w14:textId="77777777">
        <w:trPr>
          <w:trHeight w:val="517"/>
        </w:trPr>
        <w:tc>
          <w:tcPr>
            <w:tcW w:w="2161" w:type="dxa"/>
            <w:tcBorders>
              <w:top w:val="nil"/>
              <w:left w:val="nil"/>
              <w:bottom w:val="nil"/>
              <w:right w:val="nil"/>
            </w:tcBorders>
            <w:vAlign w:val="center"/>
          </w:tcPr>
          <w:p w14:paraId="0BFACC92" w14:textId="77777777" w:rsidR="00631624" w:rsidRDefault="002D60E3">
            <w:pPr>
              <w:spacing w:after="0" w:line="259" w:lineRule="auto"/>
              <w:ind w:left="0" w:firstLine="0"/>
              <w:jc w:val="left"/>
            </w:pPr>
            <w:r>
              <w:t xml:space="preserve">1:20-cv-04728  </w:t>
            </w:r>
          </w:p>
        </w:tc>
        <w:tc>
          <w:tcPr>
            <w:tcW w:w="2868" w:type="dxa"/>
            <w:tcBorders>
              <w:top w:val="nil"/>
              <w:left w:val="nil"/>
              <w:bottom w:val="nil"/>
              <w:right w:val="nil"/>
            </w:tcBorders>
            <w:vAlign w:val="center"/>
          </w:tcPr>
          <w:p w14:paraId="2F86A859" w14:textId="77777777" w:rsidR="00631624" w:rsidRDefault="002D60E3">
            <w:pPr>
              <w:spacing w:after="0" w:line="259" w:lineRule="auto"/>
              <w:ind w:left="0" w:firstLine="0"/>
              <w:jc w:val="left"/>
            </w:pPr>
            <w:r>
              <w:rPr>
                <w:i/>
              </w:rPr>
              <w:t>R.S. v. TikTok Inc., et al.</w:t>
            </w:r>
            <w:r>
              <w:t xml:space="preserve"> </w:t>
            </w:r>
          </w:p>
        </w:tc>
      </w:tr>
      <w:tr w:rsidR="00631624" w14:paraId="7E53D33D" w14:textId="77777777">
        <w:trPr>
          <w:trHeight w:val="392"/>
        </w:trPr>
        <w:tc>
          <w:tcPr>
            <w:tcW w:w="2161" w:type="dxa"/>
            <w:tcBorders>
              <w:top w:val="nil"/>
              <w:left w:val="nil"/>
              <w:bottom w:val="nil"/>
              <w:right w:val="nil"/>
            </w:tcBorders>
            <w:vAlign w:val="bottom"/>
          </w:tcPr>
          <w:p w14:paraId="6967826E" w14:textId="77777777" w:rsidR="00631624" w:rsidRDefault="002D60E3">
            <w:pPr>
              <w:spacing w:after="0" w:line="259" w:lineRule="auto"/>
              <w:ind w:left="0" w:firstLine="0"/>
              <w:jc w:val="left"/>
            </w:pPr>
            <w:r>
              <w:t xml:space="preserve">1:20-cv-04729  </w:t>
            </w:r>
          </w:p>
        </w:tc>
        <w:tc>
          <w:tcPr>
            <w:tcW w:w="2868" w:type="dxa"/>
            <w:tcBorders>
              <w:top w:val="nil"/>
              <w:left w:val="nil"/>
              <w:bottom w:val="nil"/>
              <w:right w:val="nil"/>
            </w:tcBorders>
            <w:vAlign w:val="bottom"/>
          </w:tcPr>
          <w:p w14:paraId="4303A814" w14:textId="77777777" w:rsidR="00631624" w:rsidRDefault="002D60E3">
            <w:pPr>
              <w:spacing w:after="0" w:line="259" w:lineRule="auto"/>
              <w:ind w:left="0" w:firstLine="0"/>
              <w:jc w:val="left"/>
            </w:pPr>
            <w:r>
              <w:rPr>
                <w:i/>
              </w:rPr>
              <w:t>S.A. v. TikTok Inc., et al.</w:t>
            </w:r>
            <w:r>
              <w:t xml:space="preserve"> </w:t>
            </w:r>
          </w:p>
        </w:tc>
      </w:tr>
    </w:tbl>
    <w:p w14:paraId="70DBD267" w14:textId="77777777" w:rsidR="002D60E3" w:rsidRDefault="002D60E3"/>
    <w:sectPr w:rsidR="002D60E3">
      <w:footerReference w:type="even" r:id="rId11"/>
      <w:footerReference w:type="defaul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2E69" w14:textId="77777777" w:rsidR="007B713A" w:rsidRDefault="007B713A">
      <w:pPr>
        <w:spacing w:after="0" w:line="240" w:lineRule="auto"/>
      </w:pPr>
      <w:r>
        <w:separator/>
      </w:r>
    </w:p>
  </w:endnote>
  <w:endnote w:type="continuationSeparator" w:id="0">
    <w:p w14:paraId="084A1DE8" w14:textId="77777777" w:rsidR="007B713A" w:rsidRDefault="007B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2121" w14:textId="77777777" w:rsidR="00631624" w:rsidRDefault="002D60E3">
    <w:pPr>
      <w:spacing w:after="0" w:line="259" w:lineRule="auto"/>
      <w:ind w:left="0" w:right="3" w:firstLine="0"/>
      <w:jc w:val="center"/>
    </w:pPr>
    <w:r>
      <w:fldChar w:fldCharType="begin"/>
    </w:r>
    <w:r>
      <w:instrText xml:space="preserve"> PAGE   \* MERGEFORMAT </w:instrText>
    </w:r>
    <w:r>
      <w:fldChar w:fldCharType="separate"/>
    </w:r>
    <w:r>
      <w:t>2</w:t>
    </w:r>
    <w:r>
      <w:fldChar w:fldCharType="end"/>
    </w:r>
    <w:r>
      <w:t xml:space="preserve"> </w:t>
    </w:r>
  </w:p>
  <w:p w14:paraId="31ECC4DB" w14:textId="77777777" w:rsidR="00631624" w:rsidRDefault="002D60E3">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D31E" w14:textId="77777777" w:rsidR="00631624" w:rsidRDefault="002D60E3">
    <w:pPr>
      <w:spacing w:after="0" w:line="259" w:lineRule="auto"/>
      <w:ind w:left="0" w:right="3" w:firstLine="0"/>
      <w:jc w:val="center"/>
    </w:pPr>
    <w:r>
      <w:fldChar w:fldCharType="begin"/>
    </w:r>
    <w:r>
      <w:instrText xml:space="preserve"> PAGE   \* MERGEFORMAT </w:instrText>
    </w:r>
    <w:r>
      <w:fldChar w:fldCharType="separate"/>
    </w:r>
    <w:r>
      <w:t>2</w:t>
    </w:r>
    <w:r>
      <w:fldChar w:fldCharType="end"/>
    </w:r>
    <w:r>
      <w:t xml:space="preserve"> </w:t>
    </w:r>
  </w:p>
  <w:p w14:paraId="14A22CFF" w14:textId="77777777" w:rsidR="00631624" w:rsidRDefault="002D60E3">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9719" w14:textId="77777777" w:rsidR="00631624" w:rsidRDefault="00631624">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9613" w14:textId="77777777" w:rsidR="00631624" w:rsidRDefault="00631624">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31E6" w14:textId="77777777" w:rsidR="00631624" w:rsidRDefault="00631624">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ED2D" w14:textId="77777777" w:rsidR="00631624" w:rsidRDefault="0063162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D347" w14:textId="77777777" w:rsidR="007B713A" w:rsidRDefault="007B713A">
      <w:pPr>
        <w:spacing w:after="0" w:line="240" w:lineRule="auto"/>
      </w:pPr>
      <w:r>
        <w:separator/>
      </w:r>
    </w:p>
  </w:footnote>
  <w:footnote w:type="continuationSeparator" w:id="0">
    <w:p w14:paraId="3DF46253" w14:textId="77777777" w:rsidR="007B713A" w:rsidRDefault="007B71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19B0"/>
    <w:multiLevelType w:val="hybridMultilevel"/>
    <w:tmpl w:val="495CC692"/>
    <w:lvl w:ilvl="0" w:tplc="68865F8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3CEC88">
      <w:start w:val="1"/>
      <w:numFmt w:val="lowerLetter"/>
      <w:lvlText w:val="%2"/>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D4E746">
      <w:start w:val="1"/>
      <w:numFmt w:val="lowerRoman"/>
      <w:lvlText w:val="%3"/>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E62574">
      <w:start w:val="1"/>
      <w:numFmt w:val="decimal"/>
      <w:lvlText w:val="%4"/>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DA37FE">
      <w:start w:val="1"/>
      <w:numFmt w:val="lowerLetter"/>
      <w:lvlText w:val="%5"/>
      <w:lvlJc w:val="left"/>
      <w:pPr>
        <w:ind w:left="2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0CFBA">
      <w:start w:val="1"/>
      <w:numFmt w:val="upperLetter"/>
      <w:lvlRestart w:val="0"/>
      <w:lvlText w:val="(%6)"/>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8CA9C8">
      <w:start w:val="1"/>
      <w:numFmt w:val="decimal"/>
      <w:lvlText w:val="%7"/>
      <w:lvlJc w:val="left"/>
      <w:pPr>
        <w:ind w:left="3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504B50">
      <w:start w:val="1"/>
      <w:numFmt w:val="lowerLetter"/>
      <w:lvlText w:val="%8"/>
      <w:lvlJc w:val="left"/>
      <w:pPr>
        <w:ind w:left="4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3475CA">
      <w:start w:val="1"/>
      <w:numFmt w:val="lowerRoman"/>
      <w:lvlText w:val="%9"/>
      <w:lvlJc w:val="left"/>
      <w:pPr>
        <w:ind w:left="5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DE2E13"/>
    <w:multiLevelType w:val="hybridMultilevel"/>
    <w:tmpl w:val="77E066FA"/>
    <w:lvl w:ilvl="0" w:tplc="1A662B8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C05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F440E2">
      <w:start w:val="1"/>
      <w:numFmt w:val="lowerLetter"/>
      <w:lvlRestart w:val="0"/>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4E8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8E2A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76CD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6091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C4FD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059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C707FF"/>
    <w:multiLevelType w:val="hybridMultilevel"/>
    <w:tmpl w:val="CCEC0EF4"/>
    <w:lvl w:ilvl="0" w:tplc="E8D8572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060D4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A888104">
      <w:start w:val="1"/>
      <w:numFmt w:val="lowerLetter"/>
      <w:lvlRestart w:val="0"/>
      <w:lvlText w:val="(%3)"/>
      <w:lvlJc w:val="left"/>
      <w:pPr>
        <w:ind w:left="14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E8C73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8CCD7A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4ABC2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564D9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B2CF6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242A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EE1A75"/>
    <w:multiLevelType w:val="hybridMultilevel"/>
    <w:tmpl w:val="5AE218EC"/>
    <w:lvl w:ilvl="0" w:tplc="62222D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BC11F0">
      <w:start w:val="1"/>
      <w:numFmt w:val="lowerLetter"/>
      <w:lvlText w:val="%2"/>
      <w:lvlJc w:val="left"/>
      <w:pPr>
        <w:ind w:left="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DC830E">
      <w:start w:val="1"/>
      <w:numFmt w:val="lowerRoman"/>
      <w:lvlText w:val="%3"/>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8EC52">
      <w:start w:val="1"/>
      <w:numFmt w:val="decimal"/>
      <w:lvlText w:val="%4"/>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B638D0">
      <w:start w:val="1"/>
      <w:numFmt w:val="lowerLetter"/>
      <w:lvlText w:val="%5"/>
      <w:lvlJc w:val="left"/>
      <w:pPr>
        <w:ind w:left="2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BEB770">
      <w:start w:val="1"/>
      <w:numFmt w:val="upperLetter"/>
      <w:lvlRestart w:val="0"/>
      <w:lvlText w:val="(%6)"/>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62F7F8">
      <w:start w:val="1"/>
      <w:numFmt w:val="decimal"/>
      <w:lvlText w:val="%7"/>
      <w:lvlJc w:val="left"/>
      <w:pPr>
        <w:ind w:left="3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1EBADC">
      <w:start w:val="1"/>
      <w:numFmt w:val="lowerLetter"/>
      <w:lvlText w:val="%8"/>
      <w:lvlJc w:val="left"/>
      <w:pPr>
        <w:ind w:left="4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56D50E">
      <w:start w:val="1"/>
      <w:numFmt w:val="lowerRoman"/>
      <w:lvlText w:val="%9"/>
      <w:lvlJc w:val="left"/>
      <w:pPr>
        <w:ind w:left="5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113EE8"/>
    <w:multiLevelType w:val="hybridMultilevel"/>
    <w:tmpl w:val="0AA854F8"/>
    <w:lvl w:ilvl="0" w:tplc="05E46E0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72B8E8">
      <w:start w:val="1"/>
      <w:numFmt w:val="lowerLetter"/>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BCBE16">
      <w:start w:val="1"/>
      <w:numFmt w:val="lowerRoman"/>
      <w:lvlText w:val="%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DE9A54">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14B50A">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66BC20">
      <w:start w:val="1"/>
      <w:numFmt w:val="lowerRoman"/>
      <w:lvlText w:val="%6"/>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DCBC50">
      <w:start w:val="1"/>
      <w:numFmt w:val="upperLetter"/>
      <w:lvlRestart w:val="0"/>
      <w:lvlText w:val="(%7)"/>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205BCA">
      <w:start w:val="1"/>
      <w:numFmt w:val="lowerLetter"/>
      <w:lvlText w:val="%8"/>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CE5D72">
      <w:start w:val="1"/>
      <w:numFmt w:val="lowerRoman"/>
      <w:lvlText w:val="%9"/>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5431A41"/>
    <w:multiLevelType w:val="hybridMultilevel"/>
    <w:tmpl w:val="C1AA50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3B395F"/>
    <w:multiLevelType w:val="hybridMultilevel"/>
    <w:tmpl w:val="69C2B1FC"/>
    <w:lvl w:ilvl="0" w:tplc="99365AD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AC8208">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427C1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9EDBF4">
      <w:start w:val="1"/>
      <w:numFmt w:val="decimal"/>
      <w:lvlText w:val="%4"/>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E21982">
      <w:start w:val="1"/>
      <w:numFmt w:val="lowerRoman"/>
      <w:lvlRestart w:val="0"/>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F891BC">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A074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707442">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F66AB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0A3701"/>
    <w:multiLevelType w:val="hybridMultilevel"/>
    <w:tmpl w:val="D9EE3384"/>
    <w:lvl w:ilvl="0" w:tplc="C8D6739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46F9A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D053B4">
      <w:start w:val="1"/>
      <w:numFmt w:val="lowerRoman"/>
      <w:lvlText w:val="%3"/>
      <w:lvlJc w:val="left"/>
      <w:pPr>
        <w:ind w:left="2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947D38">
      <w:start w:val="1"/>
      <w:numFmt w:val="decimal"/>
      <w:lvlText w:val="%4"/>
      <w:lvlJc w:val="left"/>
      <w:pPr>
        <w:ind w:left="2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AA7BE6">
      <w:start w:val="1"/>
      <w:numFmt w:val="lowerLetter"/>
      <w:lvlText w:val="%5"/>
      <w:lvlJc w:val="left"/>
      <w:pPr>
        <w:ind w:left="3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EA22E4">
      <w:start w:val="1"/>
      <w:numFmt w:val="lowerRoman"/>
      <w:lvlText w:val="%6"/>
      <w:lvlJc w:val="left"/>
      <w:pPr>
        <w:ind w:left="4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6053D2">
      <w:start w:val="1"/>
      <w:numFmt w:val="decimal"/>
      <w:lvlText w:val="%7"/>
      <w:lvlJc w:val="left"/>
      <w:pPr>
        <w:ind w:left="5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EE0ABE">
      <w:start w:val="1"/>
      <w:numFmt w:val="lowerLetter"/>
      <w:lvlText w:val="%8"/>
      <w:lvlJc w:val="left"/>
      <w:pPr>
        <w:ind w:left="5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4290EA">
      <w:start w:val="1"/>
      <w:numFmt w:val="lowerRoman"/>
      <w:lvlText w:val="%9"/>
      <w:lvlJc w:val="left"/>
      <w:pPr>
        <w:ind w:left="6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47076934">
    <w:abstractNumId w:val="7"/>
  </w:num>
  <w:num w:numId="2" w16cid:durableId="215822520">
    <w:abstractNumId w:val="3"/>
  </w:num>
  <w:num w:numId="3" w16cid:durableId="1594896390">
    <w:abstractNumId w:val="1"/>
  </w:num>
  <w:num w:numId="4" w16cid:durableId="1445804518">
    <w:abstractNumId w:val="2"/>
  </w:num>
  <w:num w:numId="5" w16cid:durableId="1942375898">
    <w:abstractNumId w:val="0"/>
  </w:num>
  <w:num w:numId="6" w16cid:durableId="440612673">
    <w:abstractNumId w:val="6"/>
  </w:num>
  <w:num w:numId="7" w16cid:durableId="196166567">
    <w:abstractNumId w:val="4"/>
  </w:num>
  <w:num w:numId="8" w16cid:durableId="569731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24"/>
    <w:rsid w:val="000F49E7"/>
    <w:rsid w:val="002D60E3"/>
    <w:rsid w:val="003E71DC"/>
    <w:rsid w:val="00571923"/>
    <w:rsid w:val="00631624"/>
    <w:rsid w:val="007B713A"/>
    <w:rsid w:val="00954B39"/>
    <w:rsid w:val="00E32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9522"/>
  <w15:docId w15:val="{C1079CF6-7988-490F-82F5-9EA7DAA1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483"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F4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1121</Words>
  <Characters>6076</Characters>
  <Application>Microsoft Office Word</Application>
  <DocSecurity>0</DocSecurity>
  <Lines>112</Lines>
  <Paragraphs>49</Paragraphs>
  <ScaleCrop>false</ScaleCrop>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cp:lastModifiedBy>John Rabiej</cp:lastModifiedBy>
  <cp:revision>4</cp:revision>
  <dcterms:created xsi:type="dcterms:W3CDTF">2026-01-21T19:08:00Z</dcterms:created>
  <dcterms:modified xsi:type="dcterms:W3CDTF">2026-01-22T14:52:00Z</dcterms:modified>
</cp:coreProperties>
</file>