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4D25" w14:textId="77777777" w:rsidR="00F62B2D" w:rsidRPr="00AC5BC0" w:rsidRDefault="00F62B2D" w:rsidP="00F62B2D">
      <w:pPr>
        <w:jc w:val="center"/>
        <w:rPr>
          <w:rFonts w:ascii="Times New Roman Bold" w:hAnsi="Times New Roman Bold"/>
          <w:b/>
          <w:color w:val="auto"/>
          <w:sz w:val="28"/>
          <w:szCs w:val="28"/>
        </w:rPr>
      </w:pPr>
    </w:p>
    <w:p w14:paraId="78D354E9" w14:textId="77777777" w:rsidR="00F62B2D" w:rsidRDefault="00F62B2D" w:rsidP="00F62B2D">
      <w:pPr>
        <w:jc w:val="center"/>
        <w:rPr>
          <w:b/>
          <w:color w:val="auto"/>
          <w:sz w:val="28"/>
          <w:szCs w:val="28"/>
        </w:rPr>
      </w:pPr>
      <w:r>
        <w:rPr>
          <w:noProof/>
        </w:rPr>
        <w:drawing>
          <wp:inline distT="0" distB="0" distL="0" distR="0" wp14:anchorId="6E8D7181" wp14:editId="43486703">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5E6D71FE" w14:textId="5BA7924D" w:rsidR="00F62B2D" w:rsidRDefault="00D01CAB" w:rsidP="00F62B2D">
      <w:pPr>
        <w:jc w:val="center"/>
        <w:rPr>
          <w:b/>
          <w:color w:val="auto"/>
          <w:sz w:val="28"/>
          <w:szCs w:val="28"/>
        </w:rPr>
      </w:pPr>
      <w:r w:rsidRPr="0082520E">
        <w:rPr>
          <w:b/>
          <w:color w:val="auto"/>
          <w:sz w:val="28"/>
          <w:szCs w:val="28"/>
        </w:rPr>
        <w:t>COMPENDIUM</w:t>
      </w:r>
      <w:r>
        <w:rPr>
          <w:b/>
          <w:color w:val="auto"/>
          <w:sz w:val="28"/>
          <w:szCs w:val="28"/>
        </w:rPr>
        <w:t xml:space="preserve"> OF </w:t>
      </w:r>
      <w:r w:rsidR="00F62B2D">
        <w:rPr>
          <w:b/>
          <w:color w:val="auto"/>
          <w:sz w:val="28"/>
          <w:szCs w:val="28"/>
        </w:rPr>
        <w:t xml:space="preserve">MASS-TORT MDL </w:t>
      </w:r>
    </w:p>
    <w:p w14:paraId="27BB0726" w14:textId="77777777" w:rsidR="00F62B2D" w:rsidRPr="0082520E" w:rsidRDefault="00F62B2D" w:rsidP="00F62B2D">
      <w:pPr>
        <w:jc w:val="center"/>
        <w:rPr>
          <w:rFonts w:cs="Times New Roman"/>
          <w:b/>
          <w:color w:val="auto"/>
          <w:sz w:val="28"/>
          <w:szCs w:val="28"/>
        </w:rPr>
      </w:pPr>
      <w:r w:rsidRPr="0082520E">
        <w:rPr>
          <w:b/>
          <w:color w:val="auto"/>
          <w:sz w:val="28"/>
          <w:szCs w:val="28"/>
        </w:rPr>
        <w:t>GUIDELINES AND BEST PRACTICES</w:t>
      </w:r>
      <w:r w:rsidRPr="0082520E">
        <w:rPr>
          <w:rFonts w:cs="Times New Roman"/>
          <w:b/>
          <w:color w:val="auto"/>
          <w:sz w:val="28"/>
          <w:szCs w:val="28"/>
        </w:rPr>
        <w:t>*</w:t>
      </w:r>
    </w:p>
    <w:p w14:paraId="3C95D513" w14:textId="58EC360F" w:rsidR="006E1947" w:rsidRDefault="00D63B51" w:rsidP="006E1947">
      <w:pPr>
        <w:jc w:val="center"/>
        <w:rPr>
          <w:rFonts w:cs="Times New Roman"/>
          <w:b/>
          <w:color w:val="auto"/>
          <w:sz w:val="28"/>
          <w:szCs w:val="28"/>
        </w:rPr>
      </w:pPr>
      <w:r>
        <w:rPr>
          <w:rFonts w:cs="Times New Roman"/>
          <w:b/>
          <w:color w:val="auto"/>
          <w:sz w:val="28"/>
          <w:szCs w:val="28"/>
        </w:rPr>
        <w:t>March 1, 2026</w:t>
      </w:r>
    </w:p>
    <w:p w14:paraId="2E90803F" w14:textId="77777777" w:rsidR="00F62B2D" w:rsidRPr="0082520E" w:rsidRDefault="00F62B2D" w:rsidP="00F62B2D">
      <w:pPr>
        <w:jc w:val="center"/>
        <w:rPr>
          <w:b/>
          <w:color w:val="auto"/>
          <w:szCs w:val="22"/>
        </w:rPr>
      </w:pPr>
    </w:p>
    <w:p w14:paraId="7894C28E" w14:textId="77777777" w:rsidR="00F62B2D" w:rsidRPr="0082520E" w:rsidRDefault="00F62B2D" w:rsidP="00F62B2D">
      <w:pPr>
        <w:rPr>
          <w:color w:val="auto"/>
        </w:rPr>
      </w:pPr>
    </w:p>
    <w:p w14:paraId="7DF8C156" w14:textId="15C96822" w:rsidR="00F62B2D" w:rsidRPr="0082520E" w:rsidRDefault="00F62B2D" w:rsidP="00F62B2D">
      <w:pPr>
        <w:spacing w:line="360" w:lineRule="auto"/>
        <w:ind w:firstLine="720"/>
        <w:jc w:val="both"/>
        <w:rPr>
          <w:color w:val="auto"/>
        </w:rPr>
      </w:pPr>
      <w:r w:rsidRPr="0082520E">
        <w:rPr>
          <w:color w:val="auto"/>
        </w:rPr>
        <w:t xml:space="preserve">The </w:t>
      </w:r>
      <w:r w:rsidRPr="0082520E">
        <w:rPr>
          <w:rFonts w:cs="Times New Roman"/>
          <w:bCs/>
          <w:color w:val="auto"/>
        </w:rPr>
        <w:t xml:space="preserve">Rabiej Litigation Law </w:t>
      </w:r>
      <w:r w:rsidRPr="0082520E">
        <w:rPr>
          <w:color w:val="auto"/>
        </w:rPr>
        <w:t xml:space="preserve">Center </w:t>
      </w:r>
      <w:r w:rsidRPr="0082520E">
        <w:rPr>
          <w:rFonts w:cs="Times New Roman"/>
          <w:bCs/>
          <w:color w:val="auto"/>
        </w:rPr>
        <w:t xml:space="preserve">continues the work begun at the Center for Judicial Studies, Duke Law School, and at the Complex Litigation Center, George Washington Law School, </w:t>
      </w:r>
      <w:r w:rsidRPr="0082520E">
        <w:rPr>
          <w:color w:val="auto"/>
        </w:rPr>
        <w:t xml:space="preserve">holding annual bench-bar </w:t>
      </w:r>
      <w:r w:rsidR="00D01CAB">
        <w:rPr>
          <w:color w:val="auto"/>
        </w:rPr>
        <w:t>summits</w:t>
      </w:r>
      <w:r w:rsidRPr="0082520E">
        <w:rPr>
          <w:color w:val="auto"/>
        </w:rPr>
        <w:t xml:space="preserve"> on class actions, mass-tort MDLs, and ediscovery in collaboration with law schools around the country. The Center forms teams of volunteer lawyers and other experts to draft </w:t>
      </w:r>
      <w:r>
        <w:rPr>
          <w:color w:val="auto"/>
        </w:rPr>
        <w:t xml:space="preserve">the </w:t>
      </w:r>
      <w:r w:rsidRPr="000507C5">
        <w:rPr>
          <w:smallCaps/>
          <w:color w:val="auto"/>
        </w:rPr>
        <w:t>Complex litigation</w:t>
      </w:r>
      <w:r w:rsidRPr="0082520E">
        <w:rPr>
          <w:color w:val="auto"/>
        </w:rPr>
        <w:t xml:space="preserve"> </w:t>
      </w:r>
      <w:r w:rsidRPr="0082520E">
        <w:rPr>
          <w:rFonts w:cs="Times New Roman"/>
          <w:bCs/>
          <w:smallCaps/>
          <w:color w:val="auto"/>
        </w:rPr>
        <w:t xml:space="preserve">Compendium </w:t>
      </w:r>
      <w:r>
        <w:rPr>
          <w:rFonts w:cs="Times New Roman"/>
          <w:bCs/>
          <w:smallCaps/>
          <w:color w:val="auto"/>
        </w:rPr>
        <w:t xml:space="preserve">of </w:t>
      </w:r>
      <w:r w:rsidRPr="0082520E">
        <w:rPr>
          <w:rFonts w:cs="Times New Roman"/>
          <w:bCs/>
          <w:smallCaps/>
          <w:color w:val="auto"/>
        </w:rPr>
        <w:t>Guidelines and Best Practices</w:t>
      </w:r>
      <w:r w:rsidRPr="0082520E">
        <w:rPr>
          <w:color w:val="auto"/>
        </w:rPr>
        <w:t xml:space="preserve">, addressing issues identified at its annual </w:t>
      </w:r>
      <w:r w:rsidR="00D01CAB">
        <w:rPr>
          <w:color w:val="auto"/>
        </w:rPr>
        <w:t>summits</w:t>
      </w:r>
      <w:r w:rsidRPr="0082520E">
        <w:rPr>
          <w:color w:val="auto"/>
        </w:rPr>
        <w:t xml:space="preserve">.  </w:t>
      </w:r>
    </w:p>
    <w:p w14:paraId="4B1DF4E8" w14:textId="77777777" w:rsidR="00F62B2D" w:rsidRPr="0082520E" w:rsidRDefault="00F62B2D" w:rsidP="00F62B2D">
      <w:pPr>
        <w:spacing w:line="360" w:lineRule="auto"/>
        <w:ind w:firstLine="720"/>
        <w:jc w:val="both"/>
        <w:rPr>
          <w:color w:val="auto"/>
        </w:rPr>
      </w:pPr>
    </w:p>
    <w:p w14:paraId="57493B13" w14:textId="77777777" w:rsidR="00F62B2D" w:rsidRDefault="00F62B2D" w:rsidP="00F62B2D">
      <w:pPr>
        <w:spacing w:line="360" w:lineRule="auto"/>
        <w:ind w:firstLine="720"/>
        <w:jc w:val="both"/>
        <w:rPr>
          <w:color w:val="auto"/>
        </w:rPr>
      </w:pPr>
      <w:r w:rsidRPr="0082520E">
        <w:rPr>
          <w:color w:val="auto"/>
        </w:rPr>
        <w:t xml:space="preserve">The </w:t>
      </w:r>
      <w:r w:rsidRPr="0082520E">
        <w:rPr>
          <w:smallCaps/>
          <w:color w:val="auto"/>
        </w:rPr>
        <w:t>Compendium</w:t>
      </w:r>
      <w:r w:rsidRPr="0082520E">
        <w:rPr>
          <w:color w:val="auto"/>
        </w:rPr>
        <w:t xml:space="preserve"> </w:t>
      </w:r>
      <w:r>
        <w:rPr>
          <w:color w:val="auto"/>
        </w:rPr>
        <w:t>is continually</w:t>
      </w:r>
      <w:r w:rsidRPr="0082520E">
        <w:rPr>
          <w:color w:val="auto"/>
        </w:rPr>
        <w:t xml:space="preserve"> updated and supplemented. The alternative “</w:t>
      </w:r>
      <w:r>
        <w:rPr>
          <w:color w:val="auto"/>
        </w:rPr>
        <w:t>Permanent</w:t>
      </w:r>
      <w:r w:rsidRPr="0082520E">
        <w:rPr>
          <w:color w:val="auto"/>
        </w:rPr>
        <w:t xml:space="preserve"> No.” assigned to each numbered guideline and best practice is necessary to account for future reorganizations of subject matter and additions of new guidelines and best practices.  </w:t>
      </w:r>
      <w:r>
        <w:rPr>
          <w:color w:val="auto"/>
        </w:rPr>
        <w:t xml:space="preserve">Center sponsors and </w:t>
      </w:r>
      <w:r w:rsidRPr="0082520E">
        <w:rPr>
          <w:color w:val="auto"/>
        </w:rPr>
        <w:t>acknowledgments of team leaders</w:t>
      </w:r>
      <w:r>
        <w:rPr>
          <w:color w:val="auto"/>
        </w:rPr>
        <w:t xml:space="preserve"> </w:t>
      </w:r>
      <w:r w:rsidRPr="0082520E">
        <w:rPr>
          <w:color w:val="auto"/>
        </w:rPr>
        <w:t>and contributors for every set of guidelines and best practices</w:t>
      </w:r>
      <w:r>
        <w:rPr>
          <w:color w:val="auto"/>
        </w:rPr>
        <w:t xml:space="preserve"> are placed at the end of the compendium</w:t>
      </w:r>
      <w:r w:rsidRPr="0082520E">
        <w:rPr>
          <w:color w:val="auto"/>
        </w:rPr>
        <w:t>.</w:t>
      </w:r>
    </w:p>
    <w:p w14:paraId="2F6C3D17" w14:textId="77777777" w:rsidR="00F62B2D" w:rsidRDefault="00F62B2D" w:rsidP="00F62B2D">
      <w:pPr>
        <w:spacing w:line="360" w:lineRule="auto"/>
        <w:ind w:firstLine="720"/>
        <w:jc w:val="both"/>
        <w:rPr>
          <w:color w:val="auto"/>
        </w:rPr>
      </w:pPr>
    </w:p>
    <w:p w14:paraId="6670787D" w14:textId="77777777" w:rsidR="00F62B2D" w:rsidRDefault="00F62B2D" w:rsidP="00F62B2D">
      <w:pPr>
        <w:spacing w:line="360" w:lineRule="auto"/>
        <w:ind w:firstLine="720"/>
        <w:jc w:val="both"/>
        <w:rPr>
          <w:color w:val="auto"/>
        </w:rPr>
      </w:pPr>
    </w:p>
    <w:p w14:paraId="03CB4B26" w14:textId="77777777" w:rsidR="00F62B2D" w:rsidRDefault="00F62B2D" w:rsidP="00F62B2D">
      <w:pPr>
        <w:spacing w:line="360" w:lineRule="auto"/>
        <w:ind w:firstLine="720"/>
        <w:jc w:val="both"/>
        <w:rPr>
          <w:color w:val="auto"/>
        </w:rPr>
      </w:pPr>
    </w:p>
    <w:p w14:paraId="290EAE53" w14:textId="77777777" w:rsidR="00F62B2D" w:rsidRPr="0082520E" w:rsidRDefault="00F62B2D" w:rsidP="00F62B2D">
      <w:pPr>
        <w:spacing w:line="360" w:lineRule="auto"/>
        <w:ind w:firstLine="720"/>
        <w:jc w:val="both"/>
        <w:rPr>
          <w:rFonts w:eastAsia="Times New Roman" w:cs="Times New Roman"/>
          <w:color w:val="auto"/>
        </w:rPr>
      </w:pPr>
    </w:p>
    <w:p w14:paraId="33425E80" w14:textId="77777777" w:rsidR="00F62B2D" w:rsidRPr="0082520E" w:rsidRDefault="00F62B2D" w:rsidP="00F62B2D">
      <w:pPr>
        <w:pBdr>
          <w:bottom w:val="single" w:sz="12" w:space="1" w:color="auto"/>
        </w:pBdr>
        <w:shd w:val="clear" w:color="auto" w:fill="FFFFFF"/>
        <w:spacing w:line="235" w:lineRule="atLeast"/>
        <w:ind w:right="720"/>
        <w:jc w:val="both"/>
        <w:rPr>
          <w:rFonts w:eastAsia="Times New Roman" w:cs="Times New Roman"/>
          <w:color w:val="auto"/>
        </w:rPr>
      </w:pPr>
    </w:p>
    <w:p w14:paraId="14301EC2" w14:textId="77777777" w:rsidR="00F62B2D" w:rsidRDefault="00F62B2D" w:rsidP="00F62B2D">
      <w:pPr>
        <w:jc w:val="center"/>
        <w:rPr>
          <w:b/>
          <w:color w:val="auto"/>
          <w:sz w:val="28"/>
          <w:szCs w:val="28"/>
        </w:rPr>
      </w:pPr>
    </w:p>
    <w:p w14:paraId="1518AC2E" w14:textId="1DB1AE50" w:rsidR="00F62B2D" w:rsidRDefault="00F62B2D" w:rsidP="00F62B2D">
      <w:pPr>
        <w:spacing w:after="120" w:line="276" w:lineRule="auto"/>
        <w:jc w:val="both"/>
        <w:rPr>
          <w:color w:val="auto"/>
          <w:sz w:val="20"/>
          <w:szCs w:val="20"/>
        </w:rPr>
      </w:pPr>
      <w:r w:rsidRPr="0082520E">
        <w:rPr>
          <w:rFonts w:cs="Times New Roman"/>
          <w:color w:val="auto"/>
          <w:sz w:val="20"/>
          <w:szCs w:val="20"/>
        </w:rPr>
        <w:t>*</w:t>
      </w:r>
      <w:r w:rsidRPr="0082520E">
        <w:rPr>
          <w:color w:val="auto"/>
          <w:sz w:val="20"/>
          <w:szCs w:val="20"/>
        </w:rPr>
        <w:t>Copyright © 202</w:t>
      </w:r>
      <w:r>
        <w:rPr>
          <w:color w:val="auto"/>
          <w:sz w:val="20"/>
          <w:szCs w:val="20"/>
        </w:rPr>
        <w:t>3</w:t>
      </w:r>
      <w:r w:rsidRPr="0082520E">
        <w:rPr>
          <w:color w:val="auto"/>
          <w:sz w:val="20"/>
          <w:szCs w:val="20"/>
        </w:rPr>
        <w:t xml:space="preserve">, Rabiej Litigation Law Center All Rights Reserved. </w:t>
      </w:r>
      <w:r w:rsidRPr="0082520E">
        <w:rPr>
          <w:rFonts w:cs="Times New Roman"/>
          <w:color w:val="auto"/>
          <w:sz w:val="20"/>
          <w:szCs w:val="20"/>
        </w:rPr>
        <w:t>Reprints authorized but only if attributed to the Rabiej Litigation Law Center.</w:t>
      </w:r>
      <w:r w:rsidRPr="0082520E">
        <w:rPr>
          <w:rFonts w:asciiTheme="minorHAnsi" w:hAnsiTheme="minorHAnsi" w:cs="Times New Roman"/>
          <w:color w:val="auto"/>
          <w:sz w:val="20"/>
          <w:szCs w:val="20"/>
        </w:rPr>
        <w:t xml:space="preserve"> </w:t>
      </w:r>
      <w:r w:rsidRPr="0082520E">
        <w:rPr>
          <w:color w:val="auto"/>
          <w:sz w:val="20"/>
          <w:szCs w:val="20"/>
        </w:rPr>
        <w:t xml:space="preserve">The </w:t>
      </w:r>
      <w:r>
        <w:rPr>
          <w:smallCaps/>
          <w:color w:val="auto"/>
          <w:sz w:val="20"/>
          <w:szCs w:val="20"/>
        </w:rPr>
        <w:t>compendium</w:t>
      </w:r>
      <w:r w:rsidRPr="0082520E">
        <w:rPr>
          <w:color w:val="auto"/>
          <w:sz w:val="20"/>
          <w:szCs w:val="20"/>
        </w:rPr>
        <w:t xml:space="preserve"> is a document reflecting the consensus views of the contributors, who may not agree with every statement. </w:t>
      </w:r>
      <w:r w:rsidRPr="0082520E">
        <w:rPr>
          <w:color w:val="auto"/>
          <w:sz w:val="16"/>
          <w:szCs w:val="16"/>
        </w:rPr>
        <w:t xml:space="preserve"> </w:t>
      </w:r>
      <w:r w:rsidRPr="0082520E">
        <w:rPr>
          <w:color w:val="auto"/>
          <w:sz w:val="20"/>
          <w:szCs w:val="20"/>
        </w:rPr>
        <w:t xml:space="preserve">This document </w:t>
      </w:r>
      <w:r w:rsidR="001B1F56">
        <w:rPr>
          <w:color w:val="auto"/>
          <w:sz w:val="20"/>
          <w:szCs w:val="20"/>
        </w:rPr>
        <w:t>represents</w:t>
      </w:r>
      <w:r w:rsidR="00D220A9">
        <w:rPr>
          <w:color w:val="auto"/>
          <w:sz w:val="20"/>
          <w:szCs w:val="20"/>
        </w:rPr>
        <w:t xml:space="preserve"> the views of the Rabiej Litigation Law Center and </w:t>
      </w:r>
      <w:r w:rsidRPr="0082520E">
        <w:rPr>
          <w:color w:val="auto"/>
          <w:sz w:val="20"/>
          <w:szCs w:val="20"/>
        </w:rPr>
        <w:t xml:space="preserve">not necessarily the views of </w:t>
      </w:r>
      <w:r w:rsidR="00D220A9">
        <w:rPr>
          <w:color w:val="auto"/>
          <w:sz w:val="20"/>
          <w:szCs w:val="20"/>
        </w:rPr>
        <w:t xml:space="preserve">other organizations, </w:t>
      </w:r>
      <w:r w:rsidRPr="0082520E">
        <w:rPr>
          <w:color w:val="auto"/>
          <w:sz w:val="20"/>
          <w:szCs w:val="20"/>
        </w:rPr>
        <w:t xml:space="preserve">including the Judicial Conference of the United States or any other government unit. </w:t>
      </w:r>
    </w:p>
    <w:p w14:paraId="6E9220EC" w14:textId="77777777" w:rsidR="00F62B2D" w:rsidRDefault="00F62B2D" w:rsidP="00F62B2D">
      <w:pPr>
        <w:jc w:val="center"/>
        <w:rPr>
          <w:b/>
          <w:color w:val="auto"/>
          <w:sz w:val="28"/>
          <w:szCs w:val="28"/>
        </w:rPr>
      </w:pPr>
    </w:p>
    <w:p w14:paraId="7705F11F" w14:textId="77777777" w:rsidR="00F62B2D" w:rsidRDefault="00F62B2D" w:rsidP="00F62B2D">
      <w:pPr>
        <w:jc w:val="center"/>
        <w:rPr>
          <w:b/>
          <w:color w:val="auto"/>
          <w:sz w:val="28"/>
          <w:szCs w:val="28"/>
        </w:rPr>
      </w:pPr>
    </w:p>
    <w:p w14:paraId="3A0027FA" w14:textId="77777777" w:rsidR="00F62B2D" w:rsidRDefault="00F62B2D" w:rsidP="00F62B2D">
      <w:pPr>
        <w:jc w:val="center"/>
        <w:rPr>
          <w:b/>
          <w:color w:val="auto"/>
          <w:sz w:val="28"/>
          <w:szCs w:val="28"/>
        </w:rPr>
      </w:pPr>
    </w:p>
    <w:p w14:paraId="330A6315" w14:textId="5D05ED4F" w:rsidR="00F62B2D" w:rsidRPr="0082520E" w:rsidRDefault="00F62B2D" w:rsidP="00F62B2D">
      <w:pPr>
        <w:jc w:val="center"/>
        <w:rPr>
          <w:b/>
          <w:color w:val="auto"/>
          <w:szCs w:val="22"/>
        </w:rPr>
      </w:pPr>
      <w:r w:rsidRPr="0082520E">
        <w:rPr>
          <w:b/>
          <w:color w:val="auto"/>
          <w:sz w:val="28"/>
          <w:szCs w:val="28"/>
        </w:rPr>
        <w:lastRenderedPageBreak/>
        <w:t>COMPENDIUM</w:t>
      </w:r>
      <w:r>
        <w:rPr>
          <w:b/>
          <w:color w:val="auto"/>
          <w:sz w:val="28"/>
          <w:szCs w:val="28"/>
        </w:rPr>
        <w:t xml:space="preserve"> OF</w:t>
      </w:r>
      <w:r w:rsidR="002F7401" w:rsidRPr="002F7401">
        <w:rPr>
          <w:b/>
          <w:color w:val="auto"/>
          <w:sz w:val="28"/>
          <w:szCs w:val="28"/>
        </w:rPr>
        <w:t xml:space="preserve"> </w:t>
      </w:r>
      <w:r w:rsidR="002F7401">
        <w:rPr>
          <w:b/>
          <w:color w:val="auto"/>
          <w:sz w:val="28"/>
          <w:szCs w:val="28"/>
        </w:rPr>
        <w:t>MASS-TORT MDL</w:t>
      </w:r>
    </w:p>
    <w:p w14:paraId="3087FE7D" w14:textId="77777777" w:rsidR="00F62B2D" w:rsidRPr="0082520E" w:rsidRDefault="00F62B2D" w:rsidP="00F62B2D">
      <w:pPr>
        <w:jc w:val="center"/>
        <w:rPr>
          <w:b/>
          <w:color w:val="auto"/>
          <w:sz w:val="28"/>
          <w:szCs w:val="28"/>
        </w:rPr>
      </w:pPr>
      <w:r w:rsidRPr="0082520E">
        <w:rPr>
          <w:b/>
          <w:color w:val="auto"/>
          <w:sz w:val="28"/>
          <w:szCs w:val="28"/>
        </w:rPr>
        <w:t xml:space="preserve">GUIDELINES AND BEST PRACTICES </w:t>
      </w:r>
    </w:p>
    <w:p w14:paraId="6C3ABD6D" w14:textId="77777777" w:rsidR="00F62B2D" w:rsidRPr="0082520E" w:rsidRDefault="00F62B2D" w:rsidP="00F62B2D">
      <w:pPr>
        <w:ind w:left="720" w:right="720"/>
        <w:contextualSpacing/>
        <w:jc w:val="both"/>
        <w:rPr>
          <w:rFonts w:ascii="Times New Roman Bold" w:eastAsia="Calibri" w:hAnsi="Times New Roman Bold" w:cs="Times New Roman"/>
          <w:b/>
          <w:bCs/>
          <w:smallCaps/>
          <w:color w:val="auto"/>
        </w:rPr>
      </w:pPr>
    </w:p>
    <w:p w14:paraId="2481EB65" w14:textId="77777777" w:rsidR="00F62B2D" w:rsidRPr="0082520E" w:rsidRDefault="00F62B2D" w:rsidP="00F62B2D">
      <w:pPr>
        <w:jc w:val="center"/>
        <w:rPr>
          <w:rFonts w:cs="Times New Roman"/>
          <w:b/>
          <w:color w:val="auto"/>
          <w:sz w:val="28"/>
          <w:szCs w:val="28"/>
        </w:rPr>
      </w:pPr>
      <w:r w:rsidRPr="0082520E">
        <w:rPr>
          <w:rFonts w:cs="Times New Roman"/>
          <w:b/>
          <w:color w:val="auto"/>
          <w:sz w:val="28"/>
          <w:szCs w:val="28"/>
        </w:rPr>
        <w:t>TABLE OF CONTENTS</w:t>
      </w:r>
    </w:p>
    <w:p w14:paraId="273051A4" w14:textId="77777777" w:rsidR="00F62B2D" w:rsidRPr="0082520E" w:rsidRDefault="00F62B2D" w:rsidP="00F62B2D">
      <w:pPr>
        <w:jc w:val="center"/>
        <w:rPr>
          <w:rFonts w:cs="Times New Roman"/>
          <w:b/>
          <w:color w:val="auto"/>
        </w:rPr>
      </w:pPr>
    </w:p>
    <w:p w14:paraId="03B8D327" w14:textId="77777777" w:rsidR="00F62B2D" w:rsidRPr="0082520E" w:rsidRDefault="00F62B2D" w:rsidP="00F62B2D">
      <w:pPr>
        <w:shd w:val="clear" w:color="auto" w:fill="FFFFFF"/>
        <w:spacing w:line="235" w:lineRule="atLeast"/>
        <w:jc w:val="both"/>
        <w:rPr>
          <w:rFonts w:eastAsia="Times New Roman" w:cs="Times New Roman"/>
          <w:color w:val="auto"/>
        </w:rPr>
      </w:pPr>
    </w:p>
    <w:p w14:paraId="64893916" w14:textId="77777777" w:rsidR="00F62B2D" w:rsidRDefault="00F62B2D" w:rsidP="00F62B2D">
      <w:pPr>
        <w:jc w:val="center"/>
        <w:rPr>
          <w:rFonts w:cs="Times New Roman"/>
          <w:b/>
        </w:rPr>
      </w:pPr>
    </w:p>
    <w:p w14:paraId="7F5FEA7D" w14:textId="2695790E" w:rsidR="00F62B2D" w:rsidRPr="00516F10" w:rsidRDefault="00516F10" w:rsidP="00516F10">
      <w:pPr>
        <w:jc w:val="both"/>
        <w:rPr>
          <w:rFonts w:ascii="Times New Roman Bold" w:hAnsi="Times New Roman Bold" w:cs="Times New Roman"/>
          <w:b/>
          <w:sz w:val="28"/>
          <w:szCs w:val="28"/>
        </w:rPr>
      </w:pPr>
      <w:r>
        <w:rPr>
          <w:rFonts w:ascii="Times New Roman Bold" w:hAnsi="Times New Roman Bold" w:cs="Times New Roman"/>
          <w:b/>
          <w:sz w:val="28"/>
          <w:szCs w:val="28"/>
        </w:rPr>
        <w:t>A.</w:t>
      </w:r>
      <w:r>
        <w:rPr>
          <w:rFonts w:ascii="Times New Roman Bold" w:hAnsi="Times New Roman Bold" w:cs="Times New Roman"/>
          <w:b/>
          <w:sz w:val="28"/>
          <w:szCs w:val="28"/>
        </w:rPr>
        <w:tab/>
      </w:r>
      <w:r w:rsidR="00B478C9" w:rsidRPr="00516F10">
        <w:rPr>
          <w:rFonts w:ascii="Times New Roman Bold" w:hAnsi="Times New Roman Bold" w:cs="Times New Roman"/>
          <w:b/>
          <w:sz w:val="28"/>
          <w:szCs w:val="28"/>
        </w:rPr>
        <w:t>Authorizing a Mass-Tort MDL</w:t>
      </w:r>
    </w:p>
    <w:p w14:paraId="1DB3B406" w14:textId="77777777" w:rsidR="00F62B2D" w:rsidRPr="00B97488" w:rsidRDefault="00F62B2D" w:rsidP="00F62B2D">
      <w:pPr>
        <w:pStyle w:val="ListParagraph"/>
        <w:ind w:left="1440"/>
        <w:jc w:val="both"/>
        <w:rPr>
          <w:rFonts w:ascii="Times New Roman Bold" w:hAnsi="Times New Roman Bold" w:cs="Times New Roman"/>
          <w:b/>
        </w:rPr>
      </w:pPr>
    </w:p>
    <w:p w14:paraId="120E1257" w14:textId="545B4812" w:rsidR="00F62B2D" w:rsidRDefault="00F62B2D" w:rsidP="00F62B2D">
      <w:pPr>
        <w:jc w:val="both"/>
        <w:rPr>
          <w:rFonts w:cs="Times New Roman"/>
          <w:color w:val="4A4A4A"/>
          <w:shd w:val="clear" w:color="auto" w:fill="FFFFFF"/>
        </w:rPr>
      </w:pPr>
      <w:r w:rsidRPr="00E04C96">
        <w:rPr>
          <w:rFonts w:ascii="Times New Roman Bold" w:eastAsia="Times New Roman" w:hAnsi="Times New Roman Bold" w:cs="Times New Roman"/>
          <w:b/>
          <w:bCs/>
          <w:smallCaps/>
          <w:color w:val="222222"/>
        </w:rPr>
        <w:t>GUIDELINE MDL-§</w:t>
      </w:r>
      <w:r w:rsidRPr="00E04C96">
        <w:rPr>
          <w:rFonts w:eastAsia="Times New Roman" w:cs="Times New Roman"/>
          <w:b/>
          <w:bCs/>
          <w:color w:val="222222"/>
        </w:rPr>
        <w:t xml:space="preserve"> 1</w:t>
      </w:r>
      <w:r w:rsidRPr="00E04C96">
        <w:rPr>
          <w:rFonts w:eastAsia="Times New Roman" w:cs="Times New Roman"/>
          <w:color w:val="222222"/>
        </w:rPr>
        <w:t>:</w:t>
      </w:r>
      <w:r w:rsidRPr="00593352">
        <w:rPr>
          <w:rFonts w:eastAsia="Times New Roman" w:cs="Times New Roman"/>
          <w:color w:val="222222"/>
        </w:rPr>
        <w:t xml:space="preserve"> </w:t>
      </w:r>
      <w:r>
        <w:rPr>
          <w:rFonts w:eastAsia="Times New Roman" w:cs="Times New Roman"/>
          <w:color w:val="222222"/>
        </w:rPr>
        <w:t xml:space="preserve">In a case when one of the major parties objects to MDL centralization and there is a likelihood that a large number of unsupportable actions would later be filed in the putative MDL, a </w:t>
      </w:r>
      <w:r>
        <w:rPr>
          <w:rFonts w:cs="Times New Roman"/>
          <w:color w:val="4A4A4A"/>
          <w:shd w:val="clear" w:color="auto" w:fill="FFFFFF"/>
        </w:rPr>
        <w:t xml:space="preserve">more rigorous examination of the </w:t>
      </w:r>
      <w:r w:rsidRPr="00F07CCA">
        <w:rPr>
          <w:rFonts w:cs="Times New Roman"/>
          <w:color w:val="4A4A4A"/>
          <w:shd w:val="clear" w:color="auto" w:fill="FFFFFF"/>
        </w:rPr>
        <w:t xml:space="preserve">prudential factors </w:t>
      </w:r>
      <w:r>
        <w:rPr>
          <w:rFonts w:cs="Times New Roman"/>
          <w:color w:val="4A4A4A"/>
          <w:shd w:val="clear" w:color="auto" w:fill="FFFFFF"/>
        </w:rPr>
        <w:t>recommended</w:t>
      </w:r>
      <w:r w:rsidRPr="00F07CCA">
        <w:rPr>
          <w:rFonts w:cs="Times New Roman"/>
          <w:color w:val="4A4A4A"/>
          <w:shd w:val="clear" w:color="auto" w:fill="FFFFFF"/>
        </w:rPr>
        <w:t xml:space="preserve"> in the </w:t>
      </w:r>
      <w:r w:rsidRPr="00FD5BB8">
        <w:rPr>
          <w:rFonts w:cs="Times New Roman"/>
          <w:i/>
          <w:iCs/>
          <w:color w:val="4A4A4A"/>
          <w:shd w:val="clear" w:color="auto" w:fill="FFFFFF"/>
        </w:rPr>
        <w:t>Manual for Complex Litigation</w:t>
      </w:r>
      <w:r>
        <w:rPr>
          <w:rFonts w:cs="Times New Roman"/>
          <w:color w:val="4A4A4A"/>
          <w:shd w:val="clear" w:color="auto" w:fill="FFFFFF"/>
        </w:rPr>
        <w:t>, which</w:t>
      </w:r>
      <w:r w:rsidRPr="00F07CCA">
        <w:rPr>
          <w:rFonts w:cs="Times New Roman"/>
          <w:color w:val="4A4A4A"/>
          <w:shd w:val="clear" w:color="auto" w:fill="FFFFFF"/>
        </w:rPr>
        <w:t xml:space="preserve"> </w:t>
      </w:r>
      <w:r>
        <w:rPr>
          <w:rFonts w:cs="Times New Roman"/>
          <w:color w:val="4A4A4A"/>
          <w:shd w:val="clear" w:color="auto" w:fill="FFFFFF"/>
        </w:rPr>
        <w:t xml:space="preserve">recognize the benefits of a developed record, is called for to satisfy the MDL criteria. Permanent No. MDL-§ 9.................................................................................P. </w:t>
      </w:r>
      <w:r w:rsidR="00C37037">
        <w:rPr>
          <w:rFonts w:cs="Times New Roman"/>
          <w:color w:val="4A4A4A"/>
          <w:shd w:val="clear" w:color="auto" w:fill="FFFFFF"/>
        </w:rPr>
        <w:t>5</w:t>
      </w:r>
    </w:p>
    <w:p w14:paraId="40E24402" w14:textId="77777777" w:rsidR="00F62B2D" w:rsidRDefault="00F62B2D" w:rsidP="00F62B2D">
      <w:pPr>
        <w:jc w:val="both"/>
        <w:rPr>
          <w:rFonts w:cs="Times New Roman"/>
          <w:color w:val="4A4A4A"/>
          <w:shd w:val="clear" w:color="auto" w:fill="FFFFFF"/>
        </w:rPr>
      </w:pPr>
    </w:p>
    <w:p w14:paraId="7659BF99" w14:textId="45FFF1D1" w:rsidR="00946961" w:rsidRPr="00516F10" w:rsidRDefault="00516F10" w:rsidP="00516F10">
      <w:pPr>
        <w:ind w:right="720"/>
        <w:jc w:val="both"/>
        <w:rPr>
          <w:rFonts w:ascii="Times New Roman Bold" w:hAnsi="Times New Roman Bold" w:cs="Times New Roman"/>
          <w:b/>
          <w:sz w:val="28"/>
          <w:szCs w:val="28"/>
        </w:rPr>
      </w:pPr>
      <w:r>
        <w:rPr>
          <w:rFonts w:ascii="Times New Roman Bold" w:hAnsi="Times New Roman Bold" w:cs="Times New Roman"/>
          <w:b/>
          <w:sz w:val="28"/>
          <w:szCs w:val="28"/>
        </w:rPr>
        <w:t>B.</w:t>
      </w:r>
      <w:r>
        <w:rPr>
          <w:rFonts w:ascii="Times New Roman Bold" w:hAnsi="Times New Roman Bold" w:cs="Times New Roman"/>
          <w:b/>
          <w:sz w:val="28"/>
          <w:szCs w:val="28"/>
        </w:rPr>
        <w:tab/>
      </w:r>
      <w:r w:rsidR="00946961" w:rsidRPr="00516F10">
        <w:rPr>
          <w:rFonts w:ascii="Times New Roman Bold" w:hAnsi="Times New Roman Bold" w:cs="Times New Roman"/>
          <w:b/>
          <w:sz w:val="28"/>
          <w:szCs w:val="28"/>
        </w:rPr>
        <w:t>Case Management</w:t>
      </w:r>
    </w:p>
    <w:p w14:paraId="7D23785D" w14:textId="77777777" w:rsidR="00946961" w:rsidRPr="00946961" w:rsidRDefault="00946961" w:rsidP="00946961">
      <w:pPr>
        <w:ind w:right="720"/>
        <w:jc w:val="both"/>
        <w:rPr>
          <w:rFonts w:ascii="Times New Roman Bold" w:hAnsi="Times New Roman Bold" w:cs="Times New Roman"/>
          <w:b/>
          <w:sz w:val="28"/>
          <w:szCs w:val="28"/>
        </w:rPr>
      </w:pPr>
    </w:p>
    <w:p w14:paraId="4357E79A" w14:textId="4A420344" w:rsidR="00F62B2D" w:rsidRDefault="00924D13" w:rsidP="00F62B2D">
      <w:pPr>
        <w:jc w:val="both"/>
        <w:rPr>
          <w:rFonts w:eastAsia="Times New Roman" w:cs="Times New Roman"/>
          <w:color w:val="000000"/>
        </w:rPr>
      </w:pPr>
      <w:r w:rsidRPr="00B97488">
        <w:rPr>
          <w:rFonts w:ascii="Times New Roman Bold" w:eastAsia="Times New Roman" w:hAnsi="Times New Roman Bold" w:cs="Times New Roman"/>
          <w:b/>
          <w:bCs/>
          <w:smallCaps/>
          <w:color w:val="000000"/>
        </w:rPr>
        <w:t>GUIDELINE MDL-</w:t>
      </w:r>
      <w:r w:rsidRPr="00B97488">
        <w:rPr>
          <w:rFonts w:ascii="Times New Roman Bold" w:eastAsia="Times New Roman" w:hAnsi="Times New Roman Bold" w:cs="Times New Roman" w:hint="eastAsia"/>
          <w:b/>
          <w:bCs/>
          <w:smallCaps/>
          <w:color w:val="000000"/>
        </w:rPr>
        <w:t>§</w:t>
      </w:r>
      <w:r w:rsidRPr="00B97488">
        <w:rPr>
          <w:rFonts w:ascii="Times New Roman Bold" w:eastAsia="Times New Roman" w:hAnsi="Times New Roman Bold" w:cs="Times New Roman"/>
          <w:b/>
          <w:bCs/>
          <w:smallCaps/>
          <w:color w:val="000000"/>
        </w:rPr>
        <w:t xml:space="preserve"> </w:t>
      </w:r>
      <w:r w:rsidR="00F62B2D">
        <w:rPr>
          <w:rFonts w:ascii="Times New Roman Bold" w:eastAsia="Times New Roman" w:hAnsi="Times New Roman Bold" w:cs="Times New Roman"/>
          <w:b/>
          <w:bCs/>
          <w:smallCaps/>
          <w:color w:val="000000"/>
        </w:rPr>
        <w:t>2</w:t>
      </w:r>
      <w:r w:rsidR="00F62B2D" w:rsidRPr="00B97488">
        <w:rPr>
          <w:rFonts w:ascii="Times New Roman Bold" w:eastAsia="Times New Roman" w:hAnsi="Times New Roman Bold" w:cs="Times New Roman"/>
          <w:b/>
          <w:bCs/>
          <w:smallCaps/>
          <w:color w:val="000000"/>
        </w:rPr>
        <w:t>:</w:t>
      </w:r>
      <w:r w:rsidR="00F62B2D" w:rsidRPr="008F5C84">
        <w:rPr>
          <w:rFonts w:eastAsia="Times New Roman" w:cs="Times New Roman"/>
          <w:color w:val="000000"/>
        </w:rPr>
        <w:t xml:space="preserve"> </w:t>
      </w:r>
      <w:r w:rsidR="00F62B2D">
        <w:rPr>
          <w:rFonts w:eastAsia="Times New Roman" w:cs="Times New Roman"/>
          <w:color w:val="000000"/>
        </w:rPr>
        <w:t>Parties typically jointly stipulate to recommend to the transferor court that it stay proceedings until the JPML rules on a motion to centralize actions to avoid unnecessary cost and wasted time and effort. Permanent No. MDL</w:t>
      </w:r>
      <w:r w:rsidR="00F62B2D" w:rsidRPr="007D3241">
        <w:rPr>
          <w:rFonts w:eastAsia="Times New Roman" w:cs="Times New Roman"/>
          <w:color w:val="000000"/>
        </w:rPr>
        <w:t>-</w:t>
      </w:r>
      <w:r w:rsidR="00F62B2D" w:rsidRPr="007D3241">
        <w:rPr>
          <w:rFonts w:ascii="Times New Roman Bold" w:eastAsia="Times New Roman" w:hAnsi="Times New Roman Bold" w:cs="Times New Roman"/>
          <w:smallCaps/>
          <w:color w:val="000000"/>
        </w:rPr>
        <w:t xml:space="preserve">§ </w:t>
      </w:r>
      <w:r w:rsidR="00F62B2D" w:rsidRPr="00D32AC7">
        <w:rPr>
          <w:rFonts w:eastAsia="Times New Roman" w:cs="Times New Roman"/>
          <w:smallCaps/>
          <w:color w:val="000000"/>
        </w:rPr>
        <w:t>4</w:t>
      </w:r>
      <w:r w:rsidR="00F62B2D">
        <w:rPr>
          <w:rFonts w:eastAsia="Times New Roman" w:cs="Times New Roman"/>
          <w:color w:val="000000"/>
        </w:rPr>
        <w:t>..................................................</w:t>
      </w:r>
      <w:r w:rsidR="007E2983">
        <w:rPr>
          <w:rFonts w:eastAsia="Times New Roman" w:cs="Times New Roman"/>
          <w:color w:val="000000"/>
        </w:rPr>
        <w:t>..</w:t>
      </w:r>
      <w:r w:rsidR="00F62B2D">
        <w:rPr>
          <w:rFonts w:eastAsia="Times New Roman" w:cs="Times New Roman"/>
          <w:color w:val="000000"/>
        </w:rPr>
        <w:t>....P. 1</w:t>
      </w:r>
      <w:r w:rsidR="007E2983">
        <w:rPr>
          <w:rFonts w:eastAsia="Times New Roman" w:cs="Times New Roman"/>
          <w:color w:val="000000"/>
        </w:rPr>
        <w:t>6</w:t>
      </w:r>
    </w:p>
    <w:p w14:paraId="1E5CE7D9" w14:textId="77777777" w:rsidR="00F62B2D" w:rsidRPr="008F5C84" w:rsidRDefault="00F62B2D" w:rsidP="00F62B2D">
      <w:pPr>
        <w:jc w:val="both"/>
        <w:rPr>
          <w:rFonts w:eastAsia="Times New Roman" w:cs="Times New Roman"/>
        </w:rPr>
      </w:pPr>
    </w:p>
    <w:p w14:paraId="27F0786F" w14:textId="1A423209" w:rsidR="00F62B2D" w:rsidRPr="00BC01C3" w:rsidRDefault="00F62B2D" w:rsidP="00F62B2D">
      <w:pPr>
        <w:jc w:val="both"/>
        <w:rPr>
          <w:rFonts w:ascii="Times New Roman Bold" w:hAnsi="Times New Roman Bold" w:cs="Times New Roman"/>
          <w:b/>
          <w:sz w:val="28"/>
          <w:szCs w:val="28"/>
        </w:rPr>
      </w:pPr>
      <w:r w:rsidRPr="00BC01C3">
        <w:rPr>
          <w:rFonts w:ascii="Times New Roman Bold" w:hAnsi="Times New Roman Bold" w:cs="Times New Roman"/>
          <w:b/>
          <w:bCs/>
          <w:smallCaps/>
        </w:rPr>
        <w:t>GUIDELINE MDL-§</w:t>
      </w:r>
      <w:r w:rsidRPr="00BC01C3">
        <w:rPr>
          <w:rFonts w:cs="Times New Roman"/>
          <w:b/>
          <w:bCs/>
        </w:rPr>
        <w:t xml:space="preserve"> 3</w:t>
      </w:r>
      <w:r w:rsidRPr="00BC01C3">
        <w:rPr>
          <w:rFonts w:cs="Times New Roman"/>
          <w:b/>
        </w:rPr>
        <w:t>:</w:t>
      </w:r>
      <w:r w:rsidRPr="00BC01C3">
        <w:rPr>
          <w:rFonts w:cs="Times New Roman"/>
        </w:rPr>
        <w:t xml:space="preserve"> Every MDL, but particularly a mass-tort MDL,</w:t>
      </w:r>
      <w:r>
        <w:rPr>
          <w:rStyle w:val="FootnoteReference"/>
          <w:rFonts w:cs="Times New Roman"/>
        </w:rPr>
        <w:footnoteReference w:id="1"/>
      </w:r>
      <w:r w:rsidRPr="00BC01C3">
        <w:rPr>
          <w:rFonts w:cs="Times New Roman"/>
        </w:rPr>
        <w:t xml:space="preserve"> raises unique procedural case-management challenges for the court, and input from the lawyers on fashioning case-management procedures can be useful especially at the beginning of the litigation at the initial-management conference </w:t>
      </w:r>
      <w:r>
        <w:rPr>
          <w:rFonts w:cs="Times New Roman"/>
        </w:rPr>
        <w:t xml:space="preserve">under Rule 16.1 </w:t>
      </w:r>
      <w:r w:rsidRPr="00BC01C3">
        <w:rPr>
          <w:rFonts w:cs="Times New Roman"/>
        </w:rPr>
        <w:t>when the judge begins to make key decisions that will have far-reaching effects. Permanent No. MDL-§ 10.</w:t>
      </w:r>
      <w:r>
        <w:rPr>
          <w:rFonts w:cs="Times New Roman"/>
        </w:rPr>
        <w:t>................................................................P. 1</w:t>
      </w:r>
      <w:r w:rsidR="00C37037">
        <w:rPr>
          <w:rFonts w:cs="Times New Roman"/>
        </w:rPr>
        <w:t>9</w:t>
      </w:r>
      <w:r w:rsidRPr="00BC01C3">
        <w:rPr>
          <w:rFonts w:cs="Times New Roman"/>
        </w:rPr>
        <w:t xml:space="preserve">  </w:t>
      </w:r>
    </w:p>
    <w:p w14:paraId="4F4902C7" w14:textId="77777777" w:rsidR="00F62B2D" w:rsidRDefault="00F62B2D" w:rsidP="00F62B2D">
      <w:pPr>
        <w:jc w:val="both"/>
        <w:rPr>
          <w:rFonts w:cs="Times New Roman"/>
        </w:rPr>
      </w:pPr>
    </w:p>
    <w:p w14:paraId="3EFC7EEF" w14:textId="54083FDB" w:rsidR="00F62B2D" w:rsidRDefault="00F62B2D" w:rsidP="00F62B2D">
      <w:pPr>
        <w:pStyle w:val="NoSpacing"/>
        <w:jc w:val="both"/>
        <w:rPr>
          <w:rFonts w:cs="Times New Roman"/>
          <w:szCs w:val="24"/>
        </w:rPr>
      </w:pPr>
      <w:r w:rsidRPr="00BC01C3">
        <w:rPr>
          <w:b/>
          <w:bCs/>
          <w:smallCaps/>
        </w:rPr>
        <w:t xml:space="preserve">GUIDELINE </w:t>
      </w:r>
      <w:r w:rsidRPr="00BC01C3">
        <w:rPr>
          <w:rFonts w:cs="Times New Roman"/>
          <w:b/>
          <w:bCs/>
          <w:smallCaps/>
          <w:szCs w:val="24"/>
        </w:rPr>
        <w:t>MDL-§ 4</w:t>
      </w:r>
      <w:r w:rsidRPr="00BC01C3">
        <w:rPr>
          <w:smallCaps/>
        </w:rPr>
        <w:t>:</w:t>
      </w:r>
      <w:r>
        <w:t xml:space="preserve"> Rule 16.1(b)(1) recommends that the court order the parties to submit a single informative report in advance of the initial-management conference that addresses and suggests procedures regarding case-management topics, which are listed in the rule, identified by the judge, or identified by the parties. Permanent No. </w:t>
      </w:r>
      <w:r>
        <w:rPr>
          <w:rFonts w:cs="Times New Roman"/>
          <w:szCs w:val="24"/>
        </w:rPr>
        <w:t>MDL-§ 11......................</w:t>
      </w:r>
      <w:r w:rsidR="007E2983">
        <w:rPr>
          <w:rFonts w:cs="Times New Roman"/>
          <w:szCs w:val="24"/>
        </w:rPr>
        <w:t>......................</w:t>
      </w:r>
      <w:r>
        <w:rPr>
          <w:rFonts w:cs="Times New Roman"/>
          <w:szCs w:val="24"/>
        </w:rPr>
        <w:t>.P. 2</w:t>
      </w:r>
      <w:r w:rsidR="00C37037">
        <w:rPr>
          <w:rFonts w:cs="Times New Roman"/>
          <w:szCs w:val="24"/>
        </w:rPr>
        <w:t>2</w:t>
      </w:r>
    </w:p>
    <w:p w14:paraId="779E6D37" w14:textId="77777777" w:rsidR="00F62B2D" w:rsidRDefault="00F62B2D" w:rsidP="00F62B2D">
      <w:pPr>
        <w:pStyle w:val="NoSpacing"/>
        <w:jc w:val="both"/>
        <w:rPr>
          <w:rFonts w:cs="Times New Roman"/>
          <w:szCs w:val="24"/>
        </w:rPr>
      </w:pPr>
    </w:p>
    <w:p w14:paraId="13D0C162" w14:textId="52CFBF36" w:rsidR="00F62B2D" w:rsidRDefault="00F62B2D" w:rsidP="00F62B2D">
      <w:pPr>
        <w:pStyle w:val="NoSpacing"/>
        <w:jc w:val="both"/>
      </w:pPr>
      <w:r w:rsidRPr="00BC01C3">
        <w:rPr>
          <w:rFonts w:ascii="Times New Roman Bold" w:hAnsi="Times New Roman Bold"/>
          <w:b/>
          <w:bCs/>
          <w:smallCaps/>
        </w:rPr>
        <w:t xml:space="preserve">GUIDELINE </w:t>
      </w:r>
      <w:r w:rsidRPr="00BC01C3">
        <w:rPr>
          <w:rFonts w:ascii="Times New Roman Bold" w:hAnsi="Times New Roman Bold" w:cs="Times New Roman"/>
          <w:b/>
          <w:bCs/>
          <w:smallCaps/>
          <w:szCs w:val="24"/>
        </w:rPr>
        <w:t>MDL-§ 5</w:t>
      </w:r>
      <w:r w:rsidRPr="00BC01C3">
        <w:rPr>
          <w:rFonts w:ascii="Times New Roman Bold" w:hAnsi="Times New Roman Bold"/>
          <w:b/>
          <w:smallCaps/>
        </w:rPr>
        <w:t>:</w:t>
      </w:r>
      <w:r w:rsidRPr="002E1E3C">
        <w:t xml:space="preserve"> </w:t>
      </w:r>
      <w:r w:rsidRPr="0014791E">
        <w:rPr>
          <w:rFonts w:cs="Times New Roman"/>
          <w:kern w:val="2"/>
          <w:szCs w:val="24"/>
          <w14:ligatures w14:val="standardContextual"/>
        </w:rPr>
        <w:t>The germaneness and urgency to address</w:t>
      </w:r>
      <w:r w:rsidR="00924D13">
        <w:rPr>
          <w:rFonts w:cs="Times New Roman"/>
          <w:kern w:val="2"/>
          <w:szCs w:val="24"/>
          <w14:ligatures w14:val="standardContextual"/>
        </w:rPr>
        <w:t xml:space="preserve"> </w:t>
      </w:r>
      <w:r>
        <w:rPr>
          <w:rFonts w:cs="Times New Roman"/>
          <w:kern w:val="2"/>
          <w:szCs w:val="24"/>
          <w14:ligatures w14:val="standardContextual"/>
        </w:rPr>
        <w:t>and address procedures regarding individual</w:t>
      </w:r>
      <w:r w:rsidRPr="0014791E">
        <w:rPr>
          <w:rFonts w:cs="Times New Roman"/>
          <w:kern w:val="2"/>
          <w:szCs w:val="24"/>
          <w14:ligatures w14:val="standardContextual"/>
        </w:rPr>
        <w:t xml:space="preserve"> topics at the initial</w:t>
      </w:r>
      <w:r>
        <w:rPr>
          <w:rFonts w:cs="Times New Roman"/>
          <w:kern w:val="2"/>
          <w:szCs w:val="24"/>
          <w14:ligatures w14:val="standardContextual"/>
        </w:rPr>
        <w:t>-</w:t>
      </w:r>
      <w:r w:rsidRPr="0014791E">
        <w:rPr>
          <w:rFonts w:cs="Times New Roman"/>
          <w:kern w:val="2"/>
          <w:szCs w:val="24"/>
          <w14:ligatures w14:val="standardContextual"/>
        </w:rPr>
        <w:t xml:space="preserve">management conference will depend on the nature </w:t>
      </w:r>
      <w:r>
        <w:rPr>
          <w:rFonts w:cs="Times New Roman"/>
          <w:kern w:val="2"/>
          <w:szCs w:val="24"/>
          <w14:ligatures w14:val="standardContextual"/>
        </w:rPr>
        <w:t xml:space="preserve">and size </w:t>
      </w:r>
      <w:r w:rsidRPr="0014791E">
        <w:rPr>
          <w:rFonts w:cs="Times New Roman"/>
          <w:kern w:val="2"/>
          <w:szCs w:val="24"/>
          <w14:ligatures w14:val="standardContextual"/>
        </w:rPr>
        <w:t>of the MDL, the judge’s and parties’ familiarity with MDL practices and procedures, and the importance and necessity of input from leadership counsel, who</w:t>
      </w:r>
      <w:r>
        <w:rPr>
          <w:rFonts w:cs="Times New Roman"/>
          <w:kern w:val="2"/>
          <w:szCs w:val="24"/>
          <w14:ligatures w14:val="standardContextual"/>
        </w:rPr>
        <w:t xml:space="preserve"> often </w:t>
      </w:r>
      <w:r w:rsidRPr="0014791E">
        <w:rPr>
          <w:rFonts w:cs="Times New Roman"/>
          <w:kern w:val="2"/>
          <w:szCs w:val="24"/>
          <w14:ligatures w14:val="standardContextual"/>
        </w:rPr>
        <w:t xml:space="preserve">have </w:t>
      </w:r>
      <w:r>
        <w:rPr>
          <w:rFonts w:cs="Times New Roman"/>
          <w:kern w:val="2"/>
          <w:szCs w:val="24"/>
          <w14:ligatures w14:val="standardContextual"/>
        </w:rPr>
        <w:t xml:space="preserve">not yet </w:t>
      </w:r>
      <w:r w:rsidRPr="0014791E">
        <w:rPr>
          <w:rFonts w:cs="Times New Roman"/>
          <w:kern w:val="2"/>
          <w:szCs w:val="24"/>
          <w14:ligatures w14:val="standardContextual"/>
        </w:rPr>
        <w:t xml:space="preserve">been appointed. </w:t>
      </w:r>
      <w:r>
        <w:t xml:space="preserve"> Permanent No. </w:t>
      </w:r>
      <w:r>
        <w:rPr>
          <w:rFonts w:cs="Times New Roman"/>
          <w:szCs w:val="24"/>
        </w:rPr>
        <w:t>MDL-§ 12..................................................................</w:t>
      </w:r>
      <w:r w:rsidR="007E2983">
        <w:rPr>
          <w:rFonts w:cs="Times New Roman"/>
          <w:szCs w:val="24"/>
        </w:rPr>
        <w:t>......................................</w:t>
      </w:r>
      <w:r>
        <w:rPr>
          <w:rFonts w:cs="Times New Roman"/>
          <w:szCs w:val="24"/>
        </w:rPr>
        <w:t>..P. 2</w:t>
      </w:r>
      <w:r w:rsidR="00C37037">
        <w:rPr>
          <w:rFonts w:cs="Times New Roman"/>
          <w:szCs w:val="24"/>
        </w:rPr>
        <w:t>6</w:t>
      </w:r>
    </w:p>
    <w:p w14:paraId="4A977D61" w14:textId="77777777" w:rsidR="00F62B2D" w:rsidRDefault="00F62B2D" w:rsidP="00F62B2D">
      <w:pPr>
        <w:pStyle w:val="NoSpacing"/>
        <w:jc w:val="both"/>
        <w:rPr>
          <w:rFonts w:cs="Times New Roman"/>
          <w:szCs w:val="24"/>
        </w:rPr>
      </w:pPr>
    </w:p>
    <w:p w14:paraId="30B1D598" w14:textId="59969EC7" w:rsidR="00F62B2D" w:rsidRDefault="00F62B2D" w:rsidP="00F62B2D">
      <w:pPr>
        <w:pStyle w:val="NoSpacing"/>
        <w:jc w:val="both"/>
        <w:rPr>
          <w:rFonts w:cs="Times New Roman"/>
          <w:szCs w:val="24"/>
        </w:rPr>
      </w:pPr>
      <w:r w:rsidRPr="00BC01C3">
        <w:rPr>
          <w:b/>
          <w:bCs/>
        </w:rPr>
        <w:t xml:space="preserve">GUIDELINE </w:t>
      </w:r>
      <w:r w:rsidRPr="00BC01C3">
        <w:rPr>
          <w:rFonts w:cs="Times New Roman"/>
          <w:b/>
          <w:bCs/>
          <w:szCs w:val="24"/>
        </w:rPr>
        <w:t>MDL-§ 6</w:t>
      </w:r>
      <w:r w:rsidRPr="00BC01C3">
        <w:t>:</w:t>
      </w:r>
      <w:r w:rsidRPr="002E1E3C">
        <w:t xml:space="preserve"> </w:t>
      </w:r>
      <w:r w:rsidRPr="002C4FD1">
        <w:rPr>
          <w:rFonts w:cs="Times New Roman"/>
          <w:szCs w:val="24"/>
        </w:rPr>
        <w:t>Rule 16.1(b)(2) and (3) enumerate specific topics that the parties must address in the report at the initial-management conference</w:t>
      </w:r>
      <w:r>
        <w:t xml:space="preserve"> by commenting on</w:t>
      </w:r>
      <w:r w:rsidR="00924D13">
        <w:t xml:space="preserve"> </w:t>
      </w:r>
      <w:r>
        <w:t>and suggesting</w:t>
      </w:r>
      <w:r w:rsidRPr="002C4FD1">
        <w:t xml:space="preserve"> </w:t>
      </w:r>
      <w:r>
        <w:t xml:space="preserve">procedures that will facilitate the expeditious, economical, and just resolution of the litigation  Permanent No. </w:t>
      </w:r>
      <w:r>
        <w:rPr>
          <w:rFonts w:cs="Times New Roman"/>
          <w:szCs w:val="24"/>
        </w:rPr>
        <w:t>MDL-§ 13.......................................................................................</w:t>
      </w:r>
      <w:r w:rsidR="007E2983">
        <w:rPr>
          <w:rFonts w:cs="Times New Roman"/>
          <w:szCs w:val="24"/>
        </w:rPr>
        <w:t>.................</w:t>
      </w:r>
      <w:r>
        <w:rPr>
          <w:rFonts w:cs="Times New Roman"/>
          <w:szCs w:val="24"/>
        </w:rPr>
        <w:t>..P. 2</w:t>
      </w:r>
      <w:r w:rsidR="00C37037">
        <w:rPr>
          <w:rFonts w:cs="Times New Roman"/>
          <w:szCs w:val="24"/>
        </w:rPr>
        <w:t>7</w:t>
      </w:r>
      <w:r w:rsidRPr="002C4FD1">
        <w:t xml:space="preserve"> </w:t>
      </w:r>
    </w:p>
    <w:p w14:paraId="315BFC84" w14:textId="77777777" w:rsidR="00F62B2D" w:rsidRDefault="00F62B2D" w:rsidP="00F62B2D">
      <w:pPr>
        <w:pStyle w:val="NoSpacing"/>
        <w:jc w:val="both"/>
        <w:rPr>
          <w:rFonts w:cs="Times New Roman"/>
          <w:szCs w:val="24"/>
        </w:rPr>
      </w:pPr>
    </w:p>
    <w:p w14:paraId="30F314B1" w14:textId="4CACDE56" w:rsidR="00F62B2D" w:rsidRDefault="00F62B2D" w:rsidP="00F62B2D">
      <w:pPr>
        <w:pStyle w:val="NoSpacing"/>
        <w:jc w:val="both"/>
        <w:rPr>
          <w:rFonts w:cs="Times New Roman"/>
          <w:szCs w:val="24"/>
        </w:rPr>
      </w:pPr>
      <w:r w:rsidRPr="00BC01C3">
        <w:rPr>
          <w:b/>
          <w:bCs/>
        </w:rPr>
        <w:lastRenderedPageBreak/>
        <w:t xml:space="preserve">GUIDELINE </w:t>
      </w:r>
      <w:r w:rsidRPr="00BC01C3">
        <w:rPr>
          <w:rFonts w:cs="Times New Roman"/>
          <w:b/>
          <w:bCs/>
          <w:szCs w:val="24"/>
        </w:rPr>
        <w:t>MDL-§ 7:</w:t>
      </w:r>
      <w:r>
        <w:rPr>
          <w:rFonts w:cs="Times New Roman"/>
          <w:b/>
          <w:bCs/>
          <w:szCs w:val="24"/>
        </w:rPr>
        <w:t xml:space="preserve"> </w:t>
      </w:r>
      <w:r w:rsidRPr="00E20437">
        <w:rPr>
          <w:rFonts w:cs="Times New Roman"/>
          <w:szCs w:val="24"/>
        </w:rPr>
        <w:t xml:space="preserve">Rule </w:t>
      </w:r>
      <w:r w:rsidRPr="002B196A">
        <w:rPr>
          <w:rFonts w:cs="Times New Roman"/>
          <w:szCs w:val="24"/>
        </w:rPr>
        <w:t>16.1(b)(2)(A)</w:t>
      </w:r>
      <w:r>
        <w:t xml:space="preserve"> enumerates agenda topics that parties must address their views on in the report at the initial-management conference, unless the court orders otherwise, even if leadership counsel has not yet been appointed.  Permanent No. </w:t>
      </w:r>
      <w:r>
        <w:rPr>
          <w:rFonts w:cs="Times New Roman"/>
          <w:szCs w:val="24"/>
        </w:rPr>
        <w:t>MDL-§ 14...................P. 2</w:t>
      </w:r>
      <w:r w:rsidR="00243ED1">
        <w:rPr>
          <w:rFonts w:cs="Times New Roman"/>
          <w:szCs w:val="24"/>
        </w:rPr>
        <w:t>8</w:t>
      </w:r>
    </w:p>
    <w:p w14:paraId="786DA1BD" w14:textId="77777777" w:rsidR="00F62B2D" w:rsidRDefault="00F62B2D" w:rsidP="00F62B2D">
      <w:pPr>
        <w:pStyle w:val="NoSpacing"/>
        <w:jc w:val="both"/>
        <w:rPr>
          <w:rFonts w:cs="Times New Roman"/>
          <w:szCs w:val="24"/>
        </w:rPr>
      </w:pPr>
    </w:p>
    <w:p w14:paraId="20E2CEE4" w14:textId="486412A1" w:rsidR="00F62B2D" w:rsidRDefault="00F62B2D" w:rsidP="00F62B2D">
      <w:pPr>
        <w:pStyle w:val="NoSpacing"/>
        <w:jc w:val="both"/>
        <w:rPr>
          <w:rFonts w:cs="Times New Roman"/>
          <w:szCs w:val="24"/>
        </w:rPr>
      </w:pPr>
      <w:r w:rsidRPr="00BC01C3">
        <w:rPr>
          <w:b/>
          <w:bCs/>
        </w:rPr>
        <w:t xml:space="preserve">GUIDELINE </w:t>
      </w:r>
      <w:r w:rsidRPr="00BC01C3">
        <w:rPr>
          <w:rFonts w:cs="Times New Roman"/>
          <w:b/>
          <w:bCs/>
          <w:szCs w:val="24"/>
        </w:rPr>
        <w:t>MDL-§ 8</w:t>
      </w:r>
      <w:r>
        <w:rPr>
          <w:rFonts w:cs="Times New Roman"/>
          <w:b/>
          <w:bCs/>
          <w:szCs w:val="24"/>
        </w:rPr>
        <w:t xml:space="preserve">: </w:t>
      </w:r>
      <w:r w:rsidR="00762F6C" w:rsidRPr="002B196A">
        <w:rPr>
          <w:rFonts w:cs="Times New Roman"/>
          <w:szCs w:val="24"/>
        </w:rPr>
        <w:t>Rule 16.1(b)(</w:t>
      </w:r>
      <w:r w:rsidR="00762F6C">
        <w:rPr>
          <w:rFonts w:cs="Times New Roman"/>
          <w:szCs w:val="24"/>
        </w:rPr>
        <w:t>3)</w:t>
      </w:r>
      <w:r w:rsidR="00346276">
        <w:rPr>
          <w:rFonts w:cs="Times New Roman"/>
          <w:szCs w:val="24"/>
        </w:rPr>
        <w:t xml:space="preserve"> </w:t>
      </w:r>
      <w:r w:rsidR="00B45F9E">
        <w:t xml:space="preserve">enumerates agenda topics that parties must address their </w:t>
      </w:r>
      <w:r w:rsidR="00B45F9E" w:rsidRPr="00B45F9E">
        <w:rPr>
          <w:i/>
          <w:iCs/>
        </w:rPr>
        <w:t>initial</w:t>
      </w:r>
      <w:r w:rsidR="00B45F9E">
        <w:t xml:space="preserve"> views on in the report at the initial-management</w:t>
      </w:r>
      <w:r w:rsidR="00D10679">
        <w:t xml:space="preserve"> conference</w:t>
      </w:r>
      <w:r>
        <w:t xml:space="preserve">.  Permanent No. </w:t>
      </w:r>
      <w:r>
        <w:rPr>
          <w:rFonts w:cs="Times New Roman"/>
          <w:szCs w:val="24"/>
        </w:rPr>
        <w:t>MDL-§ 15...</w:t>
      </w:r>
      <w:r w:rsidR="00B45F9E">
        <w:rPr>
          <w:rFonts w:cs="Times New Roman"/>
          <w:szCs w:val="24"/>
        </w:rPr>
        <w:t>......</w:t>
      </w:r>
      <w:r w:rsidR="00D10679">
        <w:rPr>
          <w:rFonts w:cs="Times New Roman"/>
          <w:szCs w:val="24"/>
        </w:rPr>
        <w:t>.................................................................................................................................</w:t>
      </w:r>
      <w:r w:rsidR="00B45F9E">
        <w:rPr>
          <w:rFonts w:cs="Times New Roman"/>
          <w:szCs w:val="24"/>
        </w:rPr>
        <w:t>....</w:t>
      </w:r>
      <w:r>
        <w:rPr>
          <w:rFonts w:cs="Times New Roman"/>
          <w:szCs w:val="24"/>
        </w:rPr>
        <w:t>..P. 4</w:t>
      </w:r>
      <w:r w:rsidR="00243ED1">
        <w:rPr>
          <w:rFonts w:cs="Times New Roman"/>
          <w:szCs w:val="24"/>
        </w:rPr>
        <w:t>5</w:t>
      </w:r>
    </w:p>
    <w:p w14:paraId="3827C4CA" w14:textId="77777777" w:rsidR="00F62B2D" w:rsidRDefault="00F62B2D" w:rsidP="00F62B2D">
      <w:pPr>
        <w:pStyle w:val="NoSpacing"/>
        <w:jc w:val="both"/>
        <w:rPr>
          <w:rFonts w:cs="Times New Roman"/>
          <w:szCs w:val="24"/>
        </w:rPr>
      </w:pPr>
    </w:p>
    <w:p w14:paraId="68B5498E" w14:textId="342C4456" w:rsidR="00F62B2D" w:rsidRPr="00CA548F" w:rsidRDefault="00516F10" w:rsidP="00516F10">
      <w:pPr>
        <w:pStyle w:val="NoSpacing"/>
        <w:jc w:val="both"/>
        <w:rPr>
          <w:rFonts w:cs="Times New Roman"/>
          <w:b/>
          <w:bCs/>
          <w:sz w:val="28"/>
          <w:szCs w:val="28"/>
        </w:rPr>
      </w:pPr>
      <w:r>
        <w:rPr>
          <w:rFonts w:cs="Times New Roman"/>
          <w:b/>
          <w:bCs/>
          <w:sz w:val="28"/>
          <w:szCs w:val="28"/>
        </w:rPr>
        <w:t>C.</w:t>
      </w:r>
      <w:r>
        <w:rPr>
          <w:rFonts w:cs="Times New Roman"/>
          <w:b/>
          <w:bCs/>
          <w:sz w:val="28"/>
          <w:szCs w:val="28"/>
        </w:rPr>
        <w:tab/>
      </w:r>
      <w:r w:rsidR="00F62B2D" w:rsidRPr="00CA548F">
        <w:rPr>
          <w:rFonts w:cs="Times New Roman"/>
          <w:b/>
          <w:bCs/>
          <w:sz w:val="28"/>
          <w:szCs w:val="28"/>
        </w:rPr>
        <w:t>Discovery</w:t>
      </w:r>
      <w:r w:rsidR="000D3C49">
        <w:rPr>
          <w:rFonts w:cs="Times New Roman"/>
          <w:b/>
          <w:bCs/>
          <w:sz w:val="28"/>
          <w:szCs w:val="28"/>
        </w:rPr>
        <w:t xml:space="preserve"> Planning</w:t>
      </w:r>
    </w:p>
    <w:p w14:paraId="0DD3B411" w14:textId="77777777" w:rsidR="00F62B2D" w:rsidRDefault="00F62B2D" w:rsidP="00F62B2D">
      <w:pPr>
        <w:pStyle w:val="NoSpacing"/>
        <w:jc w:val="both"/>
        <w:rPr>
          <w:rFonts w:cs="Times New Roman"/>
          <w:szCs w:val="24"/>
        </w:rPr>
      </w:pPr>
    </w:p>
    <w:p w14:paraId="0DAF9DBC" w14:textId="75F39E66" w:rsidR="00F62B2D" w:rsidRPr="00D63B51" w:rsidRDefault="00F62B2D" w:rsidP="00F62B2D">
      <w:pPr>
        <w:pStyle w:val="NoSpacing"/>
        <w:jc w:val="both"/>
      </w:pPr>
      <w:r w:rsidRPr="00D63B51">
        <w:rPr>
          <w:b/>
          <w:bCs/>
        </w:rPr>
        <w:t>GUIDELINE</w:t>
      </w:r>
      <w:r w:rsidRPr="00D63B51">
        <w:rPr>
          <w:rFonts w:cs="Times New Roman"/>
          <w:b/>
          <w:bCs/>
          <w:szCs w:val="24"/>
        </w:rPr>
        <w:t xml:space="preserve"> MDL-§ </w:t>
      </w:r>
      <w:r w:rsidRPr="00D63B51">
        <w:rPr>
          <w:b/>
          <w:bCs/>
        </w:rPr>
        <w:t>9:</w:t>
      </w:r>
      <w:r w:rsidRPr="00D63B51">
        <w:t xml:space="preserve"> </w:t>
      </w:r>
      <w:r w:rsidRPr="00D63B51">
        <w:rPr>
          <w:rFonts w:cs="Times New Roman"/>
          <w:szCs w:val="24"/>
        </w:rPr>
        <w:t xml:space="preserve">Unless the court orders otherwise, </w:t>
      </w:r>
      <w:r w:rsidRPr="00D63B51">
        <w:t xml:space="preserve">the parties must </w:t>
      </w:r>
      <w:r w:rsidRPr="00D63B51">
        <w:rPr>
          <w:rFonts w:cs="Times New Roman"/>
          <w:szCs w:val="24"/>
        </w:rPr>
        <w:t xml:space="preserve">address their initial views on and suggest </w:t>
      </w:r>
      <w:r w:rsidRPr="00D63B51">
        <w:t xml:space="preserve">procedures regarding discovery and any difficult issues anticipated. Permanent No. </w:t>
      </w:r>
      <w:r w:rsidRPr="00D63B51">
        <w:rPr>
          <w:rFonts w:cs="Times New Roman"/>
          <w:szCs w:val="24"/>
        </w:rPr>
        <w:t>MDL-§ 15</w:t>
      </w:r>
      <w:r w:rsidRPr="00D63B51">
        <w:t>(c).................................................................</w:t>
      </w:r>
      <w:r w:rsidR="007E2983" w:rsidRPr="00D63B51">
        <w:t>................................</w:t>
      </w:r>
      <w:r w:rsidRPr="00D63B51">
        <w:t>....P. 6</w:t>
      </w:r>
      <w:r w:rsidR="00243ED1" w:rsidRPr="00D63B51">
        <w:t>9</w:t>
      </w:r>
    </w:p>
    <w:p w14:paraId="2542F98F" w14:textId="77777777" w:rsidR="00F62B2D" w:rsidRPr="00D63B51" w:rsidRDefault="00F62B2D" w:rsidP="00F62B2D">
      <w:pPr>
        <w:pStyle w:val="NoSpacing"/>
        <w:jc w:val="both"/>
      </w:pPr>
    </w:p>
    <w:p w14:paraId="156CA8A3" w14:textId="1B394199" w:rsidR="00F62B2D" w:rsidRPr="00D63B51" w:rsidRDefault="00516F10" w:rsidP="00516F10">
      <w:pPr>
        <w:pStyle w:val="NoSpacing"/>
        <w:jc w:val="both"/>
        <w:rPr>
          <w:b/>
          <w:bCs/>
          <w:sz w:val="28"/>
          <w:szCs w:val="28"/>
        </w:rPr>
      </w:pPr>
      <w:r w:rsidRPr="00D63B51">
        <w:rPr>
          <w:b/>
          <w:bCs/>
          <w:sz w:val="28"/>
          <w:szCs w:val="28"/>
        </w:rPr>
        <w:t>D.</w:t>
      </w:r>
      <w:r w:rsidRPr="00D63B51">
        <w:rPr>
          <w:b/>
          <w:bCs/>
          <w:sz w:val="28"/>
          <w:szCs w:val="28"/>
        </w:rPr>
        <w:tab/>
      </w:r>
      <w:r w:rsidR="000514BF" w:rsidRPr="00D63B51">
        <w:rPr>
          <w:b/>
          <w:bCs/>
          <w:sz w:val="28"/>
          <w:szCs w:val="28"/>
        </w:rPr>
        <w:t>Methods to Facilitate Resolving a Mass-Tort MDL</w:t>
      </w:r>
    </w:p>
    <w:p w14:paraId="048E25D9" w14:textId="77777777" w:rsidR="00F62B2D" w:rsidRPr="00D63B51" w:rsidRDefault="00F62B2D" w:rsidP="00F62B2D">
      <w:pPr>
        <w:pStyle w:val="NoSpacing"/>
        <w:jc w:val="both"/>
        <w:rPr>
          <w:rFonts w:cs="Times New Roman"/>
          <w:szCs w:val="24"/>
        </w:rPr>
      </w:pPr>
    </w:p>
    <w:p w14:paraId="4391008E" w14:textId="010F0981" w:rsidR="00C81E5D" w:rsidRPr="00D63B51" w:rsidRDefault="00C81E5D" w:rsidP="00C81E5D">
      <w:pPr>
        <w:pStyle w:val="NoSpacing"/>
      </w:pPr>
      <w:r w:rsidRPr="00D63B51">
        <w:rPr>
          <w:b/>
          <w:bCs/>
        </w:rPr>
        <w:t>GUIDELINE MDL-§ 10:</w:t>
      </w:r>
      <w:r w:rsidRPr="00D63B51">
        <w:t xml:space="preserve"> Unless the court orders otherwise, the parties must address their initial views on and suggest procedures on</w:t>
      </w:r>
      <w:r w:rsidRPr="00D63B51">
        <w:rPr>
          <w:rFonts w:cs="Times New Roman"/>
          <w:szCs w:val="24"/>
        </w:rPr>
        <w:t xml:space="preserve"> whether the court should consider any measures to facilitate resolving some or all actions before the court</w:t>
      </w:r>
      <w:r w:rsidRPr="00D63B51">
        <w:t xml:space="preserve">. Permanent No. </w:t>
      </w:r>
      <w:r w:rsidRPr="00D63B51">
        <w:rPr>
          <w:rFonts w:cs="Times New Roman"/>
          <w:szCs w:val="24"/>
        </w:rPr>
        <w:t>MDL-§ 15</w:t>
      </w:r>
      <w:r w:rsidRPr="00D63B51">
        <w:t>(d)</w:t>
      </w:r>
      <w:r w:rsidR="007E2983" w:rsidRPr="00D63B51">
        <w:t>.......</w:t>
      </w:r>
      <w:r w:rsidR="00924D13" w:rsidRPr="00D63B51">
        <w:t>.</w:t>
      </w:r>
      <w:r w:rsidR="007E2983" w:rsidRPr="00D63B51">
        <w:t>..</w:t>
      </w:r>
      <w:r w:rsidR="00A91D4B" w:rsidRPr="00D63B51">
        <w:t xml:space="preserve">.P. </w:t>
      </w:r>
      <w:r w:rsidR="00924D13" w:rsidRPr="00D63B51">
        <w:t>9</w:t>
      </w:r>
      <w:r w:rsidR="00243ED1" w:rsidRPr="00D63B51">
        <w:t>5</w:t>
      </w:r>
    </w:p>
    <w:p w14:paraId="6FF5CB9C" w14:textId="77777777" w:rsidR="00C81E5D" w:rsidRPr="00D63B51" w:rsidRDefault="00C81E5D" w:rsidP="00F62B2D">
      <w:pPr>
        <w:pStyle w:val="NoSpacing"/>
        <w:jc w:val="both"/>
        <w:rPr>
          <w:b/>
          <w:bCs/>
        </w:rPr>
      </w:pPr>
    </w:p>
    <w:p w14:paraId="5C4EA4E3" w14:textId="5B4EC090" w:rsidR="00F62B2D" w:rsidRPr="00D63B51" w:rsidRDefault="00F62B2D" w:rsidP="00F62B2D">
      <w:pPr>
        <w:pStyle w:val="NoSpacing"/>
        <w:jc w:val="both"/>
        <w:rPr>
          <w:b/>
          <w:bCs/>
        </w:rPr>
      </w:pPr>
      <w:r w:rsidRPr="00D63B51">
        <w:rPr>
          <w:b/>
          <w:bCs/>
        </w:rPr>
        <w:t xml:space="preserve">GUIDELINE </w:t>
      </w:r>
      <w:r w:rsidRPr="00D63B51">
        <w:rPr>
          <w:rFonts w:cs="Times New Roman"/>
          <w:b/>
          <w:bCs/>
          <w:szCs w:val="24"/>
        </w:rPr>
        <w:t>MDL-§ 1</w:t>
      </w:r>
      <w:r w:rsidR="00924D13" w:rsidRPr="00D63B51">
        <w:rPr>
          <w:rFonts w:cs="Times New Roman"/>
          <w:b/>
          <w:bCs/>
          <w:szCs w:val="24"/>
        </w:rPr>
        <w:t>1</w:t>
      </w:r>
      <w:r w:rsidRPr="00D63B51">
        <w:t xml:space="preserve">: Under Rule 16.1(b)(4), the parties may include any other matter not listed in the rule in the report to the court. Permanent No. </w:t>
      </w:r>
      <w:r w:rsidRPr="00D63B51">
        <w:rPr>
          <w:rFonts w:cs="Times New Roman"/>
          <w:szCs w:val="24"/>
        </w:rPr>
        <w:t>MDL-§ 16</w:t>
      </w:r>
      <w:r w:rsidRPr="00D63B51">
        <w:t>......................................P.</w:t>
      </w:r>
      <w:r w:rsidR="00A91D4B" w:rsidRPr="00D63B51">
        <w:t>10</w:t>
      </w:r>
      <w:r w:rsidR="00243ED1" w:rsidRPr="00D63B51">
        <w:t>3</w:t>
      </w:r>
    </w:p>
    <w:p w14:paraId="50187500" w14:textId="77777777" w:rsidR="00F62B2D" w:rsidRPr="00D63B51" w:rsidRDefault="00F62B2D" w:rsidP="00F62B2D">
      <w:pPr>
        <w:pStyle w:val="NoSpacing"/>
        <w:jc w:val="both"/>
        <w:rPr>
          <w:rFonts w:cs="Times New Roman"/>
          <w:szCs w:val="24"/>
        </w:rPr>
      </w:pPr>
    </w:p>
    <w:p w14:paraId="554D675A" w14:textId="2A51BF40" w:rsidR="00F62B2D" w:rsidRPr="00D63B51" w:rsidRDefault="00F62B2D" w:rsidP="00F62B2D">
      <w:pPr>
        <w:pStyle w:val="NoSpacing"/>
        <w:jc w:val="both"/>
      </w:pPr>
      <w:r w:rsidRPr="00D63B51">
        <w:rPr>
          <w:b/>
          <w:bCs/>
        </w:rPr>
        <w:t xml:space="preserve">GUIDELINE </w:t>
      </w:r>
      <w:r w:rsidRPr="00D63B51">
        <w:rPr>
          <w:rFonts w:cs="Times New Roman"/>
          <w:b/>
          <w:bCs/>
          <w:szCs w:val="24"/>
        </w:rPr>
        <w:t>MDL-§ 1</w:t>
      </w:r>
      <w:r w:rsidR="009F2D95" w:rsidRPr="00D63B51">
        <w:rPr>
          <w:rFonts w:cs="Times New Roman"/>
          <w:b/>
          <w:bCs/>
          <w:szCs w:val="24"/>
        </w:rPr>
        <w:t>2</w:t>
      </w:r>
      <w:r w:rsidRPr="00D63B51">
        <w:rPr>
          <w:b/>
          <w:bCs/>
        </w:rPr>
        <w:t>:</w:t>
      </w:r>
      <w:r w:rsidRPr="00D63B51">
        <w:t xml:space="preserve"> An initial-management order addresses matters discussed at the initial-management conference. Permanent No. </w:t>
      </w:r>
      <w:r w:rsidRPr="00D63B51">
        <w:rPr>
          <w:rFonts w:cs="Times New Roman"/>
          <w:szCs w:val="24"/>
        </w:rPr>
        <w:t>MDL-§ 17...............................................................P.</w:t>
      </w:r>
      <w:r w:rsidR="009F2D95" w:rsidRPr="00D63B51">
        <w:rPr>
          <w:rFonts w:cs="Times New Roman"/>
          <w:szCs w:val="24"/>
        </w:rPr>
        <w:t xml:space="preserve"> 10</w:t>
      </w:r>
      <w:r w:rsidR="00243ED1" w:rsidRPr="00D63B51">
        <w:rPr>
          <w:rFonts w:cs="Times New Roman"/>
          <w:szCs w:val="24"/>
        </w:rPr>
        <w:t>4</w:t>
      </w:r>
      <w:r w:rsidRPr="00D63B51">
        <w:rPr>
          <w:rFonts w:cs="Times New Roman"/>
          <w:szCs w:val="24"/>
        </w:rPr>
        <w:t xml:space="preserve">  </w:t>
      </w:r>
    </w:p>
    <w:p w14:paraId="1582C62F" w14:textId="77777777" w:rsidR="00F62B2D" w:rsidRPr="00D63B51" w:rsidRDefault="00F62B2D" w:rsidP="00F62B2D">
      <w:pPr>
        <w:pStyle w:val="NoSpacing"/>
        <w:jc w:val="both"/>
        <w:rPr>
          <w:rFonts w:cs="Times New Roman"/>
          <w:szCs w:val="24"/>
        </w:rPr>
      </w:pPr>
    </w:p>
    <w:p w14:paraId="54F9AE6C" w14:textId="5BBC4D33" w:rsidR="00F62B2D" w:rsidRPr="00D63B51" w:rsidRDefault="00BB3A76" w:rsidP="00F62B2D">
      <w:pPr>
        <w:jc w:val="both"/>
        <w:rPr>
          <w:rFonts w:cs="Times New Roman"/>
        </w:rPr>
      </w:pPr>
      <w:r w:rsidRPr="00D63B51">
        <w:rPr>
          <w:rFonts w:ascii="Times New Roman Bold" w:hAnsi="Times New Roman Bold" w:cs="Times New Roman"/>
          <w:b/>
          <w:smallCaps/>
        </w:rPr>
        <w:t>GUIDELINE MDL</w:t>
      </w:r>
      <w:r w:rsidR="00F62B2D" w:rsidRPr="00D63B51">
        <w:rPr>
          <w:rFonts w:ascii="Times New Roman Bold" w:hAnsi="Times New Roman Bold" w:cs="Times New Roman"/>
          <w:b/>
          <w:smallCaps/>
        </w:rPr>
        <w:t>-</w:t>
      </w:r>
      <w:r w:rsidR="00F62B2D" w:rsidRPr="00D63B51">
        <w:rPr>
          <w:rFonts w:cs="Times New Roman"/>
          <w:b/>
          <w:color w:val="auto"/>
        </w:rPr>
        <w:t>§ 1</w:t>
      </w:r>
      <w:r w:rsidR="00AA78C4" w:rsidRPr="00D63B51">
        <w:rPr>
          <w:rFonts w:cs="Times New Roman"/>
          <w:b/>
          <w:color w:val="auto"/>
        </w:rPr>
        <w:t>3</w:t>
      </w:r>
      <w:r w:rsidR="00F62B2D" w:rsidRPr="00D63B51">
        <w:rPr>
          <w:rFonts w:cs="Times New Roman"/>
          <w:b/>
          <w:color w:val="auto"/>
        </w:rPr>
        <w:t>:</w:t>
      </w:r>
      <w:r w:rsidR="00F62B2D" w:rsidRPr="00D63B51">
        <w:rPr>
          <w:rFonts w:cs="Times New Roman"/>
        </w:rPr>
        <w:t xml:space="preserve">  In a large MDL, if a district court certifies an interlocutory appeal under 28 U.S.C § 1292(b) of a potentially dispositive issue, then the court of appeals should expedite consideration of the petition for permission to appeal and, if permission is granted, should expedite decision of the appeal.  MDL proceedings should not ordinarily be stayed while an interlocutory appeal is pending.  </w:t>
      </w:r>
      <w:r w:rsidR="00F62B2D" w:rsidRPr="00D63B51">
        <w:rPr>
          <w:rFonts w:eastAsia="Calibri" w:cs="Times New Roman"/>
          <w:color w:val="auto"/>
        </w:rPr>
        <w:t xml:space="preserve">Permanent </w:t>
      </w:r>
      <w:r w:rsidR="00F62B2D" w:rsidRPr="00D63B51">
        <w:rPr>
          <w:rFonts w:cs="Times New Roman"/>
        </w:rPr>
        <w:t>No. MDL-</w:t>
      </w:r>
      <w:r w:rsidR="00F62B2D" w:rsidRPr="00D63B51">
        <w:rPr>
          <w:rFonts w:cs="Times New Roman"/>
          <w:b/>
          <w:color w:val="auto"/>
        </w:rPr>
        <w:t xml:space="preserve">§ </w:t>
      </w:r>
      <w:r w:rsidR="00F62B2D" w:rsidRPr="00D63B51">
        <w:rPr>
          <w:rFonts w:cs="Times New Roman"/>
          <w:bCs/>
          <w:color w:val="auto"/>
        </w:rPr>
        <w:t>2</w:t>
      </w:r>
      <w:r w:rsidR="00F62B2D" w:rsidRPr="00D63B51">
        <w:rPr>
          <w:rFonts w:cs="Times New Roman"/>
        </w:rPr>
        <w:t xml:space="preserve">…………………......…………….P. </w:t>
      </w:r>
      <w:r w:rsidR="00AA78C4" w:rsidRPr="00D63B51">
        <w:rPr>
          <w:rFonts w:cs="Times New Roman"/>
        </w:rPr>
        <w:t>10</w:t>
      </w:r>
      <w:r w:rsidR="00243ED1" w:rsidRPr="00D63B51">
        <w:rPr>
          <w:rFonts w:cs="Times New Roman"/>
        </w:rPr>
        <w:t>5</w:t>
      </w:r>
      <w:r w:rsidR="00F62B2D" w:rsidRPr="00D63B51">
        <w:rPr>
          <w:rFonts w:cs="Times New Roman"/>
        </w:rPr>
        <w:t xml:space="preserve"> </w:t>
      </w:r>
    </w:p>
    <w:p w14:paraId="09A54BAA" w14:textId="77777777" w:rsidR="00F62B2D" w:rsidRPr="00D63B51" w:rsidRDefault="00F62B2D" w:rsidP="00F62B2D">
      <w:pPr>
        <w:jc w:val="both"/>
        <w:rPr>
          <w:rFonts w:cs="Times New Roman"/>
        </w:rPr>
      </w:pPr>
    </w:p>
    <w:p w14:paraId="255477D9" w14:textId="1A3C42E2" w:rsidR="00F62B2D" w:rsidRPr="00D63B51" w:rsidRDefault="00BC0F40" w:rsidP="00BC0F40">
      <w:pPr>
        <w:ind w:right="720"/>
        <w:jc w:val="both"/>
        <w:rPr>
          <w:rFonts w:ascii="Times New Roman Bold" w:hAnsi="Times New Roman Bold" w:cs="Times New Roman"/>
          <w:b/>
          <w:sz w:val="28"/>
          <w:szCs w:val="28"/>
        </w:rPr>
      </w:pPr>
      <w:r w:rsidRPr="00D63B51">
        <w:rPr>
          <w:rFonts w:ascii="Times New Roman Bold" w:hAnsi="Times New Roman Bold" w:cs="Times New Roman"/>
          <w:b/>
          <w:sz w:val="28"/>
          <w:szCs w:val="28"/>
        </w:rPr>
        <w:t>E.</w:t>
      </w:r>
      <w:r w:rsidRPr="00D63B51">
        <w:rPr>
          <w:rFonts w:ascii="Times New Roman Bold" w:hAnsi="Times New Roman Bold" w:cs="Times New Roman"/>
          <w:b/>
          <w:sz w:val="28"/>
          <w:szCs w:val="28"/>
        </w:rPr>
        <w:tab/>
      </w:r>
      <w:r w:rsidR="00F62B2D" w:rsidRPr="00D63B51">
        <w:rPr>
          <w:rFonts w:ascii="Times New Roman Bold" w:hAnsi="Times New Roman Bold" w:cs="Times New Roman"/>
          <w:b/>
          <w:sz w:val="28"/>
          <w:szCs w:val="28"/>
        </w:rPr>
        <w:t>Bankruptcies</w:t>
      </w:r>
      <w:r w:rsidR="000514BF" w:rsidRPr="00D63B51">
        <w:rPr>
          <w:rFonts w:ascii="Times New Roman Bold" w:hAnsi="Times New Roman Bold" w:cs="Times New Roman"/>
          <w:b/>
          <w:sz w:val="28"/>
          <w:szCs w:val="28"/>
        </w:rPr>
        <w:t xml:space="preserve"> That Originated from Mass-Tort MDLs</w:t>
      </w:r>
    </w:p>
    <w:p w14:paraId="5A70DE99" w14:textId="77777777" w:rsidR="00BB3A76" w:rsidRPr="00D63B51" w:rsidRDefault="00BB3A76" w:rsidP="00BB3A76">
      <w:pPr>
        <w:pStyle w:val="ListParagraph"/>
        <w:ind w:right="720"/>
        <w:jc w:val="both"/>
        <w:rPr>
          <w:rFonts w:ascii="Times New Roman Bold" w:hAnsi="Times New Roman Bold" w:cs="Times New Roman"/>
          <w:b/>
          <w:sz w:val="28"/>
          <w:szCs w:val="28"/>
        </w:rPr>
      </w:pPr>
    </w:p>
    <w:p w14:paraId="69E2B01B" w14:textId="3CACC234" w:rsidR="00BC0B5E" w:rsidRPr="00D63B51" w:rsidRDefault="00BC0B5E" w:rsidP="00BC0B5E">
      <w:pPr>
        <w:jc w:val="both"/>
        <w:rPr>
          <w:rFonts w:eastAsia="Times New Roman" w:cs="Times New Roman"/>
          <w:color w:val="000000"/>
        </w:rPr>
      </w:pPr>
      <w:r w:rsidRPr="00D63B51">
        <w:rPr>
          <w:rFonts w:eastAsia="Times New Roman" w:cs="Times New Roman"/>
          <w:b/>
          <w:bCs/>
          <w:color w:val="000000"/>
        </w:rPr>
        <w:t>GUIDELINE MDL-§ 1</w:t>
      </w:r>
      <w:r w:rsidR="002F7C7C" w:rsidRPr="00D63B51">
        <w:rPr>
          <w:rFonts w:eastAsia="Times New Roman" w:cs="Times New Roman"/>
          <w:b/>
          <w:bCs/>
          <w:color w:val="000000"/>
        </w:rPr>
        <w:t>4</w:t>
      </w:r>
      <w:r w:rsidRPr="00D63B51">
        <w:rPr>
          <w:rFonts w:eastAsia="Times New Roman" w:cs="Times New Roman"/>
          <w:b/>
          <w:bCs/>
          <w:color w:val="000000"/>
        </w:rPr>
        <w:t xml:space="preserve">: </w:t>
      </w:r>
      <w:r w:rsidRPr="00D63B51">
        <w:rPr>
          <w:rFonts w:eastAsia="Times New Roman" w:cs="Times New Roman"/>
          <w:color w:val="000000"/>
        </w:rPr>
        <w:t>Bankruptcy documents that are not clearly and concisely worded generate wasteful litigation over ambiguous language and hinder creditors from making informed judgments</w:t>
      </w:r>
      <w:r w:rsidR="005B3F4C" w:rsidRPr="00D63B51">
        <w:rPr>
          <w:rFonts w:eastAsia="Times New Roman" w:cs="Times New Roman"/>
          <w:color w:val="000000"/>
        </w:rPr>
        <w:t>. P</w:t>
      </w:r>
      <w:r w:rsidR="005B3F4C" w:rsidRPr="00D63B51">
        <w:rPr>
          <w:rFonts w:cs="Times New Roman"/>
          <w:color w:val="4A4A4A"/>
          <w:shd w:val="clear" w:color="auto" w:fill="FFFFFF"/>
        </w:rPr>
        <w:t>ermanent No. MDL-§ 18</w:t>
      </w:r>
      <w:r w:rsidR="005B3F4C" w:rsidRPr="00D63B51">
        <w:rPr>
          <w:rFonts w:eastAsia="Times New Roman" w:cs="Times New Roman"/>
          <w:color w:val="000000"/>
        </w:rPr>
        <w:t xml:space="preserve"> </w:t>
      </w:r>
      <w:r w:rsidRPr="00D63B51">
        <w:rPr>
          <w:rFonts w:eastAsia="Times New Roman" w:cs="Times New Roman"/>
          <w:color w:val="000000"/>
        </w:rPr>
        <w:t>.....................................................................................P. 11</w:t>
      </w:r>
      <w:r w:rsidR="008F0C9A" w:rsidRPr="00D63B51">
        <w:rPr>
          <w:rFonts w:eastAsia="Times New Roman" w:cs="Times New Roman"/>
          <w:color w:val="000000"/>
        </w:rPr>
        <w:t>0</w:t>
      </w:r>
    </w:p>
    <w:p w14:paraId="7D5C7B90" w14:textId="77777777" w:rsidR="00BC0B5E" w:rsidRPr="00D63B51" w:rsidRDefault="00BC0B5E" w:rsidP="00BC0B5E">
      <w:pPr>
        <w:jc w:val="both"/>
        <w:rPr>
          <w:rFonts w:eastAsia="Times New Roman" w:cs="Times New Roman"/>
          <w:color w:val="000000"/>
        </w:rPr>
      </w:pPr>
    </w:p>
    <w:p w14:paraId="066E226A" w14:textId="41692002" w:rsidR="00BB3A76" w:rsidRPr="00D63B51" w:rsidRDefault="00BB3A76" w:rsidP="00BB3A76">
      <w:pPr>
        <w:jc w:val="both"/>
      </w:pPr>
      <w:r w:rsidRPr="00D63B51">
        <w:rPr>
          <w:b/>
          <w:bCs/>
        </w:rPr>
        <w:t xml:space="preserve">GUIDELINE </w:t>
      </w:r>
      <w:r w:rsidRPr="00D63B51">
        <w:rPr>
          <w:rFonts w:cs="Times New Roman"/>
          <w:b/>
          <w:bCs/>
        </w:rPr>
        <w:t>MDL-§ 1</w:t>
      </w:r>
      <w:r w:rsidR="002F7C7C" w:rsidRPr="00D63B51">
        <w:rPr>
          <w:rFonts w:cs="Times New Roman"/>
          <w:b/>
          <w:bCs/>
        </w:rPr>
        <w:t>5</w:t>
      </w:r>
      <w:r w:rsidRPr="00D63B51">
        <w:rPr>
          <w:rFonts w:cs="Times New Roman"/>
          <w:b/>
          <w:bCs/>
        </w:rPr>
        <w:t>:</w:t>
      </w:r>
      <w:r w:rsidRPr="00D63B51">
        <w:rPr>
          <w:b/>
          <w:bCs/>
        </w:rPr>
        <w:t xml:space="preserve"> </w:t>
      </w:r>
      <w:r w:rsidRPr="00D63B51">
        <w:t>Parties and the court need basic information as to each creditor’s personal-injury claim in a Chapter 11 mass-tort bankruptcy as soon as practicable -- to facilitate the plan’s development and to allow parties in interest to make informed decisions about eligibility to vote for a reorganization plan</w:t>
      </w:r>
      <w:r w:rsidR="0088654E" w:rsidRPr="00D63B51">
        <w:t>.</w:t>
      </w:r>
      <w:r w:rsidR="005B3F4C" w:rsidRPr="00D63B51">
        <w:t xml:space="preserve"> </w:t>
      </w:r>
      <w:r w:rsidR="005B3F4C" w:rsidRPr="00D63B51">
        <w:rPr>
          <w:rFonts w:cs="Times New Roman"/>
          <w:color w:val="4A4A4A"/>
          <w:shd w:val="clear" w:color="auto" w:fill="FFFFFF"/>
        </w:rPr>
        <w:t>Permanent No. MDL-§ 19..............</w:t>
      </w:r>
      <w:r w:rsidR="0088654E" w:rsidRPr="00D63B51">
        <w:t>....................................P. 1</w:t>
      </w:r>
      <w:r w:rsidR="008F0C9A" w:rsidRPr="00D63B51">
        <w:t>15</w:t>
      </w:r>
      <w:r w:rsidRPr="00D63B51">
        <w:t xml:space="preserve">  </w:t>
      </w:r>
    </w:p>
    <w:p w14:paraId="048F729F" w14:textId="77777777" w:rsidR="00802F0D" w:rsidRPr="00D63B51" w:rsidRDefault="00802F0D" w:rsidP="00BB3A76">
      <w:pPr>
        <w:jc w:val="both"/>
        <w:rPr>
          <w:rFonts w:ascii="Times New Roman Bold" w:hAnsi="Times New Roman Bold" w:cs="Times New Roman"/>
          <w:smallCaps/>
          <w:color w:val="auto"/>
          <w:sz w:val="28"/>
          <w:szCs w:val="28"/>
        </w:rPr>
      </w:pPr>
    </w:p>
    <w:p w14:paraId="1FFAC8FC" w14:textId="6A7B804C" w:rsidR="00802F0D" w:rsidRPr="00D63B51" w:rsidRDefault="00802F0D" w:rsidP="00802F0D">
      <w:pPr>
        <w:jc w:val="both"/>
        <w:rPr>
          <w:rFonts w:cs="Times New Roman"/>
        </w:rPr>
      </w:pPr>
      <w:r w:rsidRPr="00D63B51">
        <w:rPr>
          <w:rFonts w:cs="Times New Roman"/>
          <w:b/>
          <w:bCs/>
        </w:rPr>
        <w:t>GUIDELINE MDL-§ 1</w:t>
      </w:r>
      <w:r w:rsidR="006A3C59" w:rsidRPr="00D63B51">
        <w:rPr>
          <w:rFonts w:cs="Times New Roman"/>
          <w:b/>
          <w:bCs/>
        </w:rPr>
        <w:t>6</w:t>
      </w:r>
      <w:r w:rsidRPr="00D63B51">
        <w:rPr>
          <w:rFonts w:cs="Times New Roman"/>
          <w:b/>
          <w:bCs/>
        </w:rPr>
        <w:t>:</w:t>
      </w:r>
      <w:r w:rsidRPr="00D63B51">
        <w:rPr>
          <w:rFonts w:cs="Times New Roman"/>
        </w:rPr>
        <w:t xml:space="preserve"> A bankruptcy court’s authority to appoint a neutral to assist it manage a mass-tort bankruptcy is limited.</w:t>
      </w:r>
      <w:r w:rsidR="00660945" w:rsidRPr="00D63B51">
        <w:rPr>
          <w:rFonts w:cs="Times New Roman"/>
        </w:rPr>
        <w:t xml:space="preserve"> P</w:t>
      </w:r>
      <w:r w:rsidR="00660945" w:rsidRPr="00D63B51">
        <w:rPr>
          <w:rFonts w:cs="Times New Roman"/>
          <w:color w:val="4A4A4A"/>
          <w:shd w:val="clear" w:color="auto" w:fill="FFFFFF"/>
        </w:rPr>
        <w:t>ermanent No. MDL-§ 20</w:t>
      </w:r>
      <w:r w:rsidR="0088654E" w:rsidRPr="00D63B51">
        <w:rPr>
          <w:rFonts w:cs="Times New Roman"/>
        </w:rPr>
        <w:t xml:space="preserve">...................................................P. </w:t>
      </w:r>
      <w:r w:rsidR="00F0307A" w:rsidRPr="00D63B51">
        <w:rPr>
          <w:rFonts w:cs="Times New Roman"/>
        </w:rPr>
        <w:t>1</w:t>
      </w:r>
      <w:r w:rsidR="006A3C59" w:rsidRPr="00D63B51">
        <w:rPr>
          <w:rFonts w:cs="Times New Roman"/>
        </w:rPr>
        <w:t>23</w:t>
      </w:r>
    </w:p>
    <w:p w14:paraId="3486976D" w14:textId="77777777" w:rsidR="00F62B2D" w:rsidRPr="00D63B51" w:rsidRDefault="00F62B2D" w:rsidP="00F62B2D">
      <w:pPr>
        <w:jc w:val="both"/>
        <w:rPr>
          <w:rFonts w:cs="Times New Roman"/>
        </w:rPr>
      </w:pPr>
    </w:p>
    <w:p w14:paraId="7D560B44" w14:textId="04E4D458" w:rsidR="00802F0D" w:rsidRPr="00D63B51" w:rsidRDefault="00802F0D" w:rsidP="00802F0D">
      <w:pPr>
        <w:jc w:val="both"/>
      </w:pPr>
      <w:r w:rsidRPr="00D63B51">
        <w:rPr>
          <w:b/>
          <w:bCs/>
        </w:rPr>
        <w:lastRenderedPageBreak/>
        <w:t xml:space="preserve">GUIDELINE </w:t>
      </w:r>
      <w:r w:rsidRPr="00D63B51">
        <w:rPr>
          <w:rFonts w:cs="Times New Roman"/>
          <w:b/>
          <w:bCs/>
        </w:rPr>
        <w:t>MDL-§ 1</w:t>
      </w:r>
      <w:r w:rsidR="008F0C9A" w:rsidRPr="00D63B51">
        <w:rPr>
          <w:rFonts w:cs="Times New Roman"/>
          <w:b/>
          <w:bCs/>
        </w:rPr>
        <w:t>7</w:t>
      </w:r>
      <w:r w:rsidRPr="00D63B51">
        <w:rPr>
          <w:rFonts w:cs="Times New Roman"/>
          <w:b/>
          <w:bCs/>
        </w:rPr>
        <w:t>:</w:t>
      </w:r>
      <w:r w:rsidRPr="00D63B51">
        <w:rPr>
          <w:b/>
          <w:bCs/>
        </w:rPr>
        <w:t xml:space="preserve"> </w:t>
      </w:r>
      <w:r w:rsidRPr="00D63B51">
        <w:t xml:space="preserve">The Supreme Court held in </w:t>
      </w:r>
      <w:r w:rsidRPr="00D63B51">
        <w:rPr>
          <w:i/>
          <w:iCs/>
        </w:rPr>
        <w:t>Purdue Pharma</w:t>
      </w:r>
      <w:r w:rsidRPr="00D63B51">
        <w:t xml:space="preserve"> that the Bankruptcy Code does not authorize the release of claims against nondebtors as part of a Chapter 11 reorganization plan in a non-asbestos mass-tort bankruptcy without the consent of tort claimants</w:t>
      </w:r>
      <w:r w:rsidR="00F0307A" w:rsidRPr="00D63B51">
        <w:t>.</w:t>
      </w:r>
      <w:r w:rsidR="00A022FC" w:rsidRPr="00D63B51">
        <w:rPr>
          <w:rFonts w:cs="Times New Roman"/>
          <w:color w:val="4A4A4A"/>
          <w:shd w:val="clear" w:color="auto" w:fill="FFFFFF"/>
        </w:rPr>
        <w:t xml:space="preserve"> Permanent No. MDL-§ 21</w:t>
      </w:r>
      <w:r w:rsidR="00F0307A" w:rsidRPr="00D63B51">
        <w:t>..............</w:t>
      </w:r>
      <w:r w:rsidR="00A022FC" w:rsidRPr="00D63B51">
        <w:t>..................................................................................................................</w:t>
      </w:r>
      <w:r w:rsidR="00F0307A" w:rsidRPr="00D63B51">
        <w:t>.P. 12</w:t>
      </w:r>
      <w:r w:rsidR="008F0C9A" w:rsidRPr="00D63B51">
        <w:t>8</w:t>
      </w:r>
    </w:p>
    <w:p w14:paraId="4EED36A4" w14:textId="77777777" w:rsidR="00802F0D" w:rsidRPr="00D63B51" w:rsidRDefault="00802F0D" w:rsidP="00F62B2D">
      <w:pPr>
        <w:jc w:val="both"/>
        <w:rPr>
          <w:rFonts w:cs="Times New Roman"/>
        </w:rPr>
      </w:pPr>
    </w:p>
    <w:p w14:paraId="2A6BF10A" w14:textId="3873CB24" w:rsidR="00F62B2D" w:rsidRPr="00D63B51" w:rsidRDefault="00F62B2D" w:rsidP="00F62B2D">
      <w:pPr>
        <w:pStyle w:val="NoSpacing"/>
        <w:jc w:val="both"/>
      </w:pPr>
      <w:r w:rsidRPr="00D63B51">
        <w:rPr>
          <w:rFonts w:ascii="Times New Roman Bold" w:hAnsi="Times New Roman Bold"/>
          <w:b/>
          <w:bCs/>
          <w:smallCaps/>
        </w:rPr>
        <w:t>GUIDELINE</w:t>
      </w:r>
      <w:r w:rsidRPr="00D63B51">
        <w:rPr>
          <w:b/>
          <w:bCs/>
        </w:rPr>
        <w:t xml:space="preserve"> MDL-</w:t>
      </w:r>
      <w:r w:rsidRPr="00D63B51">
        <w:rPr>
          <w:rFonts w:cs="Times New Roman"/>
          <w:b/>
          <w:bCs/>
        </w:rPr>
        <w:t>§ 1</w:t>
      </w:r>
      <w:r w:rsidR="00802F0D" w:rsidRPr="00D63B51">
        <w:rPr>
          <w:rFonts w:cs="Times New Roman"/>
          <w:b/>
          <w:bCs/>
        </w:rPr>
        <w:t>8</w:t>
      </w:r>
      <w:r w:rsidRPr="00D63B51">
        <w:rPr>
          <w:b/>
          <w:bCs/>
        </w:rPr>
        <w:t xml:space="preserve">: </w:t>
      </w:r>
      <w:r w:rsidRPr="00D63B51">
        <w:t>Chapter 11 of the Bankruptcy Code may, under certain and appropriate circumstances, offer a process that drives parties to negotiate a resolution with the goal of arriving at a consensual plan of reorganization within a reasonable time for a mass-tort</w:t>
      </w:r>
      <w:r w:rsidRPr="00D63B51">
        <w:rPr>
          <w:b/>
          <w:bCs/>
        </w:rPr>
        <w:t xml:space="preserve"> </w:t>
      </w:r>
      <w:r w:rsidRPr="00D63B51">
        <w:t>MDL, which is brought into a bankruptcy court. Permanent No. MDL-</w:t>
      </w:r>
      <w:r w:rsidRPr="00D63B51">
        <w:rPr>
          <w:rFonts w:cs="Times New Roman"/>
        </w:rPr>
        <w:t>§ 5</w:t>
      </w:r>
      <w:r w:rsidRPr="00D63B51">
        <w:t xml:space="preserve">..................................................... P. </w:t>
      </w:r>
      <w:r w:rsidR="00F0307A" w:rsidRPr="00D63B51">
        <w:t>13</w:t>
      </w:r>
      <w:r w:rsidR="00243ED1" w:rsidRPr="00D63B51">
        <w:t>8</w:t>
      </w:r>
    </w:p>
    <w:p w14:paraId="0A0AC834" w14:textId="77777777" w:rsidR="00F62B2D" w:rsidRPr="00D63B51" w:rsidRDefault="00F62B2D" w:rsidP="00F62B2D">
      <w:pPr>
        <w:pStyle w:val="NoSpacing"/>
        <w:jc w:val="both"/>
      </w:pPr>
    </w:p>
    <w:p w14:paraId="5AAF35E0" w14:textId="7D9A4510" w:rsidR="00F62B2D" w:rsidRPr="00D63B51" w:rsidRDefault="00F62B2D" w:rsidP="00F62B2D">
      <w:pPr>
        <w:jc w:val="both"/>
        <w:rPr>
          <w:rFonts w:cs="Times New Roman"/>
          <w:b/>
          <w:bCs/>
        </w:rPr>
      </w:pPr>
      <w:r w:rsidRPr="00D63B51">
        <w:rPr>
          <w:rFonts w:ascii="Times New Roman Bold" w:hAnsi="Times New Roman Bold" w:cs="Times New Roman"/>
          <w:b/>
          <w:bCs/>
          <w:smallCaps/>
        </w:rPr>
        <w:t xml:space="preserve">GUIDELINE </w:t>
      </w:r>
      <w:r w:rsidRPr="00D63B51">
        <w:rPr>
          <w:rFonts w:cs="Times New Roman"/>
          <w:b/>
          <w:bCs/>
        </w:rPr>
        <w:t>MDL-§ 1</w:t>
      </w:r>
      <w:r w:rsidR="00802F0D" w:rsidRPr="00D63B51">
        <w:rPr>
          <w:rFonts w:cs="Times New Roman"/>
          <w:b/>
          <w:bCs/>
        </w:rPr>
        <w:t>9</w:t>
      </w:r>
      <w:r w:rsidRPr="00D63B51">
        <w:rPr>
          <w:rFonts w:cs="Times New Roman"/>
          <w:b/>
          <w:bCs/>
        </w:rPr>
        <w:t xml:space="preserve">: </w:t>
      </w:r>
      <w:r w:rsidRPr="00D63B51">
        <w:rPr>
          <w:rFonts w:cs="Times New Roman"/>
        </w:rPr>
        <w:t xml:space="preserve">If the parties have been unsuccessful in negotiating a solution, a judge can hold an evidentiary hearing to estimate the aggregate value of the tort claims.  Permanent MDL-§ 6...................................................................................................................................P. </w:t>
      </w:r>
      <w:r w:rsidR="00F0307A" w:rsidRPr="00D63B51">
        <w:rPr>
          <w:rFonts w:cs="Times New Roman"/>
        </w:rPr>
        <w:t>1</w:t>
      </w:r>
      <w:r w:rsidR="008F0C9A" w:rsidRPr="00D63B51">
        <w:rPr>
          <w:rFonts w:cs="Times New Roman"/>
        </w:rPr>
        <w:t>50</w:t>
      </w:r>
    </w:p>
    <w:p w14:paraId="0EB2BB0E" w14:textId="15AA3726" w:rsidR="00F62B2D" w:rsidRPr="00D63B51" w:rsidRDefault="00F62B2D" w:rsidP="00F62B2D">
      <w:pPr>
        <w:jc w:val="both"/>
        <w:rPr>
          <w:rFonts w:cs="Times New Roman"/>
          <w:b/>
          <w:bCs/>
          <w:u w:val="single"/>
        </w:rPr>
      </w:pPr>
      <w:r w:rsidRPr="00D63B51">
        <w:rPr>
          <w:rFonts w:cs="Times New Roman"/>
          <w:b/>
          <w:bCs/>
        </w:rPr>
        <w:t xml:space="preserve"> </w:t>
      </w:r>
      <w:r w:rsidRPr="00D63B51">
        <w:rPr>
          <w:rFonts w:cs="Times New Roman"/>
        </w:rPr>
        <w:t xml:space="preserve"> </w:t>
      </w:r>
    </w:p>
    <w:p w14:paraId="489098E6" w14:textId="611026D2" w:rsidR="00F62B2D" w:rsidRPr="00D63B51" w:rsidRDefault="00F62B2D" w:rsidP="00F62B2D">
      <w:pPr>
        <w:jc w:val="both"/>
        <w:rPr>
          <w:rFonts w:cs="Times New Roman"/>
        </w:rPr>
      </w:pPr>
      <w:r w:rsidRPr="00D63B51">
        <w:rPr>
          <w:b/>
          <w:bCs/>
        </w:rPr>
        <w:t xml:space="preserve">GUIDELINE </w:t>
      </w:r>
      <w:r w:rsidRPr="00D63B51">
        <w:rPr>
          <w:rFonts w:cs="Times New Roman"/>
          <w:b/>
          <w:bCs/>
        </w:rPr>
        <w:t xml:space="preserve">MDL-§ </w:t>
      </w:r>
      <w:r w:rsidR="00802F0D" w:rsidRPr="00D63B51">
        <w:rPr>
          <w:rFonts w:cs="Times New Roman"/>
          <w:b/>
          <w:bCs/>
        </w:rPr>
        <w:t>2</w:t>
      </w:r>
      <w:r w:rsidR="008F0C9A" w:rsidRPr="00D63B51">
        <w:rPr>
          <w:rFonts w:cs="Times New Roman"/>
          <w:b/>
          <w:bCs/>
        </w:rPr>
        <w:t>0</w:t>
      </w:r>
      <w:r w:rsidRPr="00D63B51">
        <w:rPr>
          <w:rFonts w:cs="Times New Roman"/>
          <w:b/>
          <w:bCs/>
        </w:rPr>
        <w:t>:</w:t>
      </w:r>
      <w:r w:rsidRPr="00D63B51">
        <w:rPr>
          <w:b/>
          <w:bCs/>
        </w:rPr>
        <w:t xml:space="preserve"> </w:t>
      </w:r>
      <w:r w:rsidRPr="00D63B51">
        <w:t>Plaintiff lead counsel in a mass-tort MDL typically spend substantial sums upfront to pay for expenses in the ongoing MDL litigation, which are potentially recouped from each tort-claimant on a percentage basis.</w:t>
      </w:r>
      <w:r w:rsidRPr="00D63B51">
        <w:rPr>
          <w:rFonts w:cs="Times New Roman"/>
        </w:rPr>
        <w:t xml:space="preserve"> Permanent No. MDL-§ 8...............................P. 1</w:t>
      </w:r>
      <w:r w:rsidR="00F0307A" w:rsidRPr="00D63B51">
        <w:rPr>
          <w:rFonts w:cs="Times New Roman"/>
        </w:rPr>
        <w:t>5</w:t>
      </w:r>
      <w:r w:rsidR="00A146F3" w:rsidRPr="00D63B51">
        <w:rPr>
          <w:rFonts w:cs="Times New Roman"/>
        </w:rPr>
        <w:t>1</w:t>
      </w:r>
    </w:p>
    <w:p w14:paraId="6E467B88" w14:textId="77777777" w:rsidR="00F62B2D" w:rsidRPr="00D63B51" w:rsidRDefault="00F62B2D" w:rsidP="00F62B2D">
      <w:pPr>
        <w:jc w:val="both"/>
        <w:rPr>
          <w:b/>
          <w:bCs/>
        </w:rPr>
      </w:pPr>
    </w:p>
    <w:p w14:paraId="20FDF14A" w14:textId="77777777" w:rsidR="00F62B2D" w:rsidRPr="00D63B51" w:rsidRDefault="00F62B2D" w:rsidP="00F62B2D">
      <w:pPr>
        <w:jc w:val="both"/>
        <w:rPr>
          <w:rFonts w:cs="Times New Roman"/>
        </w:rPr>
      </w:pPr>
    </w:p>
    <w:p w14:paraId="491E787A" w14:textId="77777777" w:rsidR="00F62B2D" w:rsidRPr="00D63B51" w:rsidRDefault="00F62B2D" w:rsidP="00F62B2D">
      <w:pPr>
        <w:jc w:val="center"/>
        <w:rPr>
          <w:b/>
          <w:color w:val="auto"/>
          <w:sz w:val="40"/>
          <w:szCs w:val="40"/>
        </w:rPr>
      </w:pPr>
    </w:p>
    <w:p w14:paraId="298E5066" w14:textId="77777777" w:rsidR="00F0307A" w:rsidRPr="00D63B51" w:rsidRDefault="00F0307A" w:rsidP="00F62B2D">
      <w:pPr>
        <w:jc w:val="center"/>
        <w:rPr>
          <w:b/>
          <w:color w:val="auto"/>
          <w:sz w:val="40"/>
          <w:szCs w:val="40"/>
        </w:rPr>
      </w:pPr>
    </w:p>
    <w:p w14:paraId="009CCB42" w14:textId="77777777" w:rsidR="00F0307A" w:rsidRPr="00D63B51" w:rsidRDefault="00F0307A" w:rsidP="00F62B2D">
      <w:pPr>
        <w:jc w:val="center"/>
        <w:rPr>
          <w:b/>
          <w:color w:val="auto"/>
          <w:sz w:val="40"/>
          <w:szCs w:val="40"/>
        </w:rPr>
      </w:pPr>
    </w:p>
    <w:p w14:paraId="000D826E" w14:textId="77777777" w:rsidR="00F0307A" w:rsidRPr="00D63B51" w:rsidRDefault="00F0307A" w:rsidP="00F62B2D">
      <w:pPr>
        <w:jc w:val="center"/>
        <w:rPr>
          <w:b/>
          <w:color w:val="auto"/>
          <w:sz w:val="40"/>
          <w:szCs w:val="40"/>
        </w:rPr>
      </w:pPr>
    </w:p>
    <w:p w14:paraId="486E1025" w14:textId="77777777" w:rsidR="00F0307A" w:rsidRPr="00D63B51" w:rsidRDefault="00F0307A" w:rsidP="00F62B2D">
      <w:pPr>
        <w:jc w:val="center"/>
        <w:rPr>
          <w:b/>
          <w:color w:val="auto"/>
          <w:sz w:val="40"/>
          <w:szCs w:val="40"/>
        </w:rPr>
      </w:pPr>
    </w:p>
    <w:p w14:paraId="3C6D87D0" w14:textId="77777777" w:rsidR="00F0307A" w:rsidRPr="00D63B51" w:rsidRDefault="00F0307A" w:rsidP="00F62B2D">
      <w:pPr>
        <w:jc w:val="center"/>
        <w:rPr>
          <w:b/>
          <w:color w:val="auto"/>
          <w:sz w:val="40"/>
          <w:szCs w:val="40"/>
        </w:rPr>
      </w:pPr>
    </w:p>
    <w:p w14:paraId="092360DF" w14:textId="77777777" w:rsidR="00F0307A" w:rsidRPr="00D63B51" w:rsidRDefault="00F0307A" w:rsidP="00F62B2D">
      <w:pPr>
        <w:jc w:val="center"/>
        <w:rPr>
          <w:b/>
          <w:color w:val="auto"/>
          <w:sz w:val="40"/>
          <w:szCs w:val="40"/>
        </w:rPr>
      </w:pPr>
    </w:p>
    <w:p w14:paraId="3E84CCE0" w14:textId="77777777" w:rsidR="00F0307A" w:rsidRPr="00D63B51" w:rsidRDefault="00F0307A" w:rsidP="00F62B2D">
      <w:pPr>
        <w:jc w:val="center"/>
        <w:rPr>
          <w:b/>
          <w:color w:val="auto"/>
          <w:sz w:val="40"/>
          <w:szCs w:val="40"/>
        </w:rPr>
      </w:pPr>
    </w:p>
    <w:p w14:paraId="32BCE5C7" w14:textId="77777777" w:rsidR="00F0307A" w:rsidRPr="00D63B51" w:rsidRDefault="00F0307A" w:rsidP="00F62B2D">
      <w:pPr>
        <w:jc w:val="center"/>
        <w:rPr>
          <w:b/>
          <w:color w:val="auto"/>
          <w:sz w:val="40"/>
          <w:szCs w:val="40"/>
        </w:rPr>
      </w:pPr>
    </w:p>
    <w:p w14:paraId="7108E63C" w14:textId="77777777" w:rsidR="00F0307A" w:rsidRPr="00D63B51" w:rsidRDefault="00F0307A" w:rsidP="00F62B2D">
      <w:pPr>
        <w:jc w:val="center"/>
        <w:rPr>
          <w:b/>
          <w:color w:val="auto"/>
          <w:sz w:val="40"/>
          <w:szCs w:val="40"/>
        </w:rPr>
      </w:pPr>
    </w:p>
    <w:p w14:paraId="1ED10D0C" w14:textId="77777777" w:rsidR="00F0307A" w:rsidRPr="00D63B51" w:rsidRDefault="00F0307A" w:rsidP="00F62B2D">
      <w:pPr>
        <w:jc w:val="center"/>
        <w:rPr>
          <w:b/>
          <w:color w:val="auto"/>
          <w:sz w:val="40"/>
          <w:szCs w:val="40"/>
        </w:rPr>
      </w:pPr>
    </w:p>
    <w:p w14:paraId="52FE704B" w14:textId="77777777" w:rsidR="00F0307A" w:rsidRPr="00D63B51" w:rsidRDefault="00F0307A" w:rsidP="00F62B2D">
      <w:pPr>
        <w:jc w:val="center"/>
        <w:rPr>
          <w:b/>
          <w:color w:val="auto"/>
          <w:sz w:val="40"/>
          <w:szCs w:val="40"/>
        </w:rPr>
      </w:pPr>
    </w:p>
    <w:p w14:paraId="17407938" w14:textId="77777777" w:rsidR="00F0307A" w:rsidRPr="00D63B51" w:rsidRDefault="00F0307A" w:rsidP="00F62B2D">
      <w:pPr>
        <w:jc w:val="center"/>
        <w:rPr>
          <w:b/>
          <w:color w:val="auto"/>
          <w:sz w:val="40"/>
          <w:szCs w:val="40"/>
        </w:rPr>
      </w:pPr>
    </w:p>
    <w:p w14:paraId="39723514" w14:textId="77777777" w:rsidR="00F0307A" w:rsidRPr="00D63B51" w:rsidRDefault="00F0307A" w:rsidP="00F62B2D">
      <w:pPr>
        <w:jc w:val="center"/>
        <w:rPr>
          <w:b/>
          <w:color w:val="auto"/>
          <w:sz w:val="40"/>
          <w:szCs w:val="40"/>
        </w:rPr>
      </w:pPr>
    </w:p>
    <w:p w14:paraId="2AE66AD1" w14:textId="77777777" w:rsidR="00AD5F3E" w:rsidRPr="00D63B51" w:rsidRDefault="00AD5F3E" w:rsidP="00F62B2D">
      <w:pPr>
        <w:jc w:val="center"/>
        <w:rPr>
          <w:b/>
          <w:color w:val="auto"/>
          <w:sz w:val="40"/>
          <w:szCs w:val="40"/>
        </w:rPr>
      </w:pPr>
    </w:p>
    <w:p w14:paraId="68B4D608" w14:textId="77777777" w:rsidR="00AD5F3E" w:rsidRPr="00D63B51" w:rsidRDefault="00AD5F3E" w:rsidP="00F62B2D">
      <w:pPr>
        <w:jc w:val="center"/>
        <w:rPr>
          <w:b/>
          <w:color w:val="auto"/>
          <w:sz w:val="40"/>
          <w:szCs w:val="40"/>
        </w:rPr>
      </w:pPr>
    </w:p>
    <w:p w14:paraId="3100BCEF" w14:textId="6D6B026D" w:rsidR="00F62B2D" w:rsidRPr="00D63B51" w:rsidRDefault="00F62B2D" w:rsidP="00F62B2D">
      <w:pPr>
        <w:jc w:val="center"/>
        <w:rPr>
          <w:b/>
          <w:color w:val="auto"/>
          <w:sz w:val="40"/>
          <w:szCs w:val="40"/>
        </w:rPr>
      </w:pPr>
      <w:r w:rsidRPr="00D63B51">
        <w:rPr>
          <w:b/>
          <w:color w:val="auto"/>
          <w:sz w:val="40"/>
          <w:szCs w:val="40"/>
        </w:rPr>
        <w:lastRenderedPageBreak/>
        <w:t>MASS-TORT MDL COMPENDIUM OF</w:t>
      </w:r>
    </w:p>
    <w:p w14:paraId="045CE3C9" w14:textId="77777777" w:rsidR="00F62B2D" w:rsidRPr="00D63B51" w:rsidRDefault="00F62B2D" w:rsidP="00F62B2D">
      <w:pPr>
        <w:pStyle w:val="ListParagraph"/>
        <w:ind w:left="1080" w:right="720"/>
        <w:jc w:val="center"/>
        <w:rPr>
          <w:b/>
          <w:color w:val="auto"/>
          <w:sz w:val="40"/>
          <w:szCs w:val="40"/>
        </w:rPr>
      </w:pPr>
      <w:r w:rsidRPr="00D63B51">
        <w:rPr>
          <w:b/>
          <w:color w:val="auto"/>
          <w:sz w:val="40"/>
          <w:szCs w:val="40"/>
        </w:rPr>
        <w:t>GUIDELINES AND BEST PRACTICES</w:t>
      </w:r>
    </w:p>
    <w:p w14:paraId="7A9B4A04" w14:textId="77777777" w:rsidR="00F62B2D" w:rsidRPr="00D63B51" w:rsidRDefault="00F62B2D" w:rsidP="00F62B2D">
      <w:pPr>
        <w:pStyle w:val="ListParagraph"/>
        <w:ind w:left="1080" w:right="720"/>
        <w:rPr>
          <w:rFonts w:ascii="Times New Roman Bold" w:eastAsia="Calibri" w:hAnsi="Times New Roman Bold" w:cs="Times New Roman"/>
          <w:b/>
          <w:bCs/>
          <w:smallCaps/>
          <w:color w:val="auto"/>
          <w:sz w:val="28"/>
          <w:szCs w:val="28"/>
        </w:rPr>
      </w:pPr>
    </w:p>
    <w:p w14:paraId="408FFB6E" w14:textId="742EB313" w:rsidR="00737DD3" w:rsidRPr="00D63B51" w:rsidRDefault="00737DD3" w:rsidP="00175027">
      <w:pPr>
        <w:jc w:val="center"/>
        <w:rPr>
          <w:rFonts w:ascii="Times New Roman Bold" w:eastAsia="Times New Roman" w:hAnsi="Times New Roman Bold" w:cs="Times New Roman"/>
          <w:b/>
          <w:bCs/>
          <w:smallCaps/>
          <w:color w:val="222222"/>
          <w:u w:val="single"/>
        </w:rPr>
      </w:pPr>
      <w:r w:rsidRPr="00D63B51">
        <w:rPr>
          <w:rFonts w:ascii="Times New Roman Bold" w:hAnsi="Times New Roman Bold" w:cs="Times New Roman"/>
          <w:b/>
          <w:smallCaps/>
          <w:sz w:val="28"/>
          <w:szCs w:val="28"/>
        </w:rPr>
        <w:t>A.  AUTHORIZING A MASS-TORT MDL</w:t>
      </w:r>
    </w:p>
    <w:p w14:paraId="1261F76C" w14:textId="77777777" w:rsidR="00737DD3" w:rsidRPr="00D63B51" w:rsidRDefault="00737DD3" w:rsidP="00F62B2D">
      <w:pPr>
        <w:ind w:left="720" w:right="720"/>
        <w:jc w:val="both"/>
        <w:rPr>
          <w:rFonts w:ascii="Times New Roman Bold" w:eastAsia="Times New Roman" w:hAnsi="Times New Roman Bold" w:cs="Times New Roman"/>
          <w:b/>
          <w:bCs/>
          <w:smallCaps/>
          <w:color w:val="222222"/>
          <w:u w:val="single"/>
        </w:rPr>
      </w:pPr>
    </w:p>
    <w:p w14:paraId="32737DE8" w14:textId="6EAD88B2" w:rsidR="00F62B2D" w:rsidRPr="00D63B51" w:rsidRDefault="00F62B2D" w:rsidP="00940F20">
      <w:pPr>
        <w:jc w:val="both"/>
        <w:rPr>
          <w:rFonts w:cs="Times New Roman"/>
          <w:color w:val="4A4A4A"/>
          <w:shd w:val="clear" w:color="auto" w:fill="FFFFFF"/>
        </w:rPr>
      </w:pPr>
      <w:r w:rsidRPr="00D63B51">
        <w:rPr>
          <w:rFonts w:ascii="Times New Roman Bold" w:eastAsia="Times New Roman" w:hAnsi="Times New Roman Bold" w:cs="Times New Roman"/>
          <w:b/>
          <w:bCs/>
          <w:smallCaps/>
          <w:color w:val="222222"/>
          <w:u w:val="single"/>
        </w:rPr>
        <w:t>GUIDELINE MDL-§</w:t>
      </w:r>
      <w:r w:rsidRPr="00D63B51">
        <w:rPr>
          <w:rFonts w:eastAsia="Times New Roman" w:cs="Times New Roman"/>
          <w:b/>
          <w:bCs/>
          <w:color w:val="222222"/>
          <w:u w:val="single"/>
        </w:rPr>
        <w:t xml:space="preserve"> 1</w:t>
      </w:r>
      <w:r w:rsidRPr="00D63B51">
        <w:rPr>
          <w:rFonts w:eastAsia="Times New Roman" w:cs="Times New Roman"/>
          <w:color w:val="222222"/>
        </w:rPr>
        <w:t xml:space="preserve">: In a case when one of the major parties objects to MDL centralization and there is a likelihood that a large number of unsupportable actions would later be filed in the putative MDL, a </w:t>
      </w:r>
      <w:r w:rsidRPr="00D63B51">
        <w:rPr>
          <w:rFonts w:cs="Times New Roman"/>
          <w:color w:val="4A4A4A"/>
          <w:shd w:val="clear" w:color="auto" w:fill="FFFFFF"/>
        </w:rPr>
        <w:t xml:space="preserve">more rigorous examination of the prudential factors recommended in the </w:t>
      </w:r>
      <w:r w:rsidRPr="00D63B51">
        <w:rPr>
          <w:rFonts w:cs="Times New Roman"/>
          <w:i/>
          <w:iCs/>
          <w:color w:val="4A4A4A"/>
          <w:shd w:val="clear" w:color="auto" w:fill="FFFFFF"/>
        </w:rPr>
        <w:t>Manual for Complex Litigation</w:t>
      </w:r>
      <w:r w:rsidRPr="00D63B51">
        <w:rPr>
          <w:rFonts w:cs="Times New Roman"/>
          <w:color w:val="4A4A4A"/>
          <w:shd w:val="clear" w:color="auto" w:fill="FFFFFF"/>
        </w:rPr>
        <w:t>, which recognize the benefits of a developed record, is called for to satisfy the MDL criteria. Permanent No. MDL-§ 9.</w:t>
      </w:r>
    </w:p>
    <w:p w14:paraId="13B1E9E7" w14:textId="77777777" w:rsidR="00F62B2D" w:rsidRPr="00D63B51" w:rsidRDefault="00F62B2D" w:rsidP="00F62B2D">
      <w:pPr>
        <w:ind w:left="720" w:right="720"/>
        <w:jc w:val="both"/>
        <w:rPr>
          <w:rFonts w:eastAsia="Times New Roman" w:cs="Times New Roman"/>
          <w:color w:val="222222"/>
        </w:rPr>
      </w:pPr>
    </w:p>
    <w:p w14:paraId="2B66F45F" w14:textId="77777777" w:rsidR="00F62B2D" w:rsidRPr="00D63B51" w:rsidRDefault="00F62B2D" w:rsidP="00F62B2D">
      <w:pPr>
        <w:shd w:val="clear" w:color="auto" w:fill="FFFFFF"/>
        <w:spacing w:line="360" w:lineRule="auto"/>
        <w:ind w:firstLine="720"/>
        <w:jc w:val="both"/>
        <w:rPr>
          <w:rFonts w:eastAsia="Times New Roman" w:cs="Times New Roman"/>
          <w:color w:val="222222"/>
        </w:rPr>
      </w:pPr>
      <w:r w:rsidRPr="00D63B51">
        <w:rPr>
          <w:rFonts w:eastAsia="Times New Roman" w:cs="Times New Roman"/>
          <w:color w:val="222222"/>
        </w:rPr>
        <w:t>Under 28 U.S.C. § 1407(a), the Judicial Panel on Multidistrict Litigation (“JPML” or “Panel”) can transfer to a district court any civil actions involving one or more common questions of fact pending in different districts for coordinated or consolidated pretrial proceedings.  Such a transfer can be made when the JPML determines that centralization would serve “the convenience of the parties and witnesses and </w:t>
      </w:r>
      <w:r w:rsidRPr="00D63B51">
        <w:rPr>
          <w:rFonts w:eastAsia="Times New Roman" w:cs="Times New Roman"/>
          <w:i/>
          <w:iCs/>
          <w:color w:val="222222"/>
        </w:rPr>
        <w:t>will promote the just and efficient conduct</w:t>
      </w:r>
      <w:r w:rsidRPr="00D63B51">
        <w:rPr>
          <w:rFonts w:eastAsia="Times New Roman" w:cs="Times New Roman"/>
          <w:color w:val="222222"/>
        </w:rPr>
        <w:t> of such actions.”</w:t>
      </w:r>
      <w:r w:rsidRPr="00D63B51">
        <w:rPr>
          <w:rStyle w:val="FootnoteReference"/>
          <w:rFonts w:eastAsia="Times New Roman" w:cs="Times New Roman"/>
          <w:color w:val="222222"/>
        </w:rPr>
        <w:footnoteReference w:id="2"/>
      </w:r>
      <w:r w:rsidRPr="00D63B51">
        <w:rPr>
          <w:rFonts w:eastAsia="Times New Roman" w:cs="Times New Roman"/>
          <w:color w:val="222222"/>
        </w:rPr>
        <w:t> (emphasis added)</w:t>
      </w:r>
    </w:p>
    <w:p w14:paraId="27B9B5DB" w14:textId="77777777" w:rsidR="00F62B2D" w:rsidRPr="00D63B51" w:rsidRDefault="00F62B2D" w:rsidP="00F62B2D">
      <w:pPr>
        <w:spacing w:line="360" w:lineRule="auto"/>
        <w:ind w:firstLine="720"/>
        <w:jc w:val="both"/>
        <w:rPr>
          <w:rFonts w:eastAsia="Times New Roman" w:cs="Times New Roman"/>
          <w:color w:val="222222"/>
        </w:rPr>
      </w:pPr>
      <w:r w:rsidRPr="00D63B51">
        <w:rPr>
          <w:rFonts w:eastAsia="Times New Roman" w:cs="Times New Roman"/>
          <w:color w:val="222222"/>
        </w:rPr>
        <w:t xml:space="preserve">In many MDLs, none of the parties objects to an MDL centralization because centralization is convenient and efficient for them.  But in some MDLs, particularly those that likely will evolve into very large mass-tort MDLs with thousands of individual actions, one of the parties may object to the centralization because it is unnecessary or premature, which will not in the long run promote convenience, fairness, or efficiency. </w:t>
      </w:r>
    </w:p>
    <w:p w14:paraId="1A826821" w14:textId="77777777" w:rsidR="00F62B2D" w:rsidRPr="00D63B51" w:rsidRDefault="00F62B2D" w:rsidP="00F62B2D">
      <w:pPr>
        <w:spacing w:line="360" w:lineRule="auto"/>
        <w:ind w:firstLine="720"/>
        <w:jc w:val="both"/>
        <w:rPr>
          <w:rFonts w:eastAsia="Times New Roman" w:cs="Times New Roman"/>
          <w:color w:val="222222"/>
        </w:rPr>
      </w:pPr>
      <w:r w:rsidRPr="00D63B51">
        <w:rPr>
          <w:rFonts w:eastAsia="Times New Roman" w:cs="Times New Roman"/>
          <w:color w:val="222222"/>
        </w:rPr>
        <w:t>A party may object to centralization because the putative MDL may lead to the filing of unsupportable actions, which can be filed solely on “information and belief” without any evidentiary basis on the expectation that evidence supporting the claims will be found after reasonable time for investigation or discovery.</w:t>
      </w:r>
      <w:r w:rsidRPr="00D63B51">
        <w:rPr>
          <w:rStyle w:val="FootnoteReference"/>
          <w:rFonts w:eastAsia="Times New Roman" w:cs="Times New Roman"/>
          <w:color w:val="222222"/>
        </w:rPr>
        <w:footnoteReference w:id="3"/>
      </w:r>
      <w:r w:rsidRPr="00D63B51">
        <w:rPr>
          <w:rFonts w:eastAsia="Times New Roman" w:cs="Times New Roman"/>
          <w:color w:val="222222"/>
        </w:rPr>
        <w:t xml:space="preserve">  When the claims for relief are many or ill-defined, as is common at the beginning of a mass-tort MDL, the likelihood that some actions are filed without an evidentiary basis is strong.  It may take years of discovery to refine the criteria for </w:t>
      </w:r>
      <w:r w:rsidRPr="00D63B51">
        <w:rPr>
          <w:rFonts w:eastAsia="Times New Roman" w:cs="Times New Roman"/>
          <w:color w:val="222222"/>
        </w:rPr>
        <w:lastRenderedPageBreak/>
        <w:t>determining a viable action. Meanwhile, the expectations that evidence supporting individual actions may never be realized and enormous discovery expenditures are wasted on actions that are not viable and which would never have been filed but for the centralization in the MDL.</w:t>
      </w:r>
      <w:r w:rsidRPr="00D63B51">
        <w:rPr>
          <w:rStyle w:val="FootnoteReference"/>
          <w:rFonts w:eastAsia="Times New Roman" w:cs="Times New Roman"/>
          <w:color w:val="222222"/>
        </w:rPr>
        <w:footnoteReference w:id="4"/>
      </w:r>
      <w:r w:rsidRPr="00D63B51">
        <w:rPr>
          <w:rFonts w:eastAsia="Times New Roman" w:cs="Times New Roman"/>
          <w:color w:val="222222"/>
        </w:rPr>
        <w:t xml:space="preserve"> And while some courts strive to evaluate questionable claims as early as possible, the parties are devoting most of their resources on general-causation issues at the beginning of an MDL, which can make-or-break the case, leaving little time and resources to evaluate and alert the court of such individual actions.       </w:t>
      </w:r>
    </w:p>
    <w:p w14:paraId="17E17E1A" w14:textId="77777777" w:rsidR="00F62B2D" w:rsidRPr="00D63B51" w:rsidRDefault="00F62B2D" w:rsidP="00F62B2D">
      <w:pPr>
        <w:spacing w:line="360" w:lineRule="auto"/>
        <w:ind w:firstLine="720"/>
        <w:jc w:val="both"/>
        <w:rPr>
          <w:rFonts w:eastAsia="Times New Roman" w:cs="Times New Roman"/>
          <w:color w:val="222222"/>
        </w:rPr>
      </w:pPr>
      <w:r w:rsidRPr="00D63B51">
        <w:rPr>
          <w:rFonts w:eastAsia="Times New Roman" w:cs="Times New Roman"/>
          <w:color w:val="222222"/>
        </w:rPr>
        <w:t xml:space="preserve">Other parties may raise concerns that centralization would permit a single transferee judge to make a ruling in a premature MDL on a critical issue when the science is not clear, </w:t>
      </w:r>
      <w:r w:rsidRPr="00D63B51">
        <w:rPr>
          <w:rFonts w:eastAsia="Times New Roman" w:cs="Times New Roman"/>
          <w:i/>
          <w:iCs/>
          <w:color w:val="222222"/>
        </w:rPr>
        <w:t>e.g.,</w:t>
      </w:r>
      <w:r w:rsidRPr="00D63B51">
        <w:rPr>
          <w:rFonts w:eastAsia="Times New Roman" w:cs="Times New Roman"/>
          <w:color w:val="222222"/>
        </w:rPr>
        <w:t xml:space="preserve"> </w:t>
      </w:r>
      <w:r w:rsidRPr="00D63B51">
        <w:rPr>
          <w:rFonts w:eastAsia="Times New Roman" w:cs="Times New Roman"/>
          <w:i/>
          <w:iCs/>
          <w:color w:val="222222"/>
        </w:rPr>
        <w:t>Daubert</w:t>
      </w:r>
      <w:r w:rsidRPr="00D63B51">
        <w:rPr>
          <w:rFonts w:eastAsia="Times New Roman" w:cs="Times New Roman"/>
          <w:color w:val="222222"/>
        </w:rPr>
        <w:t xml:space="preserve"> ruling, which could unfairly extinguish the Seventh Amendment rights of many to a jury trial. </w:t>
      </w:r>
      <w:r w:rsidRPr="00D63B51">
        <w:rPr>
          <w:rStyle w:val="FootnoteReference"/>
          <w:rFonts w:eastAsia="Times New Roman" w:cs="Times New Roman"/>
          <w:color w:val="222222"/>
        </w:rPr>
        <w:footnoteReference w:id="5"/>
      </w:r>
    </w:p>
    <w:p w14:paraId="40AF6331" w14:textId="77777777" w:rsidR="00F62B2D" w:rsidRPr="00D63B51" w:rsidRDefault="00F62B2D" w:rsidP="00F62B2D">
      <w:pPr>
        <w:shd w:val="clear" w:color="auto" w:fill="FFFFFF"/>
        <w:spacing w:line="360" w:lineRule="auto"/>
        <w:ind w:firstLine="720"/>
        <w:jc w:val="both"/>
        <w:rPr>
          <w:rFonts w:eastAsia="Times New Roman" w:cs="Times New Roman"/>
          <w:color w:val="222222"/>
        </w:rPr>
      </w:pPr>
      <w:r w:rsidRPr="00D63B51">
        <w:rPr>
          <w:rFonts w:eastAsia="Times New Roman" w:cs="Times New Roman"/>
          <w:color w:val="222222"/>
        </w:rPr>
        <w:t xml:space="preserve">A more rigorous examination of the decision to centralize will promote the just and efficient conduct of these actions.  Such an examination of putative mass-tort MDLs is needed now more than ever because the number of individual actions centralized is no longer counted in the tens of thousands, but in the hundreds of thousands, and the rights of so many to a jury trial are affected.  </w:t>
      </w:r>
    </w:p>
    <w:p w14:paraId="237D2E09" w14:textId="62125ABC" w:rsidR="00F62B2D" w:rsidRPr="00D63B51" w:rsidRDefault="001B7640" w:rsidP="00F62B2D">
      <w:pPr>
        <w:spacing w:line="360" w:lineRule="auto"/>
        <w:ind w:firstLine="720"/>
        <w:jc w:val="both"/>
        <w:rPr>
          <w:rFonts w:cs="Times New Roman"/>
          <w:color w:val="4A4A4A"/>
          <w:shd w:val="clear" w:color="auto" w:fill="FFFFFF"/>
        </w:rPr>
      </w:pPr>
      <w:r w:rsidRPr="00D63B51">
        <w:rPr>
          <w:rFonts w:cs="Times New Roman"/>
          <w:smallCaps/>
          <w:color w:val="4A4A4A"/>
          <w:shd w:val="clear" w:color="auto" w:fill="FFFFFF"/>
        </w:rPr>
        <w:t>Fed. R. Civ. P.</w:t>
      </w:r>
      <w:r w:rsidR="00F62B2D" w:rsidRPr="00D63B51">
        <w:rPr>
          <w:rFonts w:cs="Times New Roman"/>
          <w:color w:val="4A4A4A"/>
          <w:shd w:val="clear" w:color="auto" w:fill="FFFFFF"/>
        </w:rPr>
        <w:t xml:space="preserve"> 23 provides a good model for putative MDLs and requires a rigorous examination that ensures that the criteria for certification are satisfied.</w:t>
      </w:r>
      <w:r w:rsidR="00F62B2D" w:rsidRPr="00D63B51">
        <w:rPr>
          <w:rStyle w:val="FootnoteReference"/>
          <w:rFonts w:cs="Times New Roman"/>
          <w:color w:val="4A4A4A"/>
          <w:shd w:val="clear" w:color="auto" w:fill="FFFFFF"/>
        </w:rPr>
        <w:footnoteReference w:id="6"/>
      </w:r>
      <w:r w:rsidR="00F62B2D" w:rsidRPr="00D63B51">
        <w:rPr>
          <w:rFonts w:cs="Times New Roman"/>
          <w:color w:val="4A4A4A"/>
          <w:shd w:val="clear" w:color="auto" w:fill="FFFFFF"/>
        </w:rPr>
        <w:t xml:space="preserve"> The practical consequences of approving a motion to centralize actions in an MDL are similar in nature to the consequences of approving a class-action certification.  </w:t>
      </w:r>
    </w:p>
    <w:p w14:paraId="145BE3F1" w14:textId="77777777" w:rsidR="00F62B2D" w:rsidRPr="00D63B51" w:rsidRDefault="00F62B2D" w:rsidP="00F62B2D">
      <w:pPr>
        <w:spacing w:line="360" w:lineRule="auto"/>
        <w:ind w:firstLine="720"/>
        <w:jc w:val="both"/>
        <w:rPr>
          <w:rFonts w:eastAsia="Times New Roman" w:cs="Times New Roman"/>
          <w:color w:val="222222"/>
        </w:rPr>
      </w:pPr>
      <w:r w:rsidRPr="00D63B51">
        <w:rPr>
          <w:rFonts w:cs="Times New Roman"/>
          <w:color w:val="4A4A4A"/>
          <w:shd w:val="clear" w:color="auto" w:fill="FFFFFF"/>
        </w:rPr>
        <w:t xml:space="preserve">In a case when one of the major parties objects to MDL centralization, these </w:t>
      </w:r>
      <w:r w:rsidRPr="00D63B51">
        <w:rPr>
          <w:rFonts w:cs="Times New Roman"/>
          <w:i/>
          <w:iCs/>
          <w:color w:val="4A4A4A"/>
          <w:shd w:val="clear" w:color="auto" w:fill="FFFFFF"/>
        </w:rPr>
        <w:t>Guidelines</w:t>
      </w:r>
      <w:r w:rsidRPr="00D63B51">
        <w:rPr>
          <w:rFonts w:cs="Times New Roman"/>
          <w:color w:val="4A4A4A"/>
          <w:shd w:val="clear" w:color="auto" w:fill="FFFFFF"/>
        </w:rPr>
        <w:t xml:space="preserve"> address the legal and policy considerations and recommend a broader examination of factors in the MDL-centralization decision, not as extensive as the “rigorous examination” required in class actions, but sufficient to include an analysis of prudential factors recommended in the </w:t>
      </w:r>
      <w:r w:rsidRPr="00D63B51">
        <w:rPr>
          <w:rFonts w:cs="Times New Roman"/>
          <w:i/>
          <w:iCs/>
          <w:color w:val="4A4A4A"/>
          <w:shd w:val="clear" w:color="auto" w:fill="FFFFFF"/>
        </w:rPr>
        <w:t>Manual for Complex Litigation</w:t>
      </w:r>
      <w:r w:rsidRPr="00D63B51">
        <w:rPr>
          <w:rFonts w:cs="Times New Roman"/>
          <w:color w:val="4A4A4A"/>
          <w:shd w:val="clear" w:color="auto" w:fill="FFFFFF"/>
        </w:rPr>
        <w:t xml:space="preserve"> that recognize the benefits of a developed record in satisfying the statutory criteria. Subsections (a) through (h) of GUIDELINE </w:t>
      </w:r>
      <w:r w:rsidRPr="00D63B51">
        <w:rPr>
          <w:rFonts w:ascii="Times New Roman Bold" w:eastAsia="Times New Roman" w:hAnsi="Times New Roman Bold" w:cs="Times New Roman"/>
          <w:smallCaps/>
          <w:color w:val="222222"/>
        </w:rPr>
        <w:t>MDL-</w:t>
      </w:r>
      <w:r w:rsidRPr="00D63B51">
        <w:rPr>
          <w:rFonts w:ascii="Times New Roman Bold" w:eastAsia="Times New Roman" w:hAnsi="Times New Roman Bold" w:cs="Times New Roman" w:hint="eastAsia"/>
          <w:smallCaps/>
          <w:color w:val="222222"/>
        </w:rPr>
        <w:t>§</w:t>
      </w:r>
      <w:r w:rsidRPr="00D63B51">
        <w:rPr>
          <w:rFonts w:eastAsia="Times New Roman" w:cs="Times New Roman"/>
          <w:color w:val="222222"/>
        </w:rPr>
        <w:t xml:space="preserve"> 1 may help the JPML and judiciary determine when centralization is appropriate.</w:t>
      </w:r>
    </w:p>
    <w:p w14:paraId="244451C5" w14:textId="34607448" w:rsidR="00F62B2D" w:rsidRPr="00D63B51" w:rsidRDefault="00030DF5" w:rsidP="00F62B2D">
      <w:pPr>
        <w:pStyle w:val="ListParagraph"/>
        <w:ind w:right="720"/>
        <w:jc w:val="both"/>
        <w:rPr>
          <w:rFonts w:cs="Times New Roman"/>
          <w:color w:val="4A4A4A"/>
          <w:shd w:val="clear" w:color="auto" w:fill="FFFFFF"/>
        </w:rPr>
      </w:pPr>
      <w:r w:rsidRPr="00D63B51">
        <w:rPr>
          <w:rFonts w:ascii="Times New Roman Bold" w:hAnsi="Times New Roman Bold" w:cs="Times New Roman"/>
          <w:b/>
          <w:bCs/>
        </w:rPr>
        <w:lastRenderedPageBreak/>
        <w:t>Elements to Consider</w:t>
      </w:r>
      <w:r w:rsidR="00F62B2D" w:rsidRPr="00D63B51">
        <w:rPr>
          <w:rFonts w:cs="Times New Roman"/>
          <w:b/>
          <w:bCs/>
        </w:rPr>
        <w:t>-</w:t>
      </w:r>
      <w:r w:rsidR="00F62B2D" w:rsidRPr="00D63B51">
        <w:rPr>
          <w:rFonts w:cs="Times New Roman"/>
          <w:b/>
          <w:bCs/>
          <w:color w:val="4A4A4A"/>
          <w:shd w:val="clear" w:color="auto" w:fill="FFFFFF"/>
        </w:rPr>
        <w:t>§ 1(a)</w:t>
      </w:r>
      <w:r w:rsidR="00F62B2D" w:rsidRPr="00D63B51">
        <w:rPr>
          <w:rFonts w:cs="Times New Roman"/>
          <w:b/>
          <w:bCs/>
        </w:rPr>
        <w:t>:</w:t>
      </w:r>
      <w:r w:rsidR="00F62B2D" w:rsidRPr="00D63B51">
        <w:rPr>
          <w:rFonts w:cs="Times New Roman"/>
        </w:rPr>
        <w:t xml:space="preserve"> The legal and policy considerations to take into account when deciding to centralize actions in an MDL that satisfy the statutory criteria. </w:t>
      </w:r>
      <w:r w:rsidR="00F62B2D" w:rsidRPr="00D63B51">
        <w:rPr>
          <w:rFonts w:cs="Times New Roman"/>
          <w:color w:val="4A4A4A"/>
          <w:shd w:val="clear" w:color="auto" w:fill="FFFFFF"/>
        </w:rPr>
        <w:t>Permanent No. MDL-§ 9(a).</w:t>
      </w:r>
    </w:p>
    <w:p w14:paraId="6C01B566" w14:textId="77777777" w:rsidR="00F62B2D" w:rsidRPr="00D63B51" w:rsidRDefault="00F62B2D" w:rsidP="00F62B2D">
      <w:pPr>
        <w:pStyle w:val="ListParagraph"/>
        <w:ind w:right="720"/>
        <w:jc w:val="both"/>
        <w:rPr>
          <w:rFonts w:cs="Times New Roman"/>
        </w:rPr>
      </w:pPr>
    </w:p>
    <w:p w14:paraId="18990B29" w14:textId="77777777" w:rsidR="00F62B2D" w:rsidRPr="00D63B51" w:rsidRDefault="00F62B2D" w:rsidP="00F62B2D">
      <w:pPr>
        <w:spacing w:line="360" w:lineRule="auto"/>
        <w:ind w:firstLine="720"/>
        <w:jc w:val="both"/>
        <w:rPr>
          <w:rFonts w:eastAsia="Times New Roman" w:cs="Times New Roman"/>
          <w:color w:val="222222"/>
        </w:rPr>
      </w:pPr>
      <w:r w:rsidRPr="00D63B51">
        <w:rPr>
          <w:rFonts w:eastAsia="Times New Roman" w:cs="Times New Roman"/>
          <w:color w:val="222222"/>
        </w:rPr>
        <w:t xml:space="preserve">The Panel has the sole authority to centralize actions into an MDL. In so doing, the Panel routinely dismisses arguments, which challenge the legal or factual strengths of the claims and instead it emphasizes the efficiencies of centralization and the abilities of transferee judges to overcome any manageability problems.  In approving centralizations, the Panel often discounts the party’s objections, retaining confidence in the skills and talents of transferee judges to successfully overcome the party’s concerns as well as other manageability problems.   </w:t>
      </w:r>
    </w:p>
    <w:p w14:paraId="424DD62C" w14:textId="77777777" w:rsidR="00F62B2D" w:rsidRPr="00D63B51" w:rsidRDefault="00F62B2D" w:rsidP="00F62B2D">
      <w:pPr>
        <w:spacing w:line="360" w:lineRule="auto"/>
        <w:ind w:firstLine="720"/>
        <w:jc w:val="both"/>
        <w:rPr>
          <w:rFonts w:eastAsia="Times New Roman" w:cs="Times New Roman"/>
          <w:color w:val="222222"/>
        </w:rPr>
      </w:pPr>
      <w:r w:rsidRPr="00D63B51">
        <w:rPr>
          <w:rFonts w:eastAsia="Times New Roman" w:cs="Times New Roman"/>
          <w:color w:val="222222"/>
        </w:rPr>
        <w:t xml:space="preserve">In the early stages of most mass-tort MDLs, the Panel’s confidence is warranted because the number of individual actions filed is usually manageable.  But in some cases, the MDL centralization inexorably draws large numbers of questionable tag-along actions two to three years later that overwhelm the lawyers and transferee judge.  And despite their best efforts, they must spend inordinate time trying to dispose of them, which can take years, unnecessarily protracting the litigation and adding huge expense, which depletes the parties’ resources. The results, which arise solely because of the centralization, neither promote the just nor efficient conduct of such actions.  </w:t>
      </w:r>
    </w:p>
    <w:p w14:paraId="3F1E2B41" w14:textId="77777777" w:rsidR="00F62B2D" w:rsidRPr="00D63B51" w:rsidRDefault="00F62B2D" w:rsidP="00F62B2D">
      <w:pPr>
        <w:spacing w:line="360" w:lineRule="auto"/>
        <w:ind w:firstLine="720"/>
        <w:jc w:val="both"/>
        <w:rPr>
          <w:rFonts w:eastAsia="Times New Roman" w:cs="Times New Roman"/>
          <w:color w:val="222222"/>
        </w:rPr>
      </w:pPr>
      <w:r w:rsidRPr="00D63B51">
        <w:rPr>
          <w:rFonts w:cs="Times New Roman"/>
          <w:color w:val="4A4A4A"/>
          <w:shd w:val="clear" w:color="auto" w:fill="FFFFFF"/>
        </w:rPr>
        <w:t xml:space="preserve">The </w:t>
      </w:r>
      <w:r w:rsidRPr="00D63B51">
        <w:rPr>
          <w:rFonts w:cs="Times New Roman"/>
          <w:i/>
          <w:iCs/>
          <w:color w:val="4A4A4A"/>
          <w:shd w:val="clear" w:color="auto" w:fill="FFFFFF"/>
        </w:rPr>
        <w:t>Manual for Complex Litigation</w:t>
      </w:r>
      <w:r w:rsidRPr="00D63B51">
        <w:rPr>
          <w:rFonts w:cs="Times New Roman"/>
          <w:color w:val="4A4A4A"/>
          <w:shd w:val="clear" w:color="auto" w:fill="FFFFFF"/>
        </w:rPr>
        <w:t xml:space="preserve"> recognizes the dangers of premature centralization: “Procedures to aggregate claims sometimes encourage the filing of questionable claims, accelerate the rate at which claims are presented, or even create a mass tort out of what otherwise might simply have been a flurry of similar cases that would have quickly faded away.” </w:t>
      </w:r>
      <w:r w:rsidRPr="00D63B51">
        <w:rPr>
          <w:rFonts w:eastAsia="Times New Roman" w:cs="Times New Roman"/>
          <w:color w:val="222222"/>
        </w:rPr>
        <w:t xml:space="preserve">The risk of prematurely </w:t>
      </w:r>
      <w:r w:rsidRPr="00D63B51">
        <w:rPr>
          <w:rFonts w:cs="Times New Roman"/>
          <w:color w:val="4A4A4A"/>
          <w:shd w:val="clear" w:color="auto" w:fill="FFFFFF"/>
        </w:rPr>
        <w:t>centralizing an MDL is most acute when: (i) one of the parties who has the most to gain if the Panel centralizes actions into an MDL objects to centralization; (ii) the science demonstrating general causation is unclear; or (iii) the proof of specific causation or exposure is unknown and open to wide interpretations.</w:t>
      </w:r>
      <w:r w:rsidRPr="00D63B51">
        <w:rPr>
          <w:rFonts w:eastAsia="Times New Roman" w:cs="Times New Roman"/>
          <w:color w:val="222222"/>
        </w:rPr>
        <w:t> </w:t>
      </w:r>
    </w:p>
    <w:p w14:paraId="036E2B38" w14:textId="0539B94C" w:rsidR="00F62B2D" w:rsidRPr="00D63B51" w:rsidRDefault="00030DF5" w:rsidP="00F62B2D">
      <w:pPr>
        <w:pStyle w:val="ListParagraph"/>
        <w:shd w:val="clear" w:color="auto" w:fill="FFFFFF"/>
        <w:ind w:right="720"/>
        <w:jc w:val="both"/>
        <w:rPr>
          <w:rFonts w:eastAsia="Times New Roman" w:cs="Times New Roman"/>
          <w:color w:val="222222"/>
        </w:rPr>
      </w:pPr>
      <w:r w:rsidRPr="00D63B51">
        <w:rPr>
          <w:rFonts w:ascii="Times New Roman Bold" w:hAnsi="Times New Roman Bold" w:cs="Times New Roman"/>
          <w:b/>
          <w:bCs/>
        </w:rPr>
        <w:t>Elements to Consider</w:t>
      </w:r>
      <w:r w:rsidR="00F62B2D" w:rsidRPr="00D63B51">
        <w:rPr>
          <w:rFonts w:eastAsia="Times New Roman" w:cs="Times New Roman"/>
          <w:b/>
          <w:bCs/>
          <w:smallCaps/>
          <w:color w:val="222222"/>
        </w:rPr>
        <w:t>-§ 1(</w:t>
      </w:r>
      <w:r w:rsidR="00F62B2D" w:rsidRPr="00D63B51">
        <w:rPr>
          <w:rFonts w:ascii="Times New Roman Bold" w:eastAsia="Times New Roman" w:hAnsi="Times New Roman Bold" w:cs="Times New Roman"/>
          <w:b/>
          <w:bCs/>
          <w:color w:val="222222"/>
        </w:rPr>
        <w:t>b</w:t>
      </w:r>
      <w:r w:rsidR="00F62B2D" w:rsidRPr="00D63B51">
        <w:rPr>
          <w:rFonts w:eastAsia="Times New Roman" w:cs="Times New Roman"/>
          <w:b/>
          <w:bCs/>
          <w:smallCaps/>
          <w:color w:val="222222"/>
        </w:rPr>
        <w:t>):</w:t>
      </w:r>
      <w:r w:rsidR="00F62B2D" w:rsidRPr="00D63B51">
        <w:rPr>
          <w:rFonts w:eastAsia="Times New Roman" w:cs="Times New Roman"/>
          <w:color w:val="222222"/>
        </w:rPr>
        <w:t xml:space="preserve">  28 U.S.C. § 1407 poses no barrier to examining factual and legal strengths of claims when deciding whether to centralize actions into an MDL.  </w:t>
      </w:r>
      <w:r w:rsidR="00F62B2D" w:rsidRPr="00D63B51">
        <w:rPr>
          <w:rFonts w:cs="Times New Roman"/>
          <w:color w:val="4A4A4A"/>
          <w:shd w:val="clear" w:color="auto" w:fill="FFFFFF"/>
        </w:rPr>
        <w:t>Permanent No. MDL-§ 9(b).</w:t>
      </w:r>
    </w:p>
    <w:p w14:paraId="347CA536" w14:textId="77777777" w:rsidR="00F62B2D" w:rsidRPr="00D63B51" w:rsidRDefault="00F62B2D" w:rsidP="00F62B2D">
      <w:pPr>
        <w:pStyle w:val="ListParagraph"/>
        <w:shd w:val="clear" w:color="auto" w:fill="FFFFFF"/>
        <w:ind w:left="1080"/>
        <w:jc w:val="both"/>
        <w:rPr>
          <w:rFonts w:eastAsia="Times New Roman" w:cs="Times New Roman"/>
          <w:color w:val="222222"/>
        </w:rPr>
      </w:pPr>
    </w:p>
    <w:p w14:paraId="2CDAE65B" w14:textId="77777777" w:rsidR="00F62B2D" w:rsidRPr="00D63B51" w:rsidRDefault="00F62B2D" w:rsidP="00F62B2D">
      <w:pPr>
        <w:spacing w:line="360" w:lineRule="auto"/>
        <w:ind w:firstLine="720"/>
        <w:jc w:val="both"/>
        <w:rPr>
          <w:rFonts w:eastAsia="Times New Roman" w:cs="Times New Roman"/>
          <w:color w:val="222222"/>
        </w:rPr>
      </w:pPr>
      <w:r w:rsidRPr="00D63B51">
        <w:rPr>
          <w:rFonts w:cs="Times New Roman"/>
        </w:rPr>
        <w:t xml:space="preserve">Centralization must serve the convenience of the parties and witnesses and promote the just and efficient conduct of such actions. Manageability problems, which undermine the efficient and just conduct of actions, usually arise in certain MDLs because of the filings of large numbers of unsupportable claims. And in many of these mass-tort MDLs, such claims can be filed under </w:t>
      </w:r>
      <w:r w:rsidRPr="00D63B51">
        <w:rPr>
          <w:rFonts w:cs="Times New Roman"/>
        </w:rPr>
        <w:lastRenderedPageBreak/>
        <w:t>filing standards that are wide open because the legal and factual strengths of the claims are fuzzy, ill defined, or open to wide interpretation.</w:t>
      </w:r>
      <w:r w:rsidRPr="00D63B51">
        <w:rPr>
          <w:rStyle w:val="FootnoteReference"/>
          <w:rFonts w:cs="Times New Roman"/>
        </w:rPr>
        <w:footnoteReference w:id="7"/>
      </w:r>
      <w:r w:rsidRPr="00D63B51">
        <w:rPr>
          <w:rFonts w:cs="Times New Roman"/>
        </w:rPr>
        <w:t xml:space="preserve">  </w:t>
      </w:r>
      <w:r w:rsidRPr="00D63B51">
        <w:rPr>
          <w:rFonts w:eastAsia="Times New Roman" w:cs="Times New Roman"/>
          <w:color w:val="222222"/>
        </w:rPr>
        <w:t xml:space="preserve">Nonetheless, the Panel routinely dismisses the party’s objections that challenge centralization on grounds that the legal and factual strengths of the claims are undeveloped.  </w:t>
      </w:r>
    </w:p>
    <w:p w14:paraId="64C3ED73" w14:textId="77777777" w:rsidR="00F62B2D" w:rsidRPr="00D63B51" w:rsidRDefault="00F62B2D" w:rsidP="00F62B2D">
      <w:pPr>
        <w:shd w:val="clear" w:color="auto" w:fill="FFFFFF"/>
        <w:spacing w:line="360" w:lineRule="auto"/>
        <w:ind w:firstLine="720"/>
        <w:jc w:val="both"/>
        <w:rPr>
          <w:rFonts w:eastAsia="Times New Roman" w:cs="Times New Roman"/>
          <w:color w:val="222222"/>
        </w:rPr>
      </w:pPr>
      <w:r w:rsidRPr="00D63B51">
        <w:rPr>
          <w:rFonts w:cs="Times New Roman"/>
        </w:rPr>
        <w:t>In a law review article, the late and former JPML chair, Judge John Heyburn, stated the Panel’s position and said that: “The Panel does not consider the legal or factual strength of a given case.”</w:t>
      </w:r>
      <w:r w:rsidRPr="00D63B51">
        <w:rPr>
          <w:rStyle w:val="FootnoteReference"/>
          <w:rFonts w:cs="Times New Roman"/>
        </w:rPr>
        <w:footnoteReference w:id="8"/>
      </w:r>
      <w:r w:rsidRPr="00D63B51">
        <w:rPr>
          <w:rFonts w:cs="Times New Roman"/>
        </w:rPr>
        <w:t xml:space="preserve">  He supported the statement with a citation to a Second Circuit decision, which held that “Section 1407 does not empower the MDL panel to decide questions going to the jurisdiction or merits of a case, including issues relating to a motion to remand.”</w:t>
      </w:r>
      <w:r w:rsidRPr="00D63B51">
        <w:rPr>
          <w:rStyle w:val="FootnoteReference"/>
          <w:rFonts w:cs="Times New Roman"/>
        </w:rPr>
        <w:footnoteReference w:id="9"/>
      </w:r>
      <w:r w:rsidRPr="00D63B51">
        <w:rPr>
          <w:rFonts w:cs="Times New Roman"/>
        </w:rPr>
        <w:t xml:space="preserve"> Consistent with this position, </w:t>
      </w:r>
      <w:r w:rsidRPr="00D63B51">
        <w:rPr>
          <w:rFonts w:eastAsia="Times New Roman" w:cs="Times New Roman"/>
          <w:color w:val="222222"/>
        </w:rPr>
        <w:t xml:space="preserve">the JPML does not comment on the merits of cases or its legal or factual strengths in its transfer-order rulings, and instead it emphasizes the expected benefits of centralization, which would “eliminate duplicative discovery; prevent inconsistent pretrial rulings . . .; and </w:t>
      </w:r>
      <w:r w:rsidRPr="00D63B51">
        <w:rPr>
          <w:rFonts w:eastAsia="Times New Roman" w:cs="Times New Roman"/>
          <w:i/>
          <w:iCs/>
          <w:color w:val="222222"/>
        </w:rPr>
        <w:t>conserve the resources</w:t>
      </w:r>
      <w:r w:rsidRPr="00D63B51">
        <w:rPr>
          <w:rFonts w:eastAsia="Times New Roman" w:cs="Times New Roman"/>
          <w:color w:val="222222"/>
        </w:rPr>
        <w:t xml:space="preserve"> of the parties, their counsel, and the judiciary.”</w:t>
      </w:r>
      <w:r w:rsidRPr="00D63B51">
        <w:rPr>
          <w:rStyle w:val="FootnoteReference"/>
          <w:rFonts w:eastAsia="Times New Roman" w:cs="Times New Roman"/>
          <w:color w:val="222222"/>
        </w:rPr>
        <w:footnoteReference w:id="10"/>
      </w:r>
      <w:r w:rsidRPr="00D63B51">
        <w:rPr>
          <w:rFonts w:eastAsia="Times New Roman" w:cs="Times New Roman"/>
          <w:color w:val="222222"/>
        </w:rPr>
        <w:t>  </w:t>
      </w:r>
    </w:p>
    <w:p w14:paraId="4B793E0D" w14:textId="77777777" w:rsidR="00F62B2D" w:rsidRPr="00D63B51" w:rsidRDefault="00F62B2D" w:rsidP="00F62B2D">
      <w:pPr>
        <w:shd w:val="clear" w:color="auto" w:fill="FFFFFF"/>
        <w:spacing w:line="360" w:lineRule="auto"/>
        <w:ind w:firstLine="720"/>
        <w:jc w:val="both"/>
        <w:rPr>
          <w:rFonts w:eastAsia="Times New Roman" w:cs="Times New Roman"/>
          <w:color w:val="222222"/>
        </w:rPr>
      </w:pPr>
      <w:r w:rsidRPr="00D63B51">
        <w:rPr>
          <w:rFonts w:eastAsia="Times New Roman" w:cs="Times New Roman"/>
          <w:color w:val="222222"/>
        </w:rPr>
        <w:t xml:space="preserve">Section 1407 clearly prohibits the Panel from </w:t>
      </w:r>
      <w:r w:rsidRPr="00D63B51">
        <w:rPr>
          <w:rFonts w:eastAsia="Times New Roman" w:cs="Times New Roman"/>
          <w:i/>
          <w:iCs/>
          <w:color w:val="222222"/>
        </w:rPr>
        <w:t>ruling</w:t>
      </w:r>
      <w:r w:rsidRPr="00D63B51">
        <w:rPr>
          <w:rFonts w:eastAsia="Times New Roman" w:cs="Times New Roman"/>
          <w:color w:val="222222"/>
        </w:rPr>
        <w:t xml:space="preserve"> on the merits of an action in any putative MDL when it makes its decision to centralize.</w:t>
      </w:r>
      <w:r w:rsidRPr="00D63B51">
        <w:rPr>
          <w:rStyle w:val="FootnoteReference"/>
          <w:rFonts w:eastAsia="Times New Roman" w:cs="Times New Roman"/>
          <w:color w:val="222222"/>
        </w:rPr>
        <w:footnoteReference w:id="11"/>
      </w:r>
      <w:r w:rsidRPr="00D63B51">
        <w:rPr>
          <w:rFonts w:eastAsia="Times New Roman" w:cs="Times New Roman"/>
          <w:color w:val="222222"/>
        </w:rPr>
        <w:t xml:space="preserve">  But it is silent regarding the Panel’s authority to </w:t>
      </w:r>
      <w:r w:rsidRPr="00D63B51">
        <w:rPr>
          <w:rFonts w:eastAsia="Times New Roman" w:cs="Times New Roman"/>
          <w:i/>
          <w:iCs/>
          <w:color w:val="222222"/>
        </w:rPr>
        <w:t>consider</w:t>
      </w:r>
      <w:r w:rsidRPr="00D63B51">
        <w:rPr>
          <w:rFonts w:eastAsia="Times New Roman" w:cs="Times New Roman"/>
          <w:color w:val="222222"/>
        </w:rPr>
        <w:t xml:space="preserve"> a more rigorous examination of the future “manageability” of such actions, which may raise overlapping questions about the strengths of the claims that directly affect the fairness and efficiency in conserving the parties’ resources. </w:t>
      </w:r>
    </w:p>
    <w:p w14:paraId="054E5A6F" w14:textId="77777777" w:rsidR="00F62B2D" w:rsidRPr="00D63B51" w:rsidRDefault="00F62B2D" w:rsidP="00F62B2D">
      <w:pPr>
        <w:shd w:val="clear" w:color="auto" w:fill="FFFFFF"/>
        <w:spacing w:line="360" w:lineRule="auto"/>
        <w:ind w:firstLine="720"/>
        <w:jc w:val="both"/>
        <w:rPr>
          <w:rFonts w:eastAsia="Times New Roman" w:cs="Times New Roman"/>
          <w:color w:val="222222"/>
        </w:rPr>
      </w:pPr>
      <w:r w:rsidRPr="00D63B51">
        <w:rPr>
          <w:rFonts w:eastAsia="Times New Roman" w:cs="Times New Roman"/>
          <w:color w:val="222222"/>
        </w:rPr>
        <w:lastRenderedPageBreak/>
        <w:t>The analysis in the analogous class-action certification is useful for comparison. In a class action, discovery evaluating the probable outcome on the “merits” is prohibited as part of the certification decision, nonetheless, a court may permit discovery to identify the issues that actually will be presented at trial and: “In this sense it is appropriate to conduct controlled discovery into the ‘merits’ limited to those aspects relevant to making the certification decision on an informed basis.”</w:t>
      </w:r>
      <w:r w:rsidRPr="00D63B51">
        <w:rPr>
          <w:rStyle w:val="FootnoteReference"/>
          <w:rFonts w:eastAsia="Times New Roman" w:cs="Times New Roman"/>
          <w:color w:val="222222"/>
        </w:rPr>
        <w:footnoteReference w:id="12"/>
      </w:r>
      <w:r w:rsidRPr="00D63B51">
        <w:rPr>
          <w:rFonts w:eastAsia="Times New Roman" w:cs="Times New Roman"/>
          <w:color w:val="222222"/>
        </w:rPr>
        <w:t xml:space="preserve">  Similarly, the JPML may consider the merits and legal and factual strengths of the actions limited to those aspects relevant to making its centralization decision on an informed basis.</w:t>
      </w:r>
      <w:r w:rsidRPr="00D63B51">
        <w:rPr>
          <w:rStyle w:val="FootnoteReference"/>
          <w:rFonts w:eastAsia="Times New Roman" w:cs="Times New Roman"/>
          <w:color w:val="222222"/>
        </w:rPr>
        <w:footnoteReference w:id="13"/>
      </w:r>
      <w:r w:rsidRPr="00D63B51">
        <w:rPr>
          <w:rFonts w:eastAsia="Times New Roman" w:cs="Times New Roman"/>
          <w:color w:val="222222"/>
        </w:rPr>
        <w:t xml:space="preserve"> </w:t>
      </w:r>
    </w:p>
    <w:p w14:paraId="29F00268" w14:textId="77777777" w:rsidR="00F62B2D" w:rsidRPr="00D63B51" w:rsidRDefault="00F62B2D" w:rsidP="00F62B2D">
      <w:pPr>
        <w:shd w:val="clear" w:color="auto" w:fill="FFFFFF"/>
        <w:spacing w:line="360" w:lineRule="auto"/>
        <w:ind w:firstLine="720"/>
        <w:jc w:val="both"/>
        <w:rPr>
          <w:rFonts w:eastAsia="Times New Roman" w:cs="Times New Roman"/>
          <w:color w:val="222222"/>
        </w:rPr>
      </w:pPr>
    </w:p>
    <w:p w14:paraId="77991E74" w14:textId="77777777" w:rsidR="00F62B2D" w:rsidRPr="00D63B51" w:rsidRDefault="00F62B2D" w:rsidP="00F62B2D">
      <w:pPr>
        <w:shd w:val="clear" w:color="auto" w:fill="FFFFFF"/>
        <w:spacing w:line="360" w:lineRule="auto"/>
        <w:ind w:firstLine="720"/>
        <w:jc w:val="both"/>
        <w:rPr>
          <w:rFonts w:eastAsia="Times New Roman" w:cs="Times New Roman"/>
          <w:color w:val="222222"/>
        </w:rPr>
      </w:pPr>
      <w:r w:rsidRPr="00D63B51">
        <w:rPr>
          <w:rFonts w:eastAsia="Times New Roman" w:cs="Times New Roman"/>
          <w:color w:val="222222"/>
        </w:rPr>
        <w:t>Neither § 1407 nor caselaw, which prohibits ruling on the merits, precludes the Panel from considering such information in a limited fashion to better inform itself about the likely consequences of the MDL in drawing large numbers of unsupportable claims later in the litigation, which may quickly erode the fairness and efficiency of the centralization.</w:t>
      </w:r>
    </w:p>
    <w:p w14:paraId="48323DB4" w14:textId="77777777" w:rsidR="00F62B2D" w:rsidRPr="00D63B51" w:rsidRDefault="00F62B2D" w:rsidP="00F62B2D">
      <w:pPr>
        <w:shd w:val="clear" w:color="auto" w:fill="FFFFFF"/>
        <w:ind w:firstLine="720"/>
        <w:jc w:val="both"/>
        <w:rPr>
          <w:rFonts w:eastAsia="Times New Roman" w:cs="Times New Roman"/>
          <w:color w:val="222222"/>
        </w:rPr>
      </w:pPr>
    </w:p>
    <w:p w14:paraId="4A75FC14" w14:textId="7C1A9A3D" w:rsidR="00F62B2D" w:rsidRPr="00D63B51" w:rsidRDefault="00030DF5" w:rsidP="00F62B2D">
      <w:pPr>
        <w:shd w:val="clear" w:color="auto" w:fill="FFFFFF"/>
        <w:ind w:left="720"/>
        <w:jc w:val="both"/>
        <w:rPr>
          <w:rFonts w:eastAsia="Times New Roman" w:cs="Times New Roman"/>
          <w:color w:val="222222"/>
          <w:u w:val="single"/>
        </w:rPr>
      </w:pPr>
      <w:r w:rsidRPr="00D63B51">
        <w:rPr>
          <w:rFonts w:ascii="Times New Roman Bold" w:hAnsi="Times New Roman Bold" w:cs="Times New Roman"/>
          <w:b/>
          <w:bCs/>
        </w:rPr>
        <w:t>Elements to Consider</w:t>
      </w:r>
      <w:r w:rsidR="00F62B2D" w:rsidRPr="00D63B51">
        <w:rPr>
          <w:rFonts w:ascii="Times New Roman Bold" w:eastAsia="Times New Roman" w:hAnsi="Times New Roman Bold" w:cs="Times New Roman"/>
          <w:b/>
          <w:bCs/>
          <w:smallCaps/>
          <w:color w:val="222222"/>
        </w:rPr>
        <w:t>-§</w:t>
      </w:r>
      <w:r w:rsidR="00F62B2D" w:rsidRPr="00D63B51">
        <w:rPr>
          <w:rFonts w:eastAsia="Times New Roman" w:cs="Times New Roman"/>
          <w:b/>
          <w:bCs/>
          <w:smallCaps/>
          <w:color w:val="222222"/>
        </w:rPr>
        <w:t xml:space="preserve"> 1</w:t>
      </w:r>
      <w:r w:rsidR="00F62B2D" w:rsidRPr="00D63B51">
        <w:rPr>
          <w:rFonts w:eastAsia="Times New Roman" w:cs="Times New Roman"/>
          <w:b/>
          <w:bCs/>
          <w:color w:val="222222"/>
        </w:rPr>
        <w:t>(c)</w:t>
      </w:r>
      <w:r w:rsidR="00F62B2D" w:rsidRPr="00D63B51">
        <w:rPr>
          <w:rFonts w:eastAsia="Times New Roman" w:cs="Times New Roman"/>
          <w:color w:val="222222"/>
        </w:rPr>
        <w:t xml:space="preserve">: </w:t>
      </w:r>
      <w:bookmarkStart w:id="0" w:name="_Hlk150088269"/>
      <w:r w:rsidR="00F62B2D" w:rsidRPr="00D63B51">
        <w:rPr>
          <w:rFonts w:eastAsia="Times New Roman" w:cs="Times New Roman"/>
          <w:color w:val="222222"/>
        </w:rPr>
        <w:t>The “efficiency” of centralization criterion should be considered over the entire course of the MDL</w:t>
      </w:r>
      <w:bookmarkEnd w:id="0"/>
      <w:r w:rsidR="00F62B2D" w:rsidRPr="00D63B51">
        <w:rPr>
          <w:rFonts w:eastAsia="Times New Roman" w:cs="Times New Roman"/>
          <w:color w:val="222222"/>
        </w:rPr>
        <w:t xml:space="preserve">.  </w:t>
      </w:r>
      <w:r w:rsidR="00F62B2D" w:rsidRPr="00D63B51">
        <w:rPr>
          <w:rFonts w:cs="Times New Roman"/>
          <w:color w:val="4A4A4A"/>
          <w:shd w:val="clear" w:color="auto" w:fill="FFFFFF"/>
        </w:rPr>
        <w:t>Permanent No. MDL-§ 9(c).</w:t>
      </w:r>
    </w:p>
    <w:p w14:paraId="2B54755E" w14:textId="77777777" w:rsidR="00F62B2D" w:rsidRPr="00D63B51" w:rsidRDefault="00F62B2D" w:rsidP="00F62B2D">
      <w:pPr>
        <w:shd w:val="clear" w:color="auto" w:fill="FFFFFF"/>
        <w:ind w:left="720"/>
        <w:jc w:val="both"/>
        <w:rPr>
          <w:rFonts w:eastAsia="Times New Roman" w:cs="Times New Roman"/>
          <w:color w:val="222222"/>
          <w:u w:val="single"/>
        </w:rPr>
      </w:pPr>
    </w:p>
    <w:p w14:paraId="6227526A" w14:textId="77777777" w:rsidR="00F62B2D" w:rsidRPr="00D63B51" w:rsidRDefault="00F62B2D" w:rsidP="00F62B2D">
      <w:pPr>
        <w:spacing w:line="360" w:lineRule="auto"/>
        <w:ind w:firstLine="720"/>
        <w:jc w:val="both"/>
        <w:rPr>
          <w:rFonts w:cs="Times New Roman"/>
        </w:rPr>
      </w:pPr>
      <w:r w:rsidRPr="00D63B51">
        <w:rPr>
          <w:rFonts w:cs="Times New Roman"/>
        </w:rPr>
        <w:t>In most MDLs, centralization is efficient because it eliminates repetitious work that would otherwise have to be done separately by many judges and lawyers in individual actions. And the Panel often rejects objections to centralization because it is arguably more efficient to handle all disputes in a single MDL, especially discovery, instead of replicating such decisions in separate individual actions.</w:t>
      </w:r>
      <w:r w:rsidRPr="00D63B51">
        <w:rPr>
          <w:rStyle w:val="FootnoteReference"/>
          <w:rFonts w:cs="Times New Roman"/>
        </w:rPr>
        <w:footnoteReference w:id="14"/>
      </w:r>
      <w:r w:rsidRPr="00D63B51">
        <w:rPr>
          <w:rFonts w:cs="Times New Roman"/>
        </w:rPr>
        <w:t xml:space="preserve"> Such reasoning may ignore the added inefficiencies in handling hundreds or thousands of actions, which would never have been filed but for the MDL, that had no evidentiary basis at the time of filing and none was found after reasonable time for investigation or discovery.  </w:t>
      </w:r>
    </w:p>
    <w:p w14:paraId="1991A05A" w14:textId="77777777" w:rsidR="00F62B2D" w:rsidRPr="00D63B51" w:rsidRDefault="00F62B2D" w:rsidP="00F62B2D">
      <w:pPr>
        <w:spacing w:line="360" w:lineRule="auto"/>
        <w:ind w:firstLine="720"/>
        <w:jc w:val="both"/>
        <w:rPr>
          <w:rFonts w:cs="Times New Roman"/>
        </w:rPr>
      </w:pPr>
      <w:r w:rsidRPr="00D63B51">
        <w:rPr>
          <w:rFonts w:cs="Times New Roman"/>
        </w:rPr>
        <w:lastRenderedPageBreak/>
        <w:t xml:space="preserve"> Centralizing actions in a mass-tort MDL may be premature and inefficient in the long run under certain circumstances because it may draw hundreds or thousands of actions that have no evidentiary basis, which require significant investigation or discovery to dispose of that defeats any of the centralization’s potential efficiencies. Although neither </w:t>
      </w:r>
      <w:r w:rsidRPr="00D63B51">
        <w:rPr>
          <w:rFonts w:eastAsia="Times New Roman" w:cs="Times New Roman"/>
          <w:color w:val="222222"/>
        </w:rPr>
        <w:t>§ 1407 nor caselaw prevents the Panel from considering manageability problems that are likely to arise from unsupportable filings</w:t>
      </w:r>
      <w:r w:rsidRPr="00D63B51">
        <w:rPr>
          <w:rFonts w:cs="Times New Roman"/>
        </w:rPr>
        <w:t>, it historically has avoided considering the adverse impact of unsupportable filings.</w:t>
      </w:r>
      <w:r w:rsidRPr="00D63B51">
        <w:rPr>
          <w:rStyle w:val="FootnoteReference"/>
          <w:rFonts w:cs="Times New Roman"/>
        </w:rPr>
        <w:footnoteReference w:id="15"/>
      </w:r>
      <w:r w:rsidRPr="00D63B51">
        <w:rPr>
          <w:rFonts w:cs="Times New Roman"/>
        </w:rPr>
        <w:t xml:space="preserve">  </w:t>
      </w:r>
    </w:p>
    <w:p w14:paraId="02C14922" w14:textId="77777777" w:rsidR="00F62B2D" w:rsidRPr="00D63B51" w:rsidRDefault="00F62B2D" w:rsidP="00F62B2D">
      <w:pPr>
        <w:spacing w:line="360" w:lineRule="auto"/>
        <w:ind w:firstLine="720"/>
        <w:jc w:val="both"/>
        <w:rPr>
          <w:rFonts w:cs="Times New Roman"/>
        </w:rPr>
      </w:pPr>
      <w:r w:rsidRPr="00D63B51">
        <w:rPr>
          <w:rFonts w:cs="Times New Roman"/>
        </w:rPr>
        <w:t xml:space="preserve"> Yet, the consequences of large numbers of unsupportable filings drawn into an MDL can be severe and require immense unnecessary time and effort. It is true that transferee judges have established detailed procedures, which can identify and dispose of such filings, providing opportunities to individual parties to cure any alleged defect.  But every party is entitled to due-process consideration as required under the law, which can entail numerous individual hearings and follow-up hearings, show-cause orders, and motions.  Such individual attention quickly depletes the resources not only of the parties but of the court and it is not possible to apply at the scale required to handle thousands of filings.</w:t>
      </w:r>
    </w:p>
    <w:p w14:paraId="4C1F45D0" w14:textId="77777777" w:rsidR="00F62B2D" w:rsidRPr="00D63B51" w:rsidRDefault="00F62B2D" w:rsidP="00F62B2D">
      <w:pPr>
        <w:spacing w:line="360" w:lineRule="auto"/>
        <w:ind w:firstLine="720"/>
        <w:jc w:val="both"/>
        <w:rPr>
          <w:rFonts w:cs="Times New Roman"/>
        </w:rPr>
      </w:pPr>
      <w:r w:rsidRPr="00D63B51">
        <w:rPr>
          <w:rFonts w:cs="Times New Roman"/>
        </w:rPr>
        <w:t>The Panel has acknowledged the likely manageability problems caused by unsupportable filings but concluded that the transferee judge is in the best position to address them.</w:t>
      </w:r>
      <w:r w:rsidRPr="00D63B51">
        <w:rPr>
          <w:rStyle w:val="FootnoteReference"/>
          <w:rFonts w:cs="Times New Roman"/>
        </w:rPr>
        <w:footnoteReference w:id="16"/>
      </w:r>
      <w:r w:rsidRPr="00D63B51">
        <w:rPr>
          <w:rFonts w:cs="Times New Roman"/>
        </w:rPr>
        <w:t xml:space="preserve"> It often notes in its rulings that a transferee judge who handles “</w:t>
      </w:r>
      <w:r w:rsidRPr="00D63B51">
        <w:rPr>
          <w:rFonts w:cs="Times New Roman"/>
          <w:i/>
          <w:iCs/>
        </w:rPr>
        <w:t>several cases</w:t>
      </w:r>
      <w:r w:rsidRPr="00D63B51">
        <w:rPr>
          <w:rFonts w:cs="Times New Roman"/>
        </w:rPr>
        <w:t xml:space="preserve"> in an MDL” has many tools to accomplish such tasks and is in as good, if not better, position than multiple judges to address meritless claims.</w:t>
      </w:r>
      <w:r w:rsidRPr="00D63B51">
        <w:rPr>
          <w:rStyle w:val="FootnoteReference"/>
          <w:rFonts w:cs="Times New Roman"/>
        </w:rPr>
        <w:footnoteReference w:id="17"/>
      </w:r>
      <w:r w:rsidRPr="00D63B51">
        <w:rPr>
          <w:rFonts w:cs="Times New Roman"/>
        </w:rPr>
        <w:t xml:space="preserve">  And it underscores its position by asserting that the responsibility to address manageability problems arising from meritless claims lies with the defendants.</w:t>
      </w:r>
      <w:r w:rsidRPr="00D63B51">
        <w:rPr>
          <w:rStyle w:val="FootnoteReference"/>
          <w:rFonts w:cs="Times New Roman"/>
        </w:rPr>
        <w:footnoteReference w:id="18"/>
      </w:r>
      <w:r w:rsidRPr="00D63B51">
        <w:rPr>
          <w:rFonts w:cs="Times New Roman"/>
        </w:rPr>
        <w:t xml:space="preserve">  </w:t>
      </w:r>
    </w:p>
    <w:p w14:paraId="66C619B3" w14:textId="77777777" w:rsidR="00F62B2D" w:rsidRPr="00D63B51" w:rsidRDefault="00F62B2D" w:rsidP="00F62B2D">
      <w:pPr>
        <w:spacing w:line="360" w:lineRule="auto"/>
        <w:ind w:firstLine="720"/>
        <w:jc w:val="both"/>
        <w:rPr>
          <w:rFonts w:cs="Times New Roman"/>
        </w:rPr>
      </w:pPr>
      <w:r w:rsidRPr="00D63B51">
        <w:rPr>
          <w:rFonts w:cs="Times New Roman"/>
        </w:rPr>
        <w:t xml:space="preserve">On the other hand, transferee judges who are responsible for managing mass-tort MDLs, which grew from </w:t>
      </w:r>
      <w:r w:rsidRPr="00D63B51">
        <w:rPr>
          <w:rFonts w:cs="Times New Roman"/>
          <w:i/>
          <w:iCs/>
        </w:rPr>
        <w:t>several cases</w:t>
      </w:r>
      <w:r w:rsidRPr="00D63B51">
        <w:rPr>
          <w:rFonts w:cs="Times New Roman"/>
        </w:rPr>
        <w:t xml:space="preserve"> to tens or hundreds of thousands of individual actions are placed </w:t>
      </w:r>
      <w:r w:rsidRPr="00D63B51">
        <w:rPr>
          <w:rFonts w:cs="Times New Roman"/>
        </w:rPr>
        <w:lastRenderedPageBreak/>
        <w:t>in a difficult position and are seeking relief. In a law review article, Judge M. Casey Rodgers succinctly describes the dilemma faced by transferee judges in large mass-tort MDLs:</w:t>
      </w:r>
    </w:p>
    <w:p w14:paraId="58D4D067" w14:textId="77777777" w:rsidR="00F62B2D" w:rsidRPr="00D63B51" w:rsidRDefault="00F62B2D" w:rsidP="00F62B2D">
      <w:pPr>
        <w:ind w:left="720" w:right="720" w:firstLine="360"/>
        <w:jc w:val="both"/>
        <w:rPr>
          <w:rFonts w:cs="Times New Roman"/>
        </w:rPr>
      </w:pPr>
      <w:r w:rsidRPr="00D63B51">
        <w:rPr>
          <w:rFonts w:cs="Times New Roman"/>
        </w:rPr>
        <w:t>The procedural safeguards used effectively in one-off cases (</w:t>
      </w:r>
      <w:r w:rsidRPr="00D63B51">
        <w:rPr>
          <w:rFonts w:cs="Times New Roman"/>
          <w:i/>
          <w:iCs/>
        </w:rPr>
        <w:t>e.g</w:t>
      </w:r>
      <w:r w:rsidRPr="00D63B51">
        <w:rPr>
          <w:rFonts w:cs="Times New Roman"/>
        </w:rPr>
        <w:t>., federal pleading standards, discovery obligations, case-specific motions for summary judgment, and Rule 11 sanctions) are difficult to employ at scale in the MDL context, where the volume of individual cases in a single MDL can number in the hundreds, thousands, and even hundreds of thousands.  Left unchecked, high volumes of unsupportable claims can wreak havoc on an MDL. They clog the docket, interfere with a court’s ability to establish a fair and informative bellwether process, frustrate efforts to assess the strengths and weaknesses of the MDL as a whole, and hamper settlement discussions. And yes, as some may be loath to admit, the sheer volume of unsupportable claims in some MDLs can grossly distort the true merit and size of the litigation. To be sure, dealing with unsupportable claims, and with their consequences for an MDL more broadly, drains the time and resources of the parties, counsel, and the courts.”</w:t>
      </w:r>
      <w:r w:rsidRPr="00D63B51">
        <w:rPr>
          <w:rStyle w:val="FootnoteReference"/>
          <w:rFonts w:cs="Times New Roman"/>
        </w:rPr>
        <w:footnoteReference w:id="19"/>
      </w:r>
      <w:r w:rsidRPr="00D63B51">
        <w:rPr>
          <w:rFonts w:cs="Times New Roman"/>
        </w:rPr>
        <w:tab/>
      </w:r>
    </w:p>
    <w:p w14:paraId="774BDA3A" w14:textId="77777777" w:rsidR="00F62B2D" w:rsidRPr="00D63B51" w:rsidRDefault="00F62B2D" w:rsidP="00F62B2D">
      <w:pPr>
        <w:ind w:left="720" w:right="720" w:firstLine="360"/>
        <w:jc w:val="both"/>
        <w:rPr>
          <w:rFonts w:cs="Times New Roman"/>
        </w:rPr>
      </w:pPr>
    </w:p>
    <w:p w14:paraId="33FFE8F8" w14:textId="76B02BC2" w:rsidR="00F62B2D" w:rsidRPr="00D63B51" w:rsidRDefault="00030DF5" w:rsidP="00F62B2D">
      <w:pPr>
        <w:ind w:left="720" w:right="720"/>
        <w:jc w:val="both"/>
        <w:rPr>
          <w:rFonts w:cs="Times New Roman"/>
          <w:color w:val="4A4A4A"/>
          <w:shd w:val="clear" w:color="auto" w:fill="FFFFFF"/>
        </w:rPr>
      </w:pPr>
      <w:bookmarkStart w:id="1" w:name="_Hlk150090402"/>
      <w:r w:rsidRPr="00D63B51">
        <w:rPr>
          <w:rFonts w:ascii="Times New Roman Bold" w:hAnsi="Times New Roman Bold" w:cs="Times New Roman"/>
          <w:b/>
          <w:bCs/>
        </w:rPr>
        <w:t>Elements to Consider</w:t>
      </w:r>
      <w:r w:rsidRPr="00D63B51">
        <w:rPr>
          <w:rFonts w:ascii="Times New Roman Bold" w:eastAsia="Times New Roman" w:hAnsi="Times New Roman Bold" w:cs="Times New Roman"/>
          <w:b/>
          <w:bCs/>
          <w:smallCaps/>
          <w:color w:val="222222"/>
        </w:rPr>
        <w:t xml:space="preserve"> </w:t>
      </w:r>
      <w:r w:rsidR="00F62B2D" w:rsidRPr="00D63B51">
        <w:rPr>
          <w:rFonts w:ascii="Times New Roman Bold" w:eastAsia="Times New Roman" w:hAnsi="Times New Roman Bold" w:cs="Times New Roman"/>
          <w:b/>
          <w:bCs/>
          <w:smallCaps/>
          <w:color w:val="222222"/>
        </w:rPr>
        <w:t>-§</w:t>
      </w:r>
      <w:r w:rsidR="00F62B2D" w:rsidRPr="00D63B51">
        <w:rPr>
          <w:rFonts w:eastAsia="Times New Roman" w:cs="Times New Roman"/>
          <w:b/>
          <w:bCs/>
          <w:smallCaps/>
          <w:color w:val="222222"/>
        </w:rPr>
        <w:t xml:space="preserve"> 1</w:t>
      </w:r>
      <w:r w:rsidR="00F62B2D" w:rsidRPr="00D63B51">
        <w:rPr>
          <w:rFonts w:ascii="Times New Roman Bold" w:eastAsia="Times New Roman" w:hAnsi="Times New Roman Bold" w:cs="Times New Roman"/>
          <w:b/>
          <w:bCs/>
          <w:color w:val="222222"/>
        </w:rPr>
        <w:t>(d)</w:t>
      </w:r>
      <w:r w:rsidR="00F62B2D" w:rsidRPr="00D63B51">
        <w:rPr>
          <w:rFonts w:cs="Times New Roman"/>
          <w:b/>
          <w:bCs/>
          <w:smallCaps/>
        </w:rPr>
        <w:t>:</w:t>
      </w:r>
      <w:r w:rsidR="00F62B2D" w:rsidRPr="00D63B51">
        <w:rPr>
          <w:rFonts w:cs="Times New Roman"/>
        </w:rPr>
        <w:t xml:space="preserve"> The “fairness”</w:t>
      </w:r>
      <w:r w:rsidR="00F62B2D" w:rsidRPr="00D63B51">
        <w:rPr>
          <w:rFonts w:eastAsia="Times New Roman" w:cs="Times New Roman"/>
          <w:color w:val="222222"/>
        </w:rPr>
        <w:t xml:space="preserve"> of the centralization criterion should be considered over the entire course of the MDL.  </w:t>
      </w:r>
      <w:r w:rsidR="00F62B2D" w:rsidRPr="00D63B51">
        <w:rPr>
          <w:rFonts w:cs="Times New Roman"/>
          <w:color w:val="4A4A4A"/>
          <w:shd w:val="clear" w:color="auto" w:fill="FFFFFF"/>
        </w:rPr>
        <w:t>Permanent No. MDL-§ 9(d).</w:t>
      </w:r>
    </w:p>
    <w:p w14:paraId="7B993C58" w14:textId="77777777" w:rsidR="00F62B2D" w:rsidRPr="00D63B51" w:rsidRDefault="00F62B2D" w:rsidP="00F62B2D">
      <w:pPr>
        <w:ind w:left="720" w:right="720"/>
        <w:jc w:val="both"/>
        <w:rPr>
          <w:rFonts w:eastAsia="Times New Roman" w:cs="Times New Roman"/>
          <w:color w:val="222222"/>
          <w:u w:val="single"/>
        </w:rPr>
      </w:pPr>
    </w:p>
    <w:bookmarkEnd w:id="1"/>
    <w:p w14:paraId="40ACFC65" w14:textId="77777777" w:rsidR="00F62B2D" w:rsidRPr="00D63B51" w:rsidRDefault="00F62B2D" w:rsidP="00F62B2D">
      <w:pPr>
        <w:spacing w:line="360" w:lineRule="auto"/>
        <w:ind w:firstLine="720"/>
        <w:jc w:val="both"/>
        <w:rPr>
          <w:rFonts w:eastAsia="Times New Roman" w:cs="Times New Roman"/>
          <w:color w:val="222222"/>
        </w:rPr>
      </w:pPr>
      <w:r w:rsidRPr="00D63B51">
        <w:rPr>
          <w:rFonts w:eastAsia="Times New Roman" w:cs="Times New Roman"/>
          <w:color w:val="222222"/>
        </w:rPr>
        <w:t xml:space="preserve">In addition to improved efficiencies, the Panel often refers to the unfairness of “inconsistent rulings” that otherwise would occur but for the MDL as a reason for its centralization decision. For example, a single determination of a preemption defense can resolve the matter quickly and fairly. This justification rightfully applies in most MDLs, but on closer examination, it has less power in those putative mass-tort MDLs, in which one of the parties objects to centralization. </w:t>
      </w:r>
    </w:p>
    <w:p w14:paraId="475B956B" w14:textId="77777777" w:rsidR="00F62B2D" w:rsidRPr="00D63B51" w:rsidRDefault="00F62B2D" w:rsidP="00F62B2D">
      <w:pPr>
        <w:spacing w:line="360" w:lineRule="auto"/>
        <w:ind w:firstLine="720"/>
        <w:jc w:val="both"/>
        <w:rPr>
          <w:rFonts w:eastAsia="Times New Roman" w:cs="Times New Roman"/>
          <w:color w:val="222222"/>
        </w:rPr>
      </w:pPr>
      <w:r w:rsidRPr="00D63B51">
        <w:rPr>
          <w:rFonts w:eastAsia="Times New Roman" w:cs="Times New Roman"/>
          <w:color w:val="222222"/>
        </w:rPr>
        <w:t xml:space="preserve">Inconsistent “procedural” rulings usually can be unfair and prejudice parties for no good reason.  On the other hand, inconsistent “substantive-law” rulings have always been recognized as one of the benefits of a federal system.  The benefits are particularly evident in the MDL context when the science is unclear.  Instead of a single determination that ends further investigations and which in the long run may or may not be correct, transferee judges typically limit the effect of a </w:t>
      </w:r>
      <w:r w:rsidRPr="00D63B51">
        <w:rPr>
          <w:rFonts w:eastAsia="Times New Roman" w:cs="Times New Roman"/>
          <w:i/>
          <w:iCs/>
          <w:color w:val="222222"/>
        </w:rPr>
        <w:t>Daubert</w:t>
      </w:r>
      <w:r w:rsidRPr="00D63B51">
        <w:rPr>
          <w:rFonts w:eastAsia="Times New Roman" w:cs="Times New Roman"/>
          <w:color w:val="222222"/>
        </w:rPr>
        <w:t xml:space="preserve"> ruling only to the individual bellwether trial.  Limiting the scope of its rulings permits other parties in other bellwether actions to present their own witnesses and experts, which is particularly useful when the science is unclear. The inconsistency in rulings is outweighed by these benefits.</w:t>
      </w:r>
      <w:r w:rsidRPr="00D63B51">
        <w:rPr>
          <w:rStyle w:val="FootnoteReference"/>
          <w:rFonts w:eastAsia="Times New Roman" w:cs="Times New Roman"/>
          <w:color w:val="222222"/>
        </w:rPr>
        <w:footnoteReference w:id="20"/>
      </w:r>
      <w:r w:rsidRPr="00D63B51">
        <w:rPr>
          <w:rFonts w:eastAsia="Times New Roman" w:cs="Times New Roman"/>
          <w:color w:val="222222"/>
        </w:rPr>
        <w:t xml:space="preserve"> </w:t>
      </w:r>
    </w:p>
    <w:p w14:paraId="1F8004D6" w14:textId="77777777" w:rsidR="00F62B2D" w:rsidRPr="00D63B51" w:rsidRDefault="00F62B2D" w:rsidP="00F62B2D">
      <w:pPr>
        <w:spacing w:line="360" w:lineRule="auto"/>
        <w:ind w:firstLine="720"/>
        <w:jc w:val="both"/>
        <w:rPr>
          <w:rFonts w:eastAsia="Times New Roman" w:cs="Times New Roman"/>
          <w:color w:val="222222"/>
        </w:rPr>
      </w:pPr>
      <w:r w:rsidRPr="00D63B51">
        <w:rPr>
          <w:rFonts w:eastAsia="Times New Roman" w:cs="Times New Roman"/>
          <w:color w:val="222222"/>
        </w:rPr>
        <w:lastRenderedPageBreak/>
        <w:t>An equally, if not more, important fairness consideration in such cases is the unnecessary burden imposed on a party obligated to respond to individual actions that would have been otherwise expeditiously disposed of by pleading standards and summary-judgment motions as well as Rule 11 sanctions in one-off cases.</w:t>
      </w:r>
      <w:r w:rsidRPr="00D63B51">
        <w:rPr>
          <w:rStyle w:val="FootnoteReference"/>
          <w:rFonts w:eastAsia="Times New Roman" w:cs="Times New Roman"/>
          <w:color w:val="222222"/>
        </w:rPr>
        <w:footnoteReference w:id="21"/>
      </w:r>
      <w:r w:rsidRPr="00D63B51">
        <w:rPr>
          <w:rFonts w:eastAsia="Times New Roman" w:cs="Times New Roman"/>
          <w:color w:val="222222"/>
        </w:rPr>
        <w:t xml:space="preserve">  The Second Circuit’s admonition rings particularly true in these circumstances: “A party may not use aggregation as a method of increasing the costs of its adversaries—whether plaintiffs or defendants—by forcing them to participate in discovery or other proceedings that are irrelevant to their case.  It may be that such increased costs would make settlement easier to achieve, but that would occur only at the cost of elemental fairness.”</w:t>
      </w:r>
      <w:r w:rsidRPr="00D63B51">
        <w:rPr>
          <w:rStyle w:val="FootnoteReference"/>
          <w:rFonts w:eastAsia="Times New Roman" w:cs="Times New Roman"/>
          <w:color w:val="222222"/>
        </w:rPr>
        <w:footnoteReference w:id="22"/>
      </w:r>
      <w:r w:rsidRPr="00D63B51">
        <w:rPr>
          <w:rFonts w:eastAsia="Times New Roman" w:cs="Times New Roman"/>
          <w:color w:val="222222"/>
        </w:rPr>
        <w:t xml:space="preserve"> </w:t>
      </w:r>
    </w:p>
    <w:p w14:paraId="0D464CDA" w14:textId="77777777" w:rsidR="00F62B2D" w:rsidRPr="00D63B51" w:rsidRDefault="00F62B2D" w:rsidP="00F62B2D">
      <w:pPr>
        <w:spacing w:line="360" w:lineRule="auto"/>
        <w:ind w:firstLine="720"/>
        <w:jc w:val="both"/>
        <w:rPr>
          <w:rFonts w:eastAsia="Times New Roman" w:cs="Times New Roman"/>
          <w:color w:val="222222"/>
        </w:rPr>
      </w:pPr>
      <w:r w:rsidRPr="00D63B51">
        <w:rPr>
          <w:rFonts w:eastAsia="Times New Roman" w:cs="Times New Roman"/>
          <w:color w:val="222222"/>
        </w:rPr>
        <w:t>Likewise, transferring filings to an MDL may increase judicial efficiency, but it can be unfair to the parties. Again, the Second Circuit warns: “Although consolidation may enhance judicial efficiency, ‘[c]onsiderations of convenience and economy must yield to a paramount concern for a fair and impartial trial.’ [citations omitted] As we have recently cautioned, ‘The systemic urge to aggregate litigation must not be allowed to trump our dedication to individual justice, and we must take care that each individual plaintiff’s—and defendant’s—cause not be lost in the shadow of a towering mass litigation.”</w:t>
      </w:r>
      <w:r w:rsidRPr="00D63B51">
        <w:rPr>
          <w:rStyle w:val="FootnoteReference"/>
          <w:rFonts w:eastAsia="Times New Roman" w:cs="Times New Roman"/>
          <w:color w:val="222222"/>
        </w:rPr>
        <w:footnoteReference w:id="23"/>
      </w:r>
      <w:r w:rsidRPr="00D63B51">
        <w:rPr>
          <w:rFonts w:eastAsia="Times New Roman" w:cs="Times New Roman"/>
          <w:color w:val="222222"/>
        </w:rPr>
        <w:t xml:space="preserve"> The unfair depletion of a party’s resources spent on unsupportable filings is at odds with the Panel’s goal that centralization </w:t>
      </w:r>
      <w:r w:rsidRPr="00D63B51">
        <w:rPr>
          <w:rFonts w:eastAsia="Times New Roman" w:cs="Times New Roman"/>
          <w:i/>
          <w:iCs/>
          <w:color w:val="222222"/>
        </w:rPr>
        <w:t>conserve the resources</w:t>
      </w:r>
      <w:r w:rsidRPr="00D63B51">
        <w:rPr>
          <w:rFonts w:eastAsia="Times New Roman" w:cs="Times New Roman"/>
          <w:color w:val="222222"/>
        </w:rPr>
        <w:t xml:space="preserve"> of the parties, their counsel, and the judiciary.”</w:t>
      </w:r>
      <w:r w:rsidRPr="00D63B51">
        <w:rPr>
          <w:rStyle w:val="FootnoteReference"/>
          <w:rFonts w:eastAsia="Times New Roman" w:cs="Times New Roman"/>
          <w:color w:val="222222"/>
        </w:rPr>
        <w:footnoteReference w:id="24"/>
      </w:r>
      <w:r w:rsidRPr="00D63B51">
        <w:rPr>
          <w:rFonts w:eastAsia="Times New Roman" w:cs="Times New Roman"/>
          <w:color w:val="222222"/>
        </w:rPr>
        <w:t xml:space="preserve"> It may also be unfair to deny an individual the right to present their own argument, evidence, and experts in support of the science, which can result, as a practical matter, in a loss of their right to a jury trial.  </w:t>
      </w:r>
    </w:p>
    <w:p w14:paraId="5CFF0921" w14:textId="240A6A3E" w:rsidR="00F62B2D" w:rsidRPr="00D63B51" w:rsidRDefault="00030DF5" w:rsidP="00F62B2D">
      <w:pPr>
        <w:ind w:left="720" w:right="720"/>
        <w:jc w:val="both"/>
        <w:rPr>
          <w:rFonts w:cs="Times New Roman"/>
          <w:color w:val="4A4A4A"/>
          <w:shd w:val="clear" w:color="auto" w:fill="FFFFFF"/>
        </w:rPr>
      </w:pPr>
      <w:r w:rsidRPr="00D63B51">
        <w:rPr>
          <w:rFonts w:ascii="Times New Roman Bold" w:hAnsi="Times New Roman Bold" w:cs="Times New Roman"/>
          <w:b/>
          <w:bCs/>
        </w:rPr>
        <w:lastRenderedPageBreak/>
        <w:t>Elements to Consider</w:t>
      </w:r>
      <w:r w:rsidR="00F62B2D" w:rsidRPr="00D63B51">
        <w:rPr>
          <w:rFonts w:ascii="Times New Roman Bold" w:eastAsia="Times New Roman" w:hAnsi="Times New Roman Bold" w:cs="Times New Roman"/>
          <w:b/>
          <w:bCs/>
          <w:smallCaps/>
          <w:color w:val="222222"/>
        </w:rPr>
        <w:t>-§</w:t>
      </w:r>
      <w:r w:rsidR="00F62B2D" w:rsidRPr="00D63B51">
        <w:rPr>
          <w:rFonts w:eastAsia="Times New Roman" w:cs="Times New Roman"/>
          <w:b/>
          <w:bCs/>
          <w:color w:val="222222"/>
        </w:rPr>
        <w:t xml:space="preserve"> 1(e)</w:t>
      </w:r>
      <w:r w:rsidR="00F62B2D" w:rsidRPr="00D63B51">
        <w:rPr>
          <w:rFonts w:cs="Times New Roman"/>
        </w:rPr>
        <w:t>: The “convenience</w:t>
      </w:r>
      <w:r w:rsidR="00F62B2D" w:rsidRPr="00D63B51">
        <w:rPr>
          <w:rFonts w:eastAsia="Times New Roman" w:cs="Times New Roman"/>
          <w:color w:val="222222"/>
        </w:rPr>
        <w:t xml:space="preserve"> of the parties and witnesses” centralization criterion should be considered over the entire course of the MDL.  </w:t>
      </w:r>
      <w:r w:rsidR="00F62B2D" w:rsidRPr="00D63B51">
        <w:rPr>
          <w:rFonts w:cs="Times New Roman"/>
          <w:color w:val="4A4A4A"/>
          <w:shd w:val="clear" w:color="auto" w:fill="FFFFFF"/>
        </w:rPr>
        <w:t>Permanent No. MDL-§ 9(e).</w:t>
      </w:r>
    </w:p>
    <w:p w14:paraId="3F0E3132" w14:textId="77777777" w:rsidR="00F62B2D" w:rsidRPr="00D63B51" w:rsidRDefault="00F62B2D" w:rsidP="00F62B2D">
      <w:pPr>
        <w:ind w:left="720" w:right="720"/>
        <w:jc w:val="both"/>
        <w:rPr>
          <w:rFonts w:eastAsia="Times New Roman" w:cs="Times New Roman"/>
          <w:color w:val="222222"/>
          <w:u w:val="single"/>
        </w:rPr>
      </w:pPr>
    </w:p>
    <w:p w14:paraId="1E822ED2" w14:textId="77777777" w:rsidR="00F62B2D" w:rsidRPr="00D63B51" w:rsidRDefault="00F62B2D" w:rsidP="00F62B2D">
      <w:pPr>
        <w:spacing w:line="360" w:lineRule="auto"/>
        <w:ind w:firstLine="720"/>
        <w:jc w:val="both"/>
        <w:rPr>
          <w:rFonts w:eastAsia="Times New Roman" w:cs="Times New Roman"/>
          <w:color w:val="222222"/>
        </w:rPr>
      </w:pPr>
      <w:r w:rsidRPr="00D63B51">
        <w:rPr>
          <w:rFonts w:eastAsia="Times New Roman" w:cs="Times New Roman"/>
          <w:color w:val="222222"/>
        </w:rPr>
        <w:t xml:space="preserve">The Panel must determine whether centralization “will be for the convenience of parties and witnesses.” The parties are in the best position to determine whether centralization is for their and their witnesses’ convenience. </w:t>
      </w:r>
    </w:p>
    <w:p w14:paraId="034AF819" w14:textId="77777777" w:rsidR="00F62B2D" w:rsidRPr="00D63B51" w:rsidRDefault="00F62B2D" w:rsidP="00F62B2D">
      <w:pPr>
        <w:spacing w:line="360" w:lineRule="auto"/>
        <w:ind w:firstLine="720"/>
        <w:jc w:val="both"/>
        <w:rPr>
          <w:rFonts w:eastAsia="Times New Roman" w:cs="Times New Roman"/>
          <w:color w:val="222222"/>
        </w:rPr>
      </w:pPr>
      <w:r w:rsidRPr="00D63B51">
        <w:rPr>
          <w:rFonts w:eastAsia="Times New Roman" w:cs="Times New Roman"/>
          <w:color w:val="222222"/>
        </w:rPr>
        <w:t xml:space="preserve">Plaintiffs and defendants may often support centralization, recognizing the conveniences in doing so.  But in putative large mass-tort MDLs, individual plaintiffs often complain of being sucked into an MDL, forfeiting the right to litigate their claims on their own, while defendants complain of the likelihood of addressing thousands of unsupportable claims, which would not otherwise have been filed but for the MDL. The convenience factor plays a significant role in their objections. </w:t>
      </w:r>
    </w:p>
    <w:p w14:paraId="6E1C8755" w14:textId="77777777" w:rsidR="00F62B2D" w:rsidRPr="00D63B51" w:rsidRDefault="00F62B2D" w:rsidP="00F62B2D">
      <w:pPr>
        <w:spacing w:line="360" w:lineRule="auto"/>
        <w:ind w:firstLine="720"/>
        <w:jc w:val="both"/>
        <w:rPr>
          <w:rFonts w:eastAsia="Times New Roman" w:cs="Times New Roman"/>
          <w:color w:val="222222"/>
        </w:rPr>
      </w:pPr>
      <w:r w:rsidRPr="00D63B51">
        <w:rPr>
          <w:rFonts w:eastAsia="Times New Roman" w:cs="Times New Roman"/>
          <w:color w:val="222222"/>
        </w:rPr>
        <w:t xml:space="preserve">In these cases, the parties who have the most to gain if the actions are centralized and their assessments should be given substantial weight.   </w:t>
      </w:r>
    </w:p>
    <w:p w14:paraId="5780C72F" w14:textId="35350A38" w:rsidR="00F62B2D" w:rsidRPr="00D63B51" w:rsidRDefault="00030DF5" w:rsidP="00F62B2D">
      <w:pPr>
        <w:ind w:left="720" w:right="720"/>
        <w:jc w:val="both"/>
        <w:rPr>
          <w:rFonts w:cs="Times New Roman"/>
          <w:color w:val="4A4A4A"/>
          <w:shd w:val="clear" w:color="auto" w:fill="FFFFFF"/>
        </w:rPr>
      </w:pPr>
      <w:r w:rsidRPr="00D63B51">
        <w:rPr>
          <w:rFonts w:ascii="Times New Roman Bold" w:hAnsi="Times New Roman Bold" w:cs="Times New Roman"/>
          <w:b/>
          <w:bCs/>
        </w:rPr>
        <w:t>Elements to Consider</w:t>
      </w:r>
      <w:r w:rsidR="00F62B2D" w:rsidRPr="00D63B51">
        <w:rPr>
          <w:rFonts w:ascii="Times New Roman Bold" w:eastAsia="Times New Roman" w:hAnsi="Times New Roman Bold" w:cs="Times New Roman"/>
          <w:b/>
          <w:bCs/>
          <w:smallCaps/>
          <w:color w:val="222222"/>
        </w:rPr>
        <w:t>-§</w:t>
      </w:r>
      <w:r w:rsidR="00F62B2D" w:rsidRPr="00D63B51">
        <w:rPr>
          <w:rFonts w:eastAsia="Times New Roman" w:cs="Times New Roman"/>
          <w:b/>
          <w:bCs/>
          <w:color w:val="222222"/>
        </w:rPr>
        <w:t xml:space="preserve"> 1(</w:t>
      </w:r>
      <w:r w:rsidR="00F62B2D" w:rsidRPr="00D63B51">
        <w:rPr>
          <w:rFonts w:ascii="Times New Roman Bold" w:eastAsia="Times New Roman" w:hAnsi="Times New Roman Bold" w:cs="Times New Roman"/>
          <w:b/>
          <w:bCs/>
          <w:color w:val="222222"/>
        </w:rPr>
        <w:t>f)</w:t>
      </w:r>
      <w:r w:rsidR="00F62B2D" w:rsidRPr="00D63B51">
        <w:rPr>
          <w:rFonts w:cs="Times New Roman"/>
          <w:b/>
          <w:bCs/>
        </w:rPr>
        <w:t xml:space="preserve">: </w:t>
      </w:r>
      <w:r w:rsidR="00F62B2D" w:rsidRPr="00D63B51">
        <w:rPr>
          <w:rFonts w:cs="Times New Roman"/>
        </w:rPr>
        <w:t>The Manual for Complex Litigation</w:t>
      </w:r>
      <w:r w:rsidR="00F62B2D" w:rsidRPr="00D63B51">
        <w:rPr>
          <w:rFonts w:cs="Times New Roman"/>
          <w:b/>
          <w:bCs/>
        </w:rPr>
        <w:t xml:space="preserve"> </w:t>
      </w:r>
      <w:r w:rsidR="00F62B2D" w:rsidRPr="00D63B51">
        <w:rPr>
          <w:rFonts w:cs="Times New Roman"/>
        </w:rPr>
        <w:t>identifies</w:t>
      </w:r>
      <w:r w:rsidR="00F62B2D" w:rsidRPr="00D63B51">
        <w:rPr>
          <w:rFonts w:cs="Times New Roman"/>
          <w:b/>
          <w:bCs/>
        </w:rPr>
        <w:t xml:space="preserve"> </w:t>
      </w:r>
      <w:r w:rsidR="00F62B2D" w:rsidRPr="00D63B51">
        <w:rPr>
          <w:rFonts w:cs="Times New Roman"/>
        </w:rPr>
        <w:t xml:space="preserve">prudential factors to identify putative MDLs.  </w:t>
      </w:r>
      <w:r w:rsidR="00F62B2D" w:rsidRPr="00D63B51">
        <w:rPr>
          <w:rFonts w:cs="Times New Roman"/>
          <w:color w:val="4A4A4A"/>
          <w:shd w:val="clear" w:color="auto" w:fill="FFFFFF"/>
        </w:rPr>
        <w:t>Permanent No. MDL-§ 9(f).</w:t>
      </w:r>
    </w:p>
    <w:p w14:paraId="026637DC" w14:textId="77777777" w:rsidR="00F62B2D" w:rsidRPr="00D63B51" w:rsidRDefault="00F62B2D" w:rsidP="00F62B2D">
      <w:pPr>
        <w:ind w:left="720" w:right="720"/>
        <w:jc w:val="both"/>
        <w:rPr>
          <w:rFonts w:cs="Times New Roman"/>
        </w:rPr>
      </w:pPr>
    </w:p>
    <w:p w14:paraId="2679A7F9" w14:textId="77777777" w:rsidR="00F62B2D" w:rsidRPr="00D63B51" w:rsidRDefault="00F62B2D" w:rsidP="00F62B2D">
      <w:pPr>
        <w:spacing w:line="360" w:lineRule="auto"/>
        <w:ind w:firstLine="720"/>
        <w:jc w:val="both"/>
        <w:rPr>
          <w:rFonts w:cs="Times New Roman"/>
        </w:rPr>
      </w:pPr>
      <w:r w:rsidRPr="00D63B51">
        <w:rPr>
          <w:rFonts w:cs="Times New Roman"/>
        </w:rPr>
        <w:t>The Manual for Complex Litigation identifies prudential factors, which apply to putative MDLs that likely will draw large numbers of unsupportable actions and provides guidance on handling putative MDLs that are not ripe for centralization.  These factors provide guidance on what should be considered as part of a more rigorous examination when deciding “whether to aggregate cases for pretrial and trial management or to proceed on a case-by-case basis.”</w:t>
      </w:r>
      <w:r w:rsidRPr="00D63B51">
        <w:rPr>
          <w:rStyle w:val="FootnoteReference"/>
          <w:rFonts w:cs="Times New Roman"/>
        </w:rPr>
        <w:footnoteReference w:id="25"/>
      </w:r>
      <w:r w:rsidRPr="00D63B51">
        <w:rPr>
          <w:rFonts w:cs="Times New Roman"/>
        </w:rPr>
        <w:t xml:space="preserve">  </w:t>
      </w:r>
    </w:p>
    <w:p w14:paraId="242DC604" w14:textId="77777777" w:rsidR="00F62B2D" w:rsidRPr="00D63B51" w:rsidRDefault="00F62B2D" w:rsidP="00F62B2D">
      <w:pPr>
        <w:spacing w:line="360" w:lineRule="auto"/>
        <w:ind w:firstLine="720"/>
        <w:jc w:val="both"/>
        <w:rPr>
          <w:rFonts w:cs="Times New Roman"/>
        </w:rPr>
      </w:pPr>
      <w:r w:rsidRPr="00D63B51">
        <w:rPr>
          <w:rFonts w:cs="Times New Roman"/>
        </w:rPr>
        <w:t>Chief among the Manual’s prudential factors is: “What is the strength and reliability of the scientific evidence? Is statistically significant and reliable information to support general causation available or likely to become available?”</w:t>
      </w:r>
    </w:p>
    <w:p w14:paraId="0B1247AC" w14:textId="77777777" w:rsidR="00F62B2D" w:rsidRPr="00D63B51" w:rsidRDefault="00F62B2D" w:rsidP="00F62B2D">
      <w:pPr>
        <w:spacing w:line="360" w:lineRule="auto"/>
        <w:ind w:firstLine="720"/>
        <w:jc w:val="both"/>
        <w:rPr>
          <w:rFonts w:cs="Times New Roman"/>
        </w:rPr>
      </w:pPr>
      <w:r w:rsidRPr="00D63B51">
        <w:rPr>
          <w:rFonts w:cs="Times New Roman"/>
        </w:rPr>
        <w:t xml:space="preserve">Along the same lines, the Manual focuses on ill-defined claims of causation. “Causation must be analyzed to determine whether it can be established on a group-wide basis.  Proof of causation requires evidence of exposure to the allegedly defective product of substance, the amount and duration of exposure, the alleged causal mechanism, and the role of alternative causal agents…. Without a signature injury or a readily identifiable agent, evidence as to the amount of exposure and the role of alternative causal agents is more individualized and may make </w:t>
      </w:r>
      <w:r w:rsidRPr="00D63B51">
        <w:rPr>
          <w:rFonts w:cs="Times New Roman"/>
        </w:rPr>
        <w:lastRenderedPageBreak/>
        <w:t xml:space="preserve">aggregation of claims questionable.” Absent a track record of individual trials or settlements, the claims of causation alleged in a master complaint may be ill-defined or too broad, which increases the likelihood that more actions filed on information and belief without an evidentiary basis on claims that ultimately are not viable will need to be addressed. </w:t>
      </w:r>
    </w:p>
    <w:p w14:paraId="57543825" w14:textId="77777777" w:rsidR="00F62B2D" w:rsidRPr="00D63B51" w:rsidRDefault="00F62B2D" w:rsidP="00F62B2D">
      <w:pPr>
        <w:spacing w:line="360" w:lineRule="auto"/>
        <w:ind w:firstLine="720"/>
        <w:jc w:val="both"/>
        <w:rPr>
          <w:rFonts w:cs="Times New Roman"/>
        </w:rPr>
      </w:pPr>
      <w:r w:rsidRPr="00D63B51">
        <w:rPr>
          <w:rFonts w:cs="Times New Roman"/>
        </w:rPr>
        <w:t>Information about prior litigation often provides evidence of the maturity of the litigation. Inquiries are often made about “whether similar cases have been tried or settled, and, if so, with what results; whether other courts have ruled on dispositive motions or on the limits of appropriate discovery; and what information is available as to the value of a particular set of cases, based on prior trials or settlements.” The need for more trials of individual cases to determine whether claims should be aggregated and on what terms is also often considered.</w:t>
      </w:r>
    </w:p>
    <w:p w14:paraId="54FAD927" w14:textId="77777777" w:rsidR="00F62B2D" w:rsidRPr="00D63B51" w:rsidRDefault="00F62B2D" w:rsidP="00F62B2D">
      <w:pPr>
        <w:spacing w:line="360" w:lineRule="auto"/>
        <w:ind w:firstLine="720"/>
        <w:jc w:val="both"/>
        <w:rPr>
          <w:rFonts w:cs="Times New Roman"/>
          <w:color w:val="4A4A4A"/>
          <w:shd w:val="clear" w:color="auto" w:fill="FFFFFF"/>
        </w:rPr>
      </w:pPr>
      <w:r w:rsidRPr="00D63B51">
        <w:rPr>
          <w:rFonts w:cs="Times New Roman"/>
        </w:rPr>
        <w:t>Such information may be most helpful when the injuries allegedly arise from new products or substances, or liability is predicated on novel legal claims, causation may be disputed, or scientific evidence may be conflicting.  If there are few prior verdicts, judgments, or settlements, additional information may be needed to determine whether aggregation is appropriate.  The need for such information may justify postponing centralization to allow a number of single-plaintiff, single-defendant trials, or other small trials.  These trials would test the claims of causation and damages and whether the evidence applies across groups, in order to provide the necessary information as to whether aggregation is appropriate, the form and extent of aggregation, and the likely range of values of the various claims.</w:t>
      </w:r>
      <w:r w:rsidRPr="00D63B51">
        <w:rPr>
          <w:rStyle w:val="FootnoteReference"/>
          <w:rFonts w:cs="Times New Roman"/>
        </w:rPr>
        <w:footnoteReference w:id="26"/>
      </w:r>
      <w:r w:rsidRPr="00D63B51">
        <w:rPr>
          <w:rFonts w:cs="Times New Roman"/>
          <w:color w:val="4A4A4A"/>
          <w:shd w:val="clear" w:color="auto" w:fill="FFFFFF"/>
        </w:rPr>
        <w:t xml:space="preserve"> </w:t>
      </w:r>
    </w:p>
    <w:p w14:paraId="366994B8" w14:textId="705BACCB" w:rsidR="00F62B2D" w:rsidRPr="00D63B51" w:rsidRDefault="00030DF5" w:rsidP="00F62B2D">
      <w:pPr>
        <w:ind w:left="720" w:right="720"/>
        <w:jc w:val="both"/>
        <w:rPr>
          <w:rFonts w:cs="Times New Roman"/>
          <w:color w:val="4A4A4A"/>
          <w:shd w:val="clear" w:color="auto" w:fill="FFFFFF"/>
        </w:rPr>
      </w:pPr>
      <w:r w:rsidRPr="00D63B51">
        <w:rPr>
          <w:rFonts w:ascii="Times New Roman Bold" w:hAnsi="Times New Roman Bold" w:cs="Times New Roman"/>
          <w:b/>
          <w:bCs/>
        </w:rPr>
        <w:t>Elements to Consider</w:t>
      </w:r>
      <w:r w:rsidR="00F62B2D" w:rsidRPr="00D63B51">
        <w:rPr>
          <w:rFonts w:ascii="Times New Roman Bold" w:eastAsia="Times New Roman" w:hAnsi="Times New Roman Bold" w:cs="Times New Roman"/>
          <w:b/>
          <w:bCs/>
          <w:smallCaps/>
          <w:color w:val="222222"/>
        </w:rPr>
        <w:t>-§</w:t>
      </w:r>
      <w:r w:rsidR="00F62B2D" w:rsidRPr="00D63B51">
        <w:rPr>
          <w:rFonts w:eastAsia="Times New Roman" w:cs="Times New Roman"/>
          <w:b/>
          <w:bCs/>
          <w:color w:val="222222"/>
        </w:rPr>
        <w:t xml:space="preserve"> 1(g)</w:t>
      </w:r>
      <w:r w:rsidR="00F62B2D" w:rsidRPr="00D63B51">
        <w:rPr>
          <w:rFonts w:cs="Times New Roman"/>
          <w:b/>
          <w:bCs/>
        </w:rPr>
        <w:t xml:space="preserve">: </w:t>
      </w:r>
      <w:r w:rsidR="00F62B2D" w:rsidRPr="00D63B51">
        <w:rPr>
          <w:rFonts w:cs="Times New Roman"/>
        </w:rPr>
        <w:t xml:space="preserve">A more rigorous examination would be justified only under limited circumstances and would impose modest additional burdens on the Panel. </w:t>
      </w:r>
      <w:r w:rsidR="00F62B2D" w:rsidRPr="00D63B51">
        <w:rPr>
          <w:rFonts w:cs="Times New Roman"/>
          <w:color w:val="4A4A4A"/>
          <w:shd w:val="clear" w:color="auto" w:fill="FFFFFF"/>
        </w:rPr>
        <w:t>Permanent No. MDL-§ 9(g).</w:t>
      </w:r>
    </w:p>
    <w:p w14:paraId="0B7B31BC" w14:textId="77777777" w:rsidR="00F62B2D" w:rsidRPr="00D63B51" w:rsidRDefault="00F62B2D" w:rsidP="00F62B2D">
      <w:pPr>
        <w:ind w:left="720" w:right="720"/>
        <w:jc w:val="both"/>
        <w:rPr>
          <w:rFonts w:cs="Times New Roman"/>
          <w:b/>
          <w:bCs/>
        </w:rPr>
      </w:pPr>
    </w:p>
    <w:p w14:paraId="102FB970" w14:textId="77777777" w:rsidR="00F62B2D" w:rsidRPr="00D63B51" w:rsidRDefault="00F62B2D" w:rsidP="00F62B2D">
      <w:pPr>
        <w:spacing w:line="360" w:lineRule="auto"/>
        <w:ind w:firstLine="360"/>
        <w:jc w:val="both"/>
        <w:rPr>
          <w:rFonts w:cs="Times New Roman"/>
        </w:rPr>
      </w:pPr>
      <w:r w:rsidRPr="00D63B51">
        <w:rPr>
          <w:rFonts w:cs="Times New Roman"/>
        </w:rPr>
        <w:t>Not every putative MDL should be subject to a more rigorous examination.  Only putative MDLs in which a major party objects to centralization and whose number of individual actions are likely to grow into very large MDLs require such additional scrutiny.</w:t>
      </w:r>
      <w:r w:rsidRPr="00D63B51">
        <w:rPr>
          <w:rStyle w:val="FootnoteReference"/>
          <w:rFonts w:cs="Times New Roman"/>
        </w:rPr>
        <w:footnoteReference w:id="27"/>
      </w:r>
      <w:r w:rsidRPr="00D63B51">
        <w:rPr>
          <w:rFonts w:cs="Times New Roman"/>
        </w:rPr>
        <w:t xml:space="preserve">  </w:t>
      </w:r>
    </w:p>
    <w:p w14:paraId="11E9C3C0" w14:textId="77777777" w:rsidR="00F62B2D" w:rsidRPr="00D63B51" w:rsidRDefault="00F62B2D" w:rsidP="00F62B2D">
      <w:pPr>
        <w:spacing w:line="360" w:lineRule="auto"/>
        <w:ind w:firstLine="360"/>
        <w:jc w:val="both"/>
        <w:rPr>
          <w:rFonts w:cs="Times New Roman"/>
        </w:rPr>
      </w:pPr>
      <w:r w:rsidRPr="00D63B51">
        <w:rPr>
          <w:rFonts w:cs="Times New Roman"/>
        </w:rPr>
        <w:t xml:space="preserve">The number of putative MDLs that would fall under these limitations is small.  On average the Panel would apply the more rigorous examination to one or two motions for centralization at its </w:t>
      </w:r>
      <w:r w:rsidRPr="00D63B51">
        <w:rPr>
          <w:rFonts w:cs="Times New Roman"/>
        </w:rPr>
        <w:lastRenderedPageBreak/>
        <w:t>bimonthly hearings.</w:t>
      </w:r>
      <w:r w:rsidRPr="00D63B51">
        <w:rPr>
          <w:rStyle w:val="FootnoteReference"/>
          <w:rFonts w:cs="Times New Roman"/>
        </w:rPr>
        <w:footnoteReference w:id="28"/>
      </w:r>
      <w:r w:rsidRPr="00D63B51">
        <w:rPr>
          <w:rFonts w:cs="Times New Roman"/>
        </w:rPr>
        <w:t xml:space="preserve"> Although the number is small, the impact would be enormous, because some of the largest MDLs would be affected. </w:t>
      </w:r>
    </w:p>
    <w:p w14:paraId="500749DB" w14:textId="77777777" w:rsidR="00F62B2D" w:rsidRPr="00D63B51" w:rsidRDefault="00F62B2D" w:rsidP="00F62B2D">
      <w:pPr>
        <w:spacing w:line="360" w:lineRule="auto"/>
        <w:ind w:firstLine="360"/>
        <w:jc w:val="both"/>
        <w:rPr>
          <w:rFonts w:cs="Times New Roman"/>
        </w:rPr>
      </w:pPr>
      <w:r w:rsidRPr="00D63B51">
        <w:rPr>
          <w:rFonts w:cs="Times New Roman"/>
        </w:rPr>
        <w:t xml:space="preserve">Pending MDLs that would have been given a more rigorous examination under this test include: </w:t>
      </w:r>
    </w:p>
    <w:p w14:paraId="42A93DBC" w14:textId="77777777" w:rsidR="00F62B2D" w:rsidRPr="00D63B51" w:rsidRDefault="00F62B2D" w:rsidP="00F62B2D">
      <w:pPr>
        <w:pStyle w:val="ListParagraph"/>
        <w:numPr>
          <w:ilvl w:val="0"/>
          <w:numId w:val="16"/>
        </w:numPr>
        <w:spacing w:after="160" w:line="259" w:lineRule="auto"/>
        <w:jc w:val="both"/>
        <w:rPr>
          <w:rFonts w:cs="Times New Roman"/>
        </w:rPr>
      </w:pPr>
      <w:r w:rsidRPr="00D63B51">
        <w:rPr>
          <w:rFonts w:cs="Times New Roman"/>
        </w:rPr>
        <w:t>Social Media Adolescent Addiction/Personal Injury Products Liability Litigation, MDL No. 3047</w:t>
      </w:r>
    </w:p>
    <w:p w14:paraId="71B233B4" w14:textId="77777777" w:rsidR="00F62B2D" w:rsidRPr="00D63B51" w:rsidRDefault="00F62B2D" w:rsidP="00F62B2D">
      <w:pPr>
        <w:pStyle w:val="ListParagraph"/>
        <w:numPr>
          <w:ilvl w:val="0"/>
          <w:numId w:val="16"/>
        </w:numPr>
        <w:spacing w:after="160" w:line="259" w:lineRule="auto"/>
        <w:jc w:val="both"/>
        <w:rPr>
          <w:rFonts w:cs="Times New Roman"/>
        </w:rPr>
      </w:pPr>
      <w:r w:rsidRPr="00D63B51">
        <w:rPr>
          <w:rFonts w:cs="Times New Roman"/>
        </w:rPr>
        <w:t>Acetaminophen – ASD/ADHD products Liability Litigation, MDL No. 3043</w:t>
      </w:r>
    </w:p>
    <w:p w14:paraId="5C767B7F" w14:textId="77777777" w:rsidR="00F62B2D" w:rsidRPr="00D63B51" w:rsidRDefault="00F62B2D" w:rsidP="00F62B2D">
      <w:pPr>
        <w:pStyle w:val="ListParagraph"/>
        <w:numPr>
          <w:ilvl w:val="0"/>
          <w:numId w:val="16"/>
        </w:numPr>
        <w:spacing w:after="160" w:line="259" w:lineRule="auto"/>
        <w:jc w:val="both"/>
        <w:rPr>
          <w:rFonts w:cs="Times New Roman"/>
        </w:rPr>
      </w:pPr>
      <w:r w:rsidRPr="00D63B51">
        <w:rPr>
          <w:rFonts w:cs="Times New Roman"/>
        </w:rPr>
        <w:t>Uber Technologies, Passenger Sexual Assault Litigation MDL No. 3084</w:t>
      </w:r>
    </w:p>
    <w:p w14:paraId="486CA1C2" w14:textId="77777777" w:rsidR="00F62B2D" w:rsidRPr="00D63B51" w:rsidRDefault="00F62B2D" w:rsidP="00F62B2D">
      <w:pPr>
        <w:spacing w:line="360" w:lineRule="auto"/>
        <w:ind w:firstLine="360"/>
        <w:jc w:val="both"/>
        <w:rPr>
          <w:rFonts w:cs="Times New Roman"/>
        </w:rPr>
      </w:pPr>
      <w:r w:rsidRPr="00D63B51">
        <w:rPr>
          <w:rFonts w:cs="Times New Roman"/>
        </w:rPr>
        <w:t>At each of its hearings, the Panel would have the discretion to select those motions for centralization, which would require a more rigorous examination. Parties would be alerted in advance of the hearing and briefing papers would need to address the Manual’s prudential factors. Additional time at the Panel hearing would also need to be reserved for arguments. All of this imposes additional burdens on the Panel.  But because such extended examination will likely be done in only one or two motions at every hearing, the burden should be manageable. And the benefits are obvious.  Putative MDLs that likely will involve tens or hundreds of thousands of individual actions and potentially billions of dollars can be properly vetted.</w:t>
      </w:r>
      <w:r w:rsidRPr="00D63B51">
        <w:rPr>
          <w:rStyle w:val="FootnoteReference"/>
          <w:rFonts w:cs="Times New Roman"/>
        </w:rPr>
        <w:footnoteReference w:id="29"/>
      </w:r>
      <w:r w:rsidRPr="00D63B51">
        <w:rPr>
          <w:rFonts w:cs="Times New Roman"/>
        </w:rPr>
        <w:t xml:space="preserve"> </w:t>
      </w:r>
    </w:p>
    <w:p w14:paraId="0A867B87" w14:textId="50D10A81" w:rsidR="00F62B2D" w:rsidRPr="00D63B51" w:rsidRDefault="00030DF5" w:rsidP="00F62B2D">
      <w:pPr>
        <w:ind w:left="720" w:right="720"/>
        <w:jc w:val="both"/>
        <w:rPr>
          <w:rFonts w:cs="Times New Roman"/>
          <w:color w:val="4A4A4A"/>
          <w:shd w:val="clear" w:color="auto" w:fill="FFFFFF"/>
        </w:rPr>
      </w:pPr>
      <w:r w:rsidRPr="00D63B51">
        <w:rPr>
          <w:rFonts w:ascii="Times New Roman Bold" w:hAnsi="Times New Roman Bold" w:cs="Times New Roman"/>
          <w:b/>
          <w:bCs/>
        </w:rPr>
        <w:t>Elements to Consider</w:t>
      </w:r>
      <w:r w:rsidRPr="00D63B51">
        <w:rPr>
          <w:rFonts w:ascii="Times New Roman Bold" w:eastAsia="Times New Roman" w:hAnsi="Times New Roman Bold" w:cs="Times New Roman"/>
          <w:b/>
          <w:bCs/>
          <w:smallCaps/>
          <w:color w:val="222222"/>
        </w:rPr>
        <w:t xml:space="preserve"> </w:t>
      </w:r>
      <w:r w:rsidR="00F62B2D" w:rsidRPr="00D63B51">
        <w:rPr>
          <w:rFonts w:ascii="Times New Roman Bold" w:eastAsia="Times New Roman" w:hAnsi="Times New Roman Bold" w:cs="Times New Roman"/>
          <w:b/>
          <w:bCs/>
          <w:smallCaps/>
          <w:color w:val="222222"/>
        </w:rPr>
        <w:t>-§</w:t>
      </w:r>
      <w:r w:rsidR="00F62B2D" w:rsidRPr="00D63B51">
        <w:rPr>
          <w:rFonts w:eastAsia="Times New Roman" w:cs="Times New Roman"/>
          <w:b/>
          <w:bCs/>
          <w:color w:val="222222"/>
        </w:rPr>
        <w:t xml:space="preserve"> 1</w:t>
      </w:r>
      <w:r w:rsidR="00F62B2D" w:rsidRPr="00D63B51">
        <w:rPr>
          <w:rFonts w:cs="Times New Roman"/>
          <w:b/>
          <w:bCs/>
        </w:rPr>
        <w:t xml:space="preserve">(h): </w:t>
      </w:r>
      <w:r w:rsidR="00F62B2D" w:rsidRPr="00D63B51">
        <w:rPr>
          <w:rFonts w:cs="Times New Roman"/>
        </w:rPr>
        <w:t xml:space="preserve">Postponing centralization of a premature MDL until a sufficient record is established following a more rigorous examination will enhance fairness and efficiency of the process. </w:t>
      </w:r>
      <w:r w:rsidR="00F62B2D" w:rsidRPr="00D63B51">
        <w:rPr>
          <w:rFonts w:cs="Times New Roman"/>
          <w:color w:val="4A4A4A"/>
          <w:shd w:val="clear" w:color="auto" w:fill="FFFFFF"/>
        </w:rPr>
        <w:t xml:space="preserve">Permanent No. MDL-§ 9(h). </w:t>
      </w:r>
    </w:p>
    <w:p w14:paraId="643D9AAB" w14:textId="77777777" w:rsidR="00F62B2D" w:rsidRPr="00D63B51" w:rsidRDefault="00F62B2D" w:rsidP="00F62B2D">
      <w:pPr>
        <w:ind w:left="720" w:right="720"/>
        <w:jc w:val="both"/>
        <w:rPr>
          <w:rFonts w:cs="Times New Roman"/>
        </w:rPr>
      </w:pPr>
    </w:p>
    <w:p w14:paraId="2A638DE7" w14:textId="77777777" w:rsidR="00F62B2D" w:rsidRPr="00D63B51" w:rsidRDefault="00F62B2D" w:rsidP="00F62B2D">
      <w:pPr>
        <w:spacing w:line="360" w:lineRule="auto"/>
        <w:ind w:firstLine="720"/>
        <w:jc w:val="both"/>
        <w:rPr>
          <w:rFonts w:cs="Times New Roman"/>
          <w:color w:val="4A4A4A"/>
          <w:shd w:val="clear" w:color="auto" w:fill="FFFFFF"/>
        </w:rPr>
      </w:pPr>
      <w:r w:rsidRPr="00D63B51">
        <w:rPr>
          <w:rFonts w:cs="Times New Roman"/>
        </w:rPr>
        <w:t xml:space="preserve">The goal of a more rigorous examination is to identify putative MDLs, whose centralization should be postponed until a sufficient record of outcomes determined on a case-by-basis has been developed.  The Manual’s prudential factors offer a method to surgically target the small number </w:t>
      </w:r>
      <w:r w:rsidRPr="00D63B51">
        <w:rPr>
          <w:rFonts w:cs="Times New Roman"/>
        </w:rPr>
        <w:lastRenderedPageBreak/>
        <w:t xml:space="preserve">of MDLs that would be subject to a more rigorous examination. </w:t>
      </w:r>
      <w:r w:rsidRPr="00D63B51">
        <w:rPr>
          <w:rFonts w:cs="Times New Roman"/>
          <w:color w:val="4A4A4A"/>
          <w:shd w:val="clear" w:color="auto" w:fill="FFFFFF"/>
        </w:rPr>
        <w:t xml:space="preserve">Experience has shown that developing an understanding of the nature of the tort in these cases, its causative effects, the range of values of the various claims, and the applicable science learned from trials, settlements, and other proceedings in individual actions would narrow and clarify the issues making management of the actions -- if aggregated later in an MDL -- more efficient or, in some cases, eliminate the creation of an MDL altogether. </w:t>
      </w:r>
    </w:p>
    <w:p w14:paraId="4847B374" w14:textId="77777777" w:rsidR="00F62B2D" w:rsidRPr="00D63B51" w:rsidRDefault="00F62B2D" w:rsidP="00F62B2D">
      <w:pPr>
        <w:spacing w:line="360" w:lineRule="auto"/>
        <w:ind w:firstLine="720"/>
        <w:jc w:val="both"/>
        <w:rPr>
          <w:rFonts w:cs="Times New Roman"/>
          <w:color w:val="4A4A4A"/>
          <w:shd w:val="clear" w:color="auto" w:fill="FFFFFF"/>
        </w:rPr>
      </w:pPr>
      <w:r w:rsidRPr="00D63B51">
        <w:rPr>
          <w:rFonts w:cs="Times New Roman"/>
          <w:color w:val="4A4A4A"/>
          <w:shd w:val="clear" w:color="auto" w:fill="FFFFFF"/>
        </w:rPr>
        <w:t>In 2000, the Panel dismissed “maturity” as a consideration in making its decision.</w:t>
      </w:r>
      <w:r w:rsidRPr="00D63B51">
        <w:rPr>
          <w:rStyle w:val="FootnoteReference"/>
          <w:rFonts w:cs="Times New Roman"/>
          <w:color w:val="4A4A4A"/>
          <w:shd w:val="clear" w:color="auto" w:fill="FFFFFF"/>
        </w:rPr>
        <w:footnoteReference w:id="30"/>
      </w:r>
      <w:r w:rsidRPr="00D63B51">
        <w:rPr>
          <w:rFonts w:cs="Times New Roman"/>
          <w:color w:val="4A4A4A"/>
          <w:shd w:val="clear" w:color="auto" w:fill="FFFFFF"/>
        </w:rPr>
        <w:t xml:space="preserve"> But the MDL landscape has materially changed since then.  Thousands of unsupportable claims are brought into MDLs, litigation is drawn out to ten or more years, and hundreds of millions of dollars are spent on discovery and other pretrial matters, all of which have </w:t>
      </w:r>
      <w:r w:rsidRPr="00D63B51">
        <w:rPr>
          <w:rFonts w:cs="Times New Roman"/>
        </w:rPr>
        <w:t>defeated “the very purpose leading to the enactment of Section 1407.”</w:t>
      </w:r>
      <w:r w:rsidRPr="00D63B51">
        <w:rPr>
          <w:rFonts w:cs="Times New Roman"/>
          <w:color w:val="4A4A4A"/>
          <w:shd w:val="clear" w:color="auto" w:fill="FFFFFF"/>
        </w:rPr>
        <w:t xml:space="preserve">  </w:t>
      </w:r>
    </w:p>
    <w:p w14:paraId="01BC4F7F" w14:textId="77777777" w:rsidR="00F62B2D" w:rsidRPr="00D63B51" w:rsidRDefault="00F62B2D" w:rsidP="00F62B2D">
      <w:pPr>
        <w:spacing w:line="360" w:lineRule="auto"/>
        <w:ind w:firstLine="720"/>
        <w:jc w:val="both"/>
        <w:rPr>
          <w:rFonts w:cs="Times New Roman"/>
          <w:color w:val="4A4A4A"/>
          <w:shd w:val="clear" w:color="auto" w:fill="FFFFFF"/>
        </w:rPr>
      </w:pPr>
      <w:r w:rsidRPr="00D63B51">
        <w:rPr>
          <w:rFonts w:cs="Times New Roman"/>
          <w:color w:val="4A4A4A"/>
          <w:shd w:val="clear" w:color="auto" w:fill="FFFFFF"/>
        </w:rPr>
        <w:t xml:space="preserve">Faced with the prospect of handling such behemoths, the parties who have the most to gain from centralization are in the best position to weigh the convenience, fairness, and efficiency of MDL centralization and assess alternatively whether case-by-case dispositions would be fairer and more efficient.  The defendants and plaintiffs can weigh the practical real-life advantages and disadvantages of centralization versus individual actions.  A party’s decision to opt for case-by-case dispositions knowing the practical consequences should be given substantial weight.  </w:t>
      </w:r>
    </w:p>
    <w:p w14:paraId="30427342" w14:textId="77777777" w:rsidR="00F62B2D" w:rsidRPr="00D63B51" w:rsidRDefault="00F62B2D" w:rsidP="00F62B2D">
      <w:pPr>
        <w:spacing w:line="360" w:lineRule="auto"/>
        <w:ind w:firstLine="720"/>
        <w:jc w:val="both"/>
        <w:rPr>
          <w:rFonts w:cs="Times New Roman"/>
          <w:color w:val="4A4A4A"/>
          <w:shd w:val="clear" w:color="auto" w:fill="FFFFFF"/>
        </w:rPr>
      </w:pPr>
      <w:r w:rsidRPr="00D63B51">
        <w:rPr>
          <w:rFonts w:cs="Times New Roman"/>
          <w:color w:val="4A4A4A"/>
          <w:shd w:val="clear" w:color="auto" w:fill="FFFFFF"/>
        </w:rPr>
        <w:t>When a sufficient record has been established, centralization can be revisited after the parties are better informed about the issues and consequences and more likely and willing to resolve litigation at scale.  In the meantime, trying individual actions is what courts do best.</w:t>
      </w:r>
      <w:r w:rsidRPr="00D63B51">
        <w:rPr>
          <w:rStyle w:val="FootnoteReference"/>
          <w:rFonts w:cs="Times New Roman"/>
          <w:color w:val="4A4A4A"/>
          <w:shd w:val="clear" w:color="auto" w:fill="FFFFFF"/>
        </w:rPr>
        <w:footnoteReference w:id="31"/>
      </w:r>
    </w:p>
    <w:p w14:paraId="004C86B2" w14:textId="77777777" w:rsidR="00F62B2D" w:rsidRPr="00D63B51" w:rsidRDefault="00F62B2D" w:rsidP="00F62B2D">
      <w:pPr>
        <w:ind w:left="720" w:right="720"/>
        <w:jc w:val="both"/>
        <w:rPr>
          <w:rFonts w:ascii="Times New Roman Bold" w:eastAsia="Calibri" w:hAnsi="Times New Roman Bold" w:cs="Times New Roman"/>
          <w:b/>
          <w:bCs/>
          <w:smallCaps/>
          <w:sz w:val="28"/>
          <w:szCs w:val="28"/>
        </w:rPr>
      </w:pPr>
    </w:p>
    <w:p w14:paraId="12D80B5F" w14:textId="77777777" w:rsidR="00F62B2D" w:rsidRPr="00D63B51" w:rsidRDefault="00F62B2D" w:rsidP="00A32A42">
      <w:pPr>
        <w:jc w:val="both"/>
        <w:rPr>
          <w:rFonts w:eastAsia="Times New Roman" w:cs="Times New Roman"/>
        </w:rPr>
      </w:pPr>
      <w:r w:rsidRPr="00D63B51">
        <w:rPr>
          <w:rFonts w:ascii="Times New Roman Bold" w:eastAsia="Times New Roman" w:hAnsi="Times New Roman Bold" w:cs="Times New Roman"/>
          <w:b/>
          <w:bCs/>
          <w:smallCaps/>
          <w:color w:val="000000"/>
          <w:u w:val="single"/>
        </w:rPr>
        <w:t>Guideline MDL-§ 2</w:t>
      </w:r>
      <w:r w:rsidRPr="00D63B51">
        <w:rPr>
          <w:rFonts w:ascii="Times New Roman Bold" w:eastAsia="Times New Roman" w:hAnsi="Times New Roman Bold" w:cs="Times New Roman"/>
          <w:b/>
          <w:bCs/>
          <w:smallCaps/>
          <w:color w:val="000000"/>
        </w:rPr>
        <w:t>:</w:t>
      </w:r>
      <w:r w:rsidRPr="00D63B51">
        <w:rPr>
          <w:rFonts w:eastAsia="Times New Roman" w:cs="Times New Roman"/>
          <w:color w:val="000000"/>
        </w:rPr>
        <w:t xml:space="preserve"> Parties typically jointly stipulate to recommend to the transferor court that it stay proceedings until the JPML rules on a motion to centralize actions to avoid unnecessary cost and wasted time and effort. Permanent No. MDL-</w:t>
      </w:r>
      <w:r w:rsidRPr="00D63B51">
        <w:rPr>
          <w:rFonts w:ascii="Times New Roman Bold" w:eastAsia="Times New Roman" w:hAnsi="Times New Roman Bold" w:cs="Times New Roman"/>
          <w:b/>
          <w:bCs/>
          <w:smallCaps/>
          <w:color w:val="000000"/>
        </w:rPr>
        <w:t xml:space="preserve">§ </w:t>
      </w:r>
      <w:r w:rsidRPr="00D63B51">
        <w:rPr>
          <w:rFonts w:ascii="Times New Roman Bold" w:eastAsia="Times New Roman" w:hAnsi="Times New Roman Bold" w:cs="Times New Roman"/>
          <w:smallCaps/>
          <w:color w:val="000000"/>
        </w:rPr>
        <w:t>4</w:t>
      </w:r>
      <w:r w:rsidRPr="00D63B51">
        <w:rPr>
          <w:rFonts w:eastAsia="Times New Roman" w:cs="Times New Roman"/>
          <w:color w:val="000000"/>
        </w:rPr>
        <w:t>.</w:t>
      </w:r>
    </w:p>
    <w:p w14:paraId="0538F18A" w14:textId="77777777" w:rsidR="00F62B2D" w:rsidRPr="00D63B51" w:rsidRDefault="00F62B2D" w:rsidP="00F62B2D">
      <w:pPr>
        <w:rPr>
          <w:rFonts w:eastAsia="Times New Roman" w:cs="Times New Roman"/>
        </w:rPr>
      </w:pPr>
    </w:p>
    <w:p w14:paraId="7496FB8D" w14:textId="77777777" w:rsidR="00F62B2D" w:rsidRPr="00D63B51" w:rsidRDefault="00F62B2D" w:rsidP="00F62B2D">
      <w:pPr>
        <w:spacing w:line="360" w:lineRule="auto"/>
        <w:ind w:firstLine="720"/>
        <w:jc w:val="both"/>
        <w:rPr>
          <w:rFonts w:eastAsia="Times New Roman" w:cs="Times New Roman"/>
        </w:rPr>
      </w:pPr>
      <w:r w:rsidRPr="00D63B51">
        <w:rPr>
          <w:rFonts w:eastAsia="Times New Roman" w:cs="Times New Roman"/>
          <w:color w:val="000000"/>
        </w:rPr>
        <w:lastRenderedPageBreak/>
        <w:t>If a case is the subject of a motion to transfer pending before the JPML, the Manual for Complex Litigation recommends that, “[a] stay pending the Panel’s decision can increase efficiency and consistency, particularly when the transferor court believes that a transfer order is likely and when the pending motions raise issues likely to be raised in other cases as well.”</w:t>
      </w:r>
      <w:r w:rsidRPr="00D63B51">
        <w:rPr>
          <w:rStyle w:val="FootnoteReference"/>
          <w:rFonts w:eastAsia="Times New Roman" w:cs="Times New Roman"/>
          <w:color w:val="000000"/>
        </w:rPr>
        <w:footnoteReference w:id="32"/>
      </w:r>
      <w:r w:rsidRPr="00D63B51">
        <w:rPr>
          <w:rFonts w:eastAsia="Times New Roman" w:cs="Times New Roman"/>
          <w:color w:val="000000"/>
        </w:rPr>
        <w:t xml:space="preserve"> </w:t>
      </w:r>
    </w:p>
    <w:p w14:paraId="5F3D3A00" w14:textId="77777777" w:rsidR="00F62B2D" w:rsidRPr="00D63B51" w:rsidRDefault="00F62B2D" w:rsidP="00F62B2D">
      <w:pPr>
        <w:spacing w:line="360" w:lineRule="auto"/>
        <w:ind w:firstLine="720"/>
        <w:jc w:val="both"/>
        <w:rPr>
          <w:rFonts w:eastAsia="Times New Roman" w:cs="Times New Roman"/>
          <w:color w:val="000000"/>
        </w:rPr>
      </w:pPr>
      <w:r w:rsidRPr="00D63B51">
        <w:rPr>
          <w:rFonts w:eastAsia="Times New Roman" w:cs="Times New Roman"/>
          <w:color w:val="000000"/>
        </w:rPr>
        <w:t xml:space="preserve">By nature, the vast majority of cases subject to a pending motion before the JPML do not involve any of the case-specific issues listed above. Accordingly, in nearly all such cases, counsel for all parties stipulate to a stay of proceedings pending a decision by the JPML. Even so, there is considerable effort on the part of the parties to contact counsel in each relevant case, negotiate the stipulation, research the local rules and standing orders for the correct procedure to obtain a stay, and file the paperwork. Once the necessary paperwork is filed, court resources are then spent reviewing the paperwork, conducting independent research to confirm that a stay is appropriate, and issuing orders granting the stay. </w:t>
      </w:r>
    </w:p>
    <w:p w14:paraId="4AE70610" w14:textId="77777777" w:rsidR="00F62B2D" w:rsidRPr="00D63B51" w:rsidRDefault="00F62B2D" w:rsidP="00F62B2D">
      <w:pPr>
        <w:spacing w:line="360" w:lineRule="auto"/>
        <w:ind w:firstLine="720"/>
        <w:jc w:val="both"/>
        <w:rPr>
          <w:rFonts w:eastAsia="Times New Roman" w:cs="Times New Roman"/>
        </w:rPr>
      </w:pPr>
      <w:r w:rsidRPr="00D63B51">
        <w:rPr>
          <w:rFonts w:eastAsia="Times New Roman" w:cs="Times New Roman"/>
          <w:color w:val="000000"/>
        </w:rPr>
        <w:t>In all of this, if just one party in one of many cases refuses to stipulate to stay their case, or if just one of many judges denies a stipulated stay, the dominoes start to fall. This may be due to a variety of reasons, including because one case is farther along procedurally, or because plaintiffs’ counsel do not wish to stipulate to a stay except on the condition that every other case in the putative MDL is likewise stayed. The latter may be the case because if any other cases are moving forward ahead of others, then plaintiffs’ counsel in stayed actions could be prejudiced by adverse rulings in advancing cases and in any subsequent contest for appointment of lead counsel in the MDL, they have just as much work put in as any other firm vying for the appointment.  </w:t>
      </w:r>
    </w:p>
    <w:p w14:paraId="1BE07B84" w14:textId="77777777" w:rsidR="00F62B2D" w:rsidRPr="00D63B51" w:rsidRDefault="00F62B2D" w:rsidP="00F62B2D">
      <w:pPr>
        <w:spacing w:line="360" w:lineRule="auto"/>
        <w:ind w:firstLine="720"/>
        <w:jc w:val="both"/>
        <w:rPr>
          <w:rFonts w:eastAsia="Times New Roman" w:cs="Times New Roman"/>
        </w:rPr>
      </w:pPr>
      <w:r w:rsidRPr="00D63B51">
        <w:rPr>
          <w:rFonts w:eastAsia="Times New Roman" w:cs="Times New Roman"/>
          <w:color w:val="000000"/>
        </w:rPr>
        <w:t xml:space="preserve">Similarly, when a tag-along action is filed after an MDL has already been created, even if the JPML’s conditional transfer order is not opposed, it can still take weeks for the action to actually be transferred to the MDL, during which time a response to the complaint will usually be due, along with other case-management requirements in some cases. </w:t>
      </w:r>
    </w:p>
    <w:p w14:paraId="0DEF396B" w14:textId="77777777" w:rsidR="00F62B2D" w:rsidRPr="00D63B51" w:rsidRDefault="00F62B2D" w:rsidP="00F62B2D">
      <w:pPr>
        <w:ind w:left="720" w:right="720"/>
        <w:jc w:val="both"/>
        <w:rPr>
          <w:rFonts w:eastAsia="Times New Roman" w:cs="Times New Roman"/>
          <w:color w:val="000000"/>
        </w:rPr>
      </w:pPr>
      <w:r w:rsidRPr="00D63B51">
        <w:rPr>
          <w:rFonts w:eastAsia="Times New Roman" w:cs="Times New Roman"/>
          <w:b/>
          <w:bCs/>
          <w:smallCaps/>
          <w:color w:val="000000"/>
        </w:rPr>
        <w:t>Best Practice MDL-§ 2(</w:t>
      </w:r>
      <w:r w:rsidRPr="00D63B51">
        <w:rPr>
          <w:rFonts w:eastAsia="Times New Roman" w:cs="Times New Roman"/>
          <w:b/>
          <w:bCs/>
          <w:color w:val="000000"/>
        </w:rPr>
        <w:t>a)</w:t>
      </w:r>
      <w:r w:rsidRPr="00D63B51">
        <w:rPr>
          <w:rFonts w:eastAsia="Times New Roman" w:cs="Times New Roman"/>
          <w:color w:val="000000"/>
        </w:rPr>
        <w:t>:  A court should stay proceedings by default upon notice that the case is subject to a pending motion to transfer under 28 U.S.C. § 1407, unless the interests of justice and efficiency require resolution of case-specific issues not likely to arise in the other related cases to avoid prejudice to an aggrieved party. Permanent MDL-</w:t>
      </w:r>
      <w:r w:rsidRPr="00D63B51">
        <w:rPr>
          <w:rFonts w:ascii="Times New Roman Bold" w:eastAsia="Times New Roman" w:hAnsi="Times New Roman Bold" w:cs="Times New Roman"/>
          <w:smallCaps/>
          <w:color w:val="000000"/>
        </w:rPr>
        <w:t xml:space="preserve">§ </w:t>
      </w:r>
      <w:r w:rsidRPr="00D63B51">
        <w:rPr>
          <w:rFonts w:eastAsia="Times New Roman" w:cs="Times New Roman"/>
          <w:color w:val="000000"/>
        </w:rPr>
        <w:t>4(a).</w:t>
      </w:r>
    </w:p>
    <w:p w14:paraId="2D7A75C5" w14:textId="77777777" w:rsidR="00F62B2D" w:rsidRPr="00D63B51" w:rsidRDefault="00F62B2D" w:rsidP="00F62B2D">
      <w:pPr>
        <w:ind w:left="720" w:right="720"/>
        <w:jc w:val="both"/>
        <w:rPr>
          <w:rFonts w:eastAsia="Times New Roman" w:cs="Times New Roman"/>
          <w:color w:val="000000"/>
        </w:rPr>
      </w:pPr>
    </w:p>
    <w:p w14:paraId="4E04CD60" w14:textId="77777777" w:rsidR="00F62B2D" w:rsidRPr="00D63B51" w:rsidRDefault="00F62B2D" w:rsidP="00F62B2D">
      <w:pPr>
        <w:spacing w:line="360" w:lineRule="auto"/>
        <w:ind w:firstLine="720"/>
        <w:jc w:val="both"/>
        <w:rPr>
          <w:rFonts w:eastAsia="Times New Roman" w:cs="Times New Roman"/>
        </w:rPr>
      </w:pPr>
      <w:r w:rsidRPr="00D63B51">
        <w:rPr>
          <w:rFonts w:eastAsia="Times New Roman" w:cs="Times New Roman"/>
          <w:color w:val="000000"/>
        </w:rPr>
        <w:t xml:space="preserve">A stay of all proceedings pending a decision by the JPML is appropriate in the vast majority of putative MDLs and tag-along actions because it would eliminate hours of unnecessary time and </w:t>
      </w:r>
      <w:r w:rsidRPr="00D63B51">
        <w:rPr>
          <w:rFonts w:eastAsia="Times New Roman" w:cs="Times New Roman"/>
          <w:color w:val="000000"/>
        </w:rPr>
        <w:lastRenderedPageBreak/>
        <w:t>stacks of unnecessary paperwork on the part of both counsel and courts. By shifting to an automatic default-stay framework, not only would unnecessary and duplicative case-management work done by the transferor court be eliminated, but also the added work for the transferee court and the counsel to address the complications otherwise raised by the rulings in the transferor court.  And if the conditional transfer order by the JPML clerk is opposed, an automatic stay is mutually desirable for both sides in those cases to avoid having to litigate in the case until the JPML rules on the objector’s motion to vacate the conditional transfer order. </w:t>
      </w:r>
    </w:p>
    <w:p w14:paraId="2947A84E" w14:textId="77777777" w:rsidR="00F62B2D" w:rsidRPr="00D63B51" w:rsidRDefault="00F62B2D" w:rsidP="00F62B2D">
      <w:pPr>
        <w:ind w:left="720" w:right="720"/>
        <w:jc w:val="both"/>
        <w:rPr>
          <w:rFonts w:eastAsia="Times New Roman" w:cs="Times New Roman"/>
          <w:color w:val="000000"/>
        </w:rPr>
      </w:pPr>
      <w:r w:rsidRPr="00D63B51">
        <w:rPr>
          <w:rFonts w:eastAsia="Times New Roman" w:cs="Times New Roman"/>
          <w:b/>
          <w:bCs/>
          <w:smallCaps/>
          <w:color w:val="000000"/>
        </w:rPr>
        <w:t>Best Practice MDL-§ 2(</w:t>
      </w:r>
      <w:r w:rsidRPr="00D63B51">
        <w:rPr>
          <w:rFonts w:eastAsia="Times New Roman" w:cs="Times New Roman"/>
          <w:b/>
          <w:bCs/>
          <w:color w:val="000000"/>
        </w:rPr>
        <w:t>b</w:t>
      </w:r>
      <w:r w:rsidRPr="00D63B51">
        <w:rPr>
          <w:rFonts w:eastAsia="Times New Roman" w:cs="Times New Roman"/>
          <w:b/>
          <w:bCs/>
          <w:smallCaps/>
          <w:color w:val="000000"/>
        </w:rPr>
        <w:t>)</w:t>
      </w:r>
      <w:r w:rsidRPr="00D63B51">
        <w:rPr>
          <w:rFonts w:eastAsia="Times New Roman" w:cs="Times New Roman"/>
          <w:color w:val="000000"/>
        </w:rPr>
        <w:t>: A party in any action, which is automatically stayed pending action by the JPML, may move to lift the stay under limited circumstances when the interests of justice and efficiency require resolution of case-specific issues prior to a decision by the JPML to avoid prejudice to the moving party. Permanent MDL-</w:t>
      </w:r>
      <w:r w:rsidRPr="00D63B51">
        <w:rPr>
          <w:rFonts w:ascii="Times New Roman Bold" w:eastAsia="Times New Roman" w:hAnsi="Times New Roman Bold" w:cs="Times New Roman"/>
          <w:b/>
          <w:bCs/>
          <w:smallCaps/>
          <w:color w:val="000000"/>
        </w:rPr>
        <w:t xml:space="preserve">§ </w:t>
      </w:r>
      <w:r w:rsidRPr="00D63B51">
        <w:rPr>
          <w:rFonts w:eastAsia="Times New Roman" w:cs="Times New Roman"/>
          <w:color w:val="000000"/>
        </w:rPr>
        <w:t>4(b).</w:t>
      </w:r>
    </w:p>
    <w:p w14:paraId="3D10764D" w14:textId="77777777" w:rsidR="00F62B2D" w:rsidRPr="00D63B51" w:rsidRDefault="00F62B2D" w:rsidP="00F62B2D">
      <w:pPr>
        <w:ind w:left="720" w:right="720"/>
        <w:jc w:val="both"/>
        <w:rPr>
          <w:rFonts w:eastAsia="Times New Roman" w:cs="Times New Roman"/>
          <w:color w:val="000000"/>
        </w:rPr>
      </w:pPr>
    </w:p>
    <w:p w14:paraId="3B974A21" w14:textId="77777777" w:rsidR="00F62B2D" w:rsidRPr="00D63B51" w:rsidRDefault="00F62B2D" w:rsidP="00F62B2D">
      <w:pPr>
        <w:spacing w:line="360" w:lineRule="auto"/>
        <w:ind w:firstLine="720"/>
        <w:jc w:val="both"/>
        <w:rPr>
          <w:rFonts w:eastAsia="Times New Roman" w:cs="Times New Roman"/>
          <w:color w:val="000000"/>
        </w:rPr>
      </w:pPr>
      <w:r w:rsidRPr="00D63B51">
        <w:rPr>
          <w:rFonts w:eastAsia="Times New Roman" w:cs="Times New Roman"/>
          <w:color w:val="000000"/>
        </w:rPr>
        <w:t>An aggrieved party is entitled to move to lift the stay under limited circumstances when the interests of justice and efficiency require resolution of case-specific issues prior to a decision by the JPML. The Manual for Complex Litigation recognizes that “[t]he reasons for a stay diminish:  if (i) the case involves pending issues ’relating to the law of a single state that are unlikely to arise in other related cases’; (ii) ’MDL transfer appears unlikely’ (iii) ’the absence of federal jurisdiction is clear’; or (iv) there is ’an urgent need to have that case resolved”’ such as with ’a critically ill plaintiff who cannot wait an extended period for trial.’  Justice and economy ’may then be served by resolving specific issues and declining to stay proceedings.’”</w:t>
      </w:r>
      <w:r w:rsidRPr="00D63B51">
        <w:rPr>
          <w:rStyle w:val="FootnoteReference"/>
          <w:rFonts w:eastAsia="Times New Roman" w:cs="Times New Roman"/>
          <w:color w:val="000000"/>
        </w:rPr>
        <w:footnoteReference w:id="33"/>
      </w:r>
    </w:p>
    <w:p w14:paraId="3603ABE1" w14:textId="77777777" w:rsidR="00F62B2D" w:rsidRPr="00D63B51" w:rsidRDefault="00F62B2D" w:rsidP="00F62B2D">
      <w:pPr>
        <w:spacing w:line="360" w:lineRule="auto"/>
        <w:ind w:firstLine="720"/>
        <w:jc w:val="both"/>
        <w:rPr>
          <w:rFonts w:eastAsia="Times New Roman" w:cs="Times New Roman"/>
          <w:color w:val="000000"/>
        </w:rPr>
      </w:pPr>
      <w:r w:rsidRPr="00D63B51">
        <w:rPr>
          <w:rFonts w:eastAsia="Times New Roman" w:cs="Times New Roman"/>
          <w:color w:val="000000"/>
        </w:rPr>
        <w:t xml:space="preserve">Because a stay of proceedings lifted in any one action pending a JPML order could prompt other litigants to move to lift the stays in all other cases pending in different courts and impose burdens on the lawyers and judges involved in them, a court should grant a motion to lift the stay only if the requirements for lifting the stay are fully met.  </w:t>
      </w:r>
    </w:p>
    <w:p w14:paraId="45E5B30D" w14:textId="04141F8B" w:rsidR="00F62B2D" w:rsidRPr="00D63B51" w:rsidRDefault="00F62B2D" w:rsidP="00F62B2D">
      <w:pPr>
        <w:ind w:left="720" w:right="720"/>
        <w:jc w:val="both"/>
        <w:rPr>
          <w:rFonts w:eastAsia="Times New Roman" w:cs="Times New Roman"/>
        </w:rPr>
      </w:pPr>
      <w:r w:rsidRPr="00D63B51">
        <w:rPr>
          <w:rFonts w:eastAsia="Times New Roman" w:cs="Times New Roman"/>
          <w:b/>
          <w:bCs/>
          <w:smallCaps/>
          <w:color w:val="000000"/>
        </w:rPr>
        <w:t>Best Practice MDL-§ 2</w:t>
      </w:r>
      <w:r w:rsidRPr="00D63B51">
        <w:rPr>
          <w:rFonts w:eastAsia="Times New Roman" w:cs="Times New Roman"/>
          <w:b/>
          <w:bCs/>
          <w:color w:val="000000"/>
        </w:rPr>
        <w:t>(c)</w:t>
      </w:r>
      <w:r w:rsidR="00940F20" w:rsidRPr="00D63B51">
        <w:rPr>
          <w:rFonts w:eastAsia="Times New Roman" w:cs="Times New Roman"/>
          <w:color w:val="000000"/>
        </w:rPr>
        <w:t>: A</w:t>
      </w:r>
      <w:r w:rsidRPr="00D63B51">
        <w:rPr>
          <w:rFonts w:eastAsia="Times New Roman" w:cs="Times New Roman"/>
          <w:color w:val="000000"/>
        </w:rPr>
        <w:t xml:space="preserve"> court should consider revising its local rules, standing orders, or model local rule to include an automatic default-stay provision governing actions subject to a pending JPML motion. Permanent MDL-</w:t>
      </w:r>
      <w:r w:rsidRPr="00D63B51">
        <w:rPr>
          <w:rFonts w:ascii="Times New Roman Bold" w:eastAsia="Times New Roman" w:hAnsi="Times New Roman Bold" w:cs="Times New Roman"/>
          <w:b/>
          <w:bCs/>
          <w:smallCaps/>
          <w:color w:val="000000"/>
        </w:rPr>
        <w:t xml:space="preserve">§ </w:t>
      </w:r>
      <w:r w:rsidRPr="00D63B51">
        <w:rPr>
          <w:rFonts w:eastAsia="Times New Roman" w:cs="Times New Roman"/>
          <w:color w:val="000000"/>
        </w:rPr>
        <w:t>4(c).</w:t>
      </w:r>
    </w:p>
    <w:p w14:paraId="1812CB2C" w14:textId="77777777" w:rsidR="00F62B2D" w:rsidRPr="00D63B51" w:rsidRDefault="00F62B2D" w:rsidP="00F62B2D">
      <w:pPr>
        <w:ind w:left="720" w:right="720"/>
        <w:jc w:val="both"/>
        <w:rPr>
          <w:rFonts w:eastAsia="Times New Roman" w:cs="Times New Roman"/>
          <w:color w:val="000000"/>
        </w:rPr>
      </w:pPr>
    </w:p>
    <w:p w14:paraId="24091B79" w14:textId="77777777" w:rsidR="00F62B2D" w:rsidRPr="00D63B51" w:rsidRDefault="00F62B2D" w:rsidP="00F62B2D">
      <w:pPr>
        <w:spacing w:line="360" w:lineRule="auto"/>
        <w:ind w:firstLine="720"/>
        <w:jc w:val="both"/>
        <w:rPr>
          <w:rFonts w:eastAsia="Times New Roman" w:cs="Times New Roman"/>
        </w:rPr>
      </w:pPr>
      <w:r w:rsidRPr="00D63B51">
        <w:rPr>
          <w:rFonts w:eastAsia="Times New Roman" w:cs="Times New Roman"/>
          <w:color w:val="000000"/>
        </w:rPr>
        <w:t xml:space="preserve">A court should consider employing one of several available means to implement this default-stay procedure, including by standard practice, standing order, local rule, or model local rule. Whatever means that the court chooses, the default-stay procedure should be readily available and conspicuous.     </w:t>
      </w:r>
    </w:p>
    <w:p w14:paraId="0C6FA52F" w14:textId="77777777" w:rsidR="00F62B2D" w:rsidRPr="00D63B51" w:rsidRDefault="00F62B2D" w:rsidP="00F62B2D">
      <w:pPr>
        <w:spacing w:line="360" w:lineRule="auto"/>
        <w:ind w:right="720" w:firstLine="720"/>
        <w:jc w:val="both"/>
        <w:rPr>
          <w:rFonts w:eastAsia="Times New Roman" w:cs="Times New Roman"/>
          <w:color w:val="000000"/>
        </w:rPr>
      </w:pPr>
      <w:r w:rsidRPr="00D63B51">
        <w:rPr>
          <w:rFonts w:eastAsia="Times New Roman" w:cs="Times New Roman"/>
          <w:color w:val="000000"/>
        </w:rPr>
        <w:lastRenderedPageBreak/>
        <w:t>Proposed language implementing a default-stay procedure follows:</w:t>
      </w:r>
    </w:p>
    <w:p w14:paraId="3220C6B4" w14:textId="77777777" w:rsidR="00F62B2D" w:rsidRPr="00D63B51" w:rsidRDefault="00F62B2D" w:rsidP="00F62B2D">
      <w:pPr>
        <w:ind w:right="720" w:firstLine="720"/>
        <w:jc w:val="both"/>
        <w:rPr>
          <w:rFonts w:eastAsia="Times New Roman" w:cs="Times New Roman"/>
          <w:color w:val="000000"/>
        </w:rPr>
      </w:pPr>
    </w:p>
    <w:p w14:paraId="2E73BDEF" w14:textId="77777777" w:rsidR="00F62B2D" w:rsidRPr="00D63B51" w:rsidRDefault="00F62B2D" w:rsidP="00F62B2D">
      <w:pPr>
        <w:ind w:left="720" w:right="720"/>
        <w:jc w:val="both"/>
        <w:rPr>
          <w:rFonts w:eastAsia="Times New Roman" w:cs="Times New Roman"/>
          <w:color w:val="000000"/>
        </w:rPr>
      </w:pPr>
      <w:r w:rsidRPr="00D63B51">
        <w:rPr>
          <w:rFonts w:eastAsia="Times New Roman" w:cs="Times New Roman"/>
          <w:color w:val="000000"/>
        </w:rPr>
        <w:t>(A)</w:t>
      </w:r>
      <w:r w:rsidRPr="00D63B51">
        <w:rPr>
          <w:rFonts w:eastAsia="Times New Roman" w:cs="Times New Roman"/>
          <w:color w:val="000000"/>
        </w:rPr>
        <w:tab/>
        <w:t>Proceedings are automatically stayed in any action that is the subject of a motion to transfer under 28 U.S.C. § 1407 pending before the JPML.  The stay commences upon the filing in the action of:</w:t>
      </w:r>
    </w:p>
    <w:p w14:paraId="294A4BCC" w14:textId="77777777" w:rsidR="00F62B2D" w:rsidRPr="00D63B51" w:rsidRDefault="00F62B2D" w:rsidP="00F62B2D">
      <w:pPr>
        <w:ind w:left="720" w:right="720" w:firstLine="720"/>
        <w:jc w:val="both"/>
        <w:rPr>
          <w:rFonts w:eastAsia="Times New Roman" w:cs="Times New Roman"/>
          <w:color w:val="000000"/>
        </w:rPr>
      </w:pPr>
      <w:r w:rsidRPr="00D63B51">
        <w:rPr>
          <w:rFonts w:eastAsia="Times New Roman" w:cs="Times New Roman"/>
          <w:color w:val="000000"/>
        </w:rPr>
        <w:t xml:space="preserve">(1) a Notice of Filing of Motion to Transfer under 28 U.S.C. § 1407; or </w:t>
      </w:r>
    </w:p>
    <w:p w14:paraId="224AA003" w14:textId="77777777" w:rsidR="00F62B2D" w:rsidRPr="00D63B51" w:rsidRDefault="00F62B2D" w:rsidP="00F62B2D">
      <w:pPr>
        <w:ind w:left="720" w:right="720" w:firstLine="720"/>
        <w:jc w:val="both"/>
        <w:rPr>
          <w:rFonts w:eastAsia="Times New Roman" w:cs="Times New Roman"/>
          <w:color w:val="000000"/>
        </w:rPr>
      </w:pPr>
      <w:r w:rsidRPr="00D63B51">
        <w:rPr>
          <w:rFonts w:eastAsia="Times New Roman" w:cs="Times New Roman"/>
          <w:color w:val="000000"/>
        </w:rPr>
        <w:t xml:space="preserve">(2) a Notice of Potential Tag-Along Action. </w:t>
      </w:r>
    </w:p>
    <w:p w14:paraId="23E950D5" w14:textId="77777777" w:rsidR="00F62B2D" w:rsidRPr="00D63B51" w:rsidRDefault="00F62B2D" w:rsidP="00F62B2D">
      <w:pPr>
        <w:ind w:right="720" w:firstLine="720"/>
        <w:jc w:val="both"/>
        <w:rPr>
          <w:rFonts w:eastAsia="Times New Roman" w:cs="Times New Roman"/>
          <w:color w:val="000000"/>
        </w:rPr>
      </w:pPr>
      <w:r w:rsidRPr="00D63B51">
        <w:rPr>
          <w:rFonts w:eastAsia="Times New Roman" w:cs="Times New Roman"/>
          <w:color w:val="000000"/>
        </w:rPr>
        <w:t>(B) The stay terminates upon the earlier of:</w:t>
      </w:r>
    </w:p>
    <w:p w14:paraId="48CEC8A1" w14:textId="77777777" w:rsidR="00F62B2D" w:rsidRPr="00D63B51" w:rsidRDefault="00F62B2D" w:rsidP="00F62B2D">
      <w:pPr>
        <w:ind w:left="1440" w:right="720"/>
        <w:jc w:val="both"/>
        <w:rPr>
          <w:rFonts w:eastAsia="Times New Roman" w:cs="Times New Roman"/>
          <w:color w:val="000000"/>
        </w:rPr>
      </w:pPr>
      <w:r w:rsidRPr="00D63B51">
        <w:rPr>
          <w:rFonts w:eastAsia="Times New Roman" w:cs="Times New Roman"/>
          <w:color w:val="000000"/>
        </w:rPr>
        <w:t xml:space="preserve">(1) a decision by the JPML denying the pending motion or declining transfer; </w:t>
      </w:r>
    </w:p>
    <w:p w14:paraId="3FF3ACBE" w14:textId="77777777" w:rsidR="00F62B2D" w:rsidRPr="00D63B51" w:rsidRDefault="00F62B2D" w:rsidP="00F62B2D">
      <w:pPr>
        <w:ind w:left="720" w:right="720" w:firstLine="720"/>
        <w:jc w:val="both"/>
        <w:rPr>
          <w:rFonts w:eastAsia="Times New Roman" w:cs="Times New Roman"/>
          <w:color w:val="000000"/>
        </w:rPr>
      </w:pPr>
      <w:r w:rsidRPr="00D63B51">
        <w:rPr>
          <w:rFonts w:eastAsia="Times New Roman" w:cs="Times New Roman"/>
          <w:color w:val="000000"/>
        </w:rPr>
        <w:t xml:space="preserve">(2) an order of the transferee court lifting the stay following transfer; or </w:t>
      </w:r>
    </w:p>
    <w:p w14:paraId="0236D037" w14:textId="77777777" w:rsidR="00F62B2D" w:rsidRPr="00D63B51" w:rsidRDefault="00F62B2D" w:rsidP="00F62B2D">
      <w:pPr>
        <w:ind w:left="720" w:right="720" w:firstLine="720"/>
        <w:jc w:val="both"/>
        <w:rPr>
          <w:rFonts w:eastAsia="Times New Roman" w:cs="Times New Roman"/>
          <w:color w:val="000000"/>
        </w:rPr>
      </w:pPr>
      <w:r w:rsidRPr="00D63B51">
        <w:rPr>
          <w:rFonts w:eastAsia="Times New Roman" w:cs="Times New Roman"/>
          <w:color w:val="000000"/>
        </w:rPr>
        <w:t>(3) an order of the transferor court lifting the stay either:</w:t>
      </w:r>
    </w:p>
    <w:p w14:paraId="0BDE83A2" w14:textId="77777777" w:rsidR="00F62B2D" w:rsidRPr="00D63B51" w:rsidRDefault="00F62B2D" w:rsidP="00F62B2D">
      <w:pPr>
        <w:ind w:left="720" w:right="720" w:firstLine="720"/>
        <w:jc w:val="both"/>
        <w:rPr>
          <w:rFonts w:eastAsia="Times New Roman" w:cs="Times New Roman"/>
          <w:color w:val="000000"/>
        </w:rPr>
      </w:pPr>
      <w:r w:rsidRPr="00D63B51">
        <w:rPr>
          <w:rFonts w:eastAsia="Times New Roman" w:cs="Times New Roman"/>
          <w:color w:val="000000"/>
        </w:rPr>
        <w:t xml:space="preserve"> </w:t>
      </w:r>
      <w:r w:rsidRPr="00D63B51">
        <w:rPr>
          <w:rFonts w:eastAsia="Times New Roman" w:cs="Times New Roman"/>
          <w:color w:val="000000"/>
        </w:rPr>
        <w:tab/>
        <w:t xml:space="preserve">(i) following a remand to the transferor court of a transferred action; </w:t>
      </w:r>
    </w:p>
    <w:p w14:paraId="726C936D" w14:textId="77777777" w:rsidR="00F62B2D" w:rsidRPr="00D63B51" w:rsidRDefault="00F62B2D" w:rsidP="00F62B2D">
      <w:pPr>
        <w:ind w:left="2160" w:right="720"/>
        <w:jc w:val="both"/>
        <w:rPr>
          <w:rFonts w:eastAsia="Times New Roman" w:cs="Times New Roman"/>
          <w:color w:val="000000"/>
        </w:rPr>
      </w:pPr>
      <w:r w:rsidRPr="00D63B51">
        <w:rPr>
          <w:rFonts w:eastAsia="Times New Roman" w:cs="Times New Roman"/>
          <w:color w:val="000000"/>
        </w:rPr>
        <w:t>(ii) prior to transfer of the action when the transferor court finds that the interests of justice and efficiency require resolution of case-specific issues not likely to arise in the other related cases to avoid prejudice to an aggrieved party; or</w:t>
      </w:r>
    </w:p>
    <w:p w14:paraId="4A60A88F" w14:textId="77777777" w:rsidR="00F62B2D" w:rsidRPr="00D63B51" w:rsidRDefault="00F62B2D" w:rsidP="00F62B2D">
      <w:pPr>
        <w:ind w:left="2160" w:right="720"/>
        <w:jc w:val="both"/>
        <w:rPr>
          <w:rFonts w:eastAsia="Times New Roman" w:cs="Times New Roman"/>
          <w:color w:val="000000"/>
        </w:rPr>
      </w:pPr>
      <w:r w:rsidRPr="00D63B51">
        <w:rPr>
          <w:rFonts w:eastAsia="Times New Roman" w:cs="Times New Roman"/>
          <w:color w:val="000000"/>
        </w:rPr>
        <w:t>(iii) prior to transfer of the action when the transferor court finds that a party would otherwise suffer prejudice and there is no risk of unnecessary duplication of effort and resources.  </w:t>
      </w:r>
    </w:p>
    <w:p w14:paraId="59E09E57" w14:textId="77777777" w:rsidR="002D071B" w:rsidRPr="00D63B51" w:rsidRDefault="002D071B" w:rsidP="00F62B2D">
      <w:pPr>
        <w:ind w:left="2160" w:right="720"/>
        <w:jc w:val="both"/>
        <w:rPr>
          <w:rFonts w:eastAsia="Times New Roman" w:cs="Times New Roman"/>
          <w:color w:val="000000"/>
        </w:rPr>
      </w:pPr>
    </w:p>
    <w:p w14:paraId="3B68A831" w14:textId="3700F42A" w:rsidR="002D071B" w:rsidRPr="00D63B51" w:rsidRDefault="00B55301" w:rsidP="00B55301">
      <w:pPr>
        <w:jc w:val="center"/>
        <w:rPr>
          <w:rFonts w:eastAsia="Times New Roman" w:cs="Times New Roman"/>
          <w:b/>
          <w:bCs/>
          <w:caps/>
          <w:sz w:val="28"/>
          <w:szCs w:val="28"/>
        </w:rPr>
      </w:pPr>
      <w:r w:rsidRPr="00D63B51">
        <w:rPr>
          <w:rFonts w:eastAsia="Times New Roman" w:cs="Times New Roman"/>
          <w:b/>
          <w:bCs/>
          <w:color w:val="000000"/>
          <w:sz w:val="28"/>
          <w:szCs w:val="28"/>
        </w:rPr>
        <w:t xml:space="preserve">B. </w:t>
      </w:r>
      <w:r w:rsidRPr="00D63B51">
        <w:rPr>
          <w:rFonts w:eastAsia="Times New Roman" w:cs="Times New Roman"/>
          <w:b/>
          <w:bCs/>
          <w:smallCaps/>
          <w:color w:val="000000"/>
          <w:sz w:val="28"/>
          <w:szCs w:val="28"/>
        </w:rPr>
        <w:t>CASE MANAGEMENT</w:t>
      </w:r>
    </w:p>
    <w:p w14:paraId="792F5D1F" w14:textId="77777777" w:rsidR="00F62B2D" w:rsidRPr="00D63B51" w:rsidRDefault="00F62B2D" w:rsidP="00F62B2D">
      <w:pPr>
        <w:rPr>
          <w:rFonts w:eastAsia="Times New Roman" w:cs="Times New Roman"/>
        </w:rPr>
      </w:pPr>
    </w:p>
    <w:p w14:paraId="29147309" w14:textId="77777777" w:rsidR="00F62B2D" w:rsidRPr="00D63B51" w:rsidRDefault="00F62B2D" w:rsidP="00A32A42">
      <w:pPr>
        <w:jc w:val="both"/>
        <w:rPr>
          <w:rFonts w:cs="Times New Roman"/>
        </w:rPr>
      </w:pPr>
      <w:bookmarkStart w:id="3" w:name="_Hlk121291134"/>
      <w:r w:rsidRPr="00D63B51">
        <w:rPr>
          <w:rFonts w:cs="Times New Roman"/>
          <w:b/>
          <w:bCs/>
          <w:u w:val="single"/>
        </w:rPr>
        <w:t>GUIDELINE MDL-§ 3</w:t>
      </w:r>
      <w:r w:rsidRPr="00D63B51">
        <w:rPr>
          <w:rFonts w:cs="Times New Roman"/>
        </w:rPr>
        <w:t>: Every MDL, but particularly a mass-tort MDL,</w:t>
      </w:r>
      <w:r w:rsidRPr="00D63B51">
        <w:rPr>
          <w:rStyle w:val="FootnoteReference"/>
          <w:rFonts w:cs="Times New Roman"/>
        </w:rPr>
        <w:footnoteReference w:id="34"/>
      </w:r>
      <w:r w:rsidRPr="00D63B51">
        <w:rPr>
          <w:rFonts w:cs="Times New Roman"/>
        </w:rPr>
        <w:t xml:space="preserve"> raises unique procedural case-management challenges for the court, and input from the lawyers on fashioning case-management procedures can be useful especially at the beginning of the litigation at the initial-management conference under Rule 16.1 when the judge begins to make key decisions that will have far-reaching effects. Permanent No. MDL-§ 10.  </w:t>
      </w:r>
    </w:p>
    <w:p w14:paraId="108DF504" w14:textId="77777777" w:rsidR="00F62B2D" w:rsidRPr="00D63B51" w:rsidRDefault="00F62B2D" w:rsidP="00F62B2D">
      <w:pPr>
        <w:ind w:left="720" w:right="720"/>
        <w:jc w:val="both"/>
        <w:rPr>
          <w:rFonts w:cs="Times New Roman"/>
        </w:rPr>
      </w:pPr>
    </w:p>
    <w:p w14:paraId="30FD5EA4" w14:textId="7D9DB772" w:rsidR="00F62B2D" w:rsidRPr="00D63B51" w:rsidRDefault="00F62B2D" w:rsidP="00F62B2D">
      <w:pPr>
        <w:spacing w:line="360" w:lineRule="auto"/>
        <w:ind w:firstLine="720"/>
        <w:jc w:val="both"/>
        <w:rPr>
          <w:rFonts w:cs="Times New Roman"/>
        </w:rPr>
      </w:pPr>
      <w:r w:rsidRPr="00D63B51">
        <w:rPr>
          <w:rFonts w:cs="Times New Roman"/>
        </w:rPr>
        <w:t>Multi-district litigation raises significant complex issues and procedural problems that require special case management.</w:t>
      </w:r>
      <w:bookmarkEnd w:id="3"/>
      <w:r w:rsidRPr="00D63B51">
        <w:rPr>
          <w:rStyle w:val="FootnoteReference"/>
          <w:rFonts w:cs="Times New Roman"/>
        </w:rPr>
        <w:footnoteReference w:id="35"/>
      </w:r>
      <w:r w:rsidRPr="00D63B51">
        <w:rPr>
          <w:rFonts w:cs="Times New Roman"/>
        </w:rPr>
        <w:t xml:space="preserve">  In particular, mass-tort MDLs pose unique case-management challenges because they involve large numbers of law firms and parties, every one of which is entitled to due-process protections afforded a party in the trial of a single action. </w:t>
      </w:r>
    </w:p>
    <w:p w14:paraId="0324784C" w14:textId="77777777" w:rsidR="00F62B2D" w:rsidRPr="00D63B51" w:rsidRDefault="00F62B2D" w:rsidP="00F62B2D">
      <w:pPr>
        <w:spacing w:line="360" w:lineRule="auto"/>
        <w:ind w:firstLine="720"/>
        <w:jc w:val="both"/>
        <w:rPr>
          <w:rFonts w:cs="Times New Roman"/>
        </w:rPr>
      </w:pPr>
      <w:r w:rsidRPr="00D63B51">
        <w:rPr>
          <w:rFonts w:cs="Times New Roman"/>
        </w:rPr>
        <w:t xml:space="preserve">The </w:t>
      </w:r>
      <w:bookmarkStart w:id="4" w:name="_Hlk143844581"/>
      <w:r w:rsidRPr="00D63B51">
        <w:rPr>
          <w:rFonts w:cs="Times New Roman"/>
        </w:rPr>
        <w:t xml:space="preserve">initial-management </w:t>
      </w:r>
      <w:bookmarkEnd w:id="4"/>
      <w:r w:rsidRPr="00D63B51">
        <w:rPr>
          <w:rFonts w:cs="Times New Roman"/>
        </w:rPr>
        <w:t>conference launches the process of managing an MDL.</w:t>
      </w:r>
      <w:r w:rsidRPr="00D63B51">
        <w:rPr>
          <w:rStyle w:val="FootnoteReference"/>
          <w:rFonts w:cs="Times New Roman"/>
        </w:rPr>
        <w:footnoteReference w:id="36"/>
      </w:r>
      <w:r w:rsidRPr="00D63B51">
        <w:rPr>
          <w:rFonts w:cs="Times New Roman"/>
        </w:rPr>
        <w:t xml:space="preserve"> In virtually every mass-tort MDL, the transferee judge holds an initial-management conference early </w:t>
      </w:r>
      <w:r w:rsidRPr="00D63B51">
        <w:rPr>
          <w:rFonts w:cs="Times New Roman"/>
        </w:rPr>
        <w:lastRenderedPageBreak/>
        <w:t>to begin structuring the litigation and consult with lawyers on a range of topics, particularly matters that need early attention from the judge.</w:t>
      </w:r>
      <w:r w:rsidRPr="00D63B51">
        <w:rPr>
          <w:rStyle w:val="FootnoteReference"/>
          <w:rFonts w:cs="Times New Roman"/>
        </w:rPr>
        <w:footnoteReference w:id="37"/>
      </w:r>
      <w:r w:rsidRPr="00D63B51">
        <w:rPr>
          <w:rFonts w:cs="Times New Roman"/>
        </w:rPr>
        <w:t xml:space="preserve">  The primary objective of the conference is to begin developing an initial case-management plan and order, which are issued, updated, and modified as the litigation unfolds for the “just, speedy, and inexpensive determination” of the litigation.</w:t>
      </w:r>
      <w:r w:rsidRPr="00D63B51">
        <w:rPr>
          <w:rStyle w:val="FootnoteReference"/>
          <w:rFonts w:cs="Times New Roman"/>
        </w:rPr>
        <w:footnoteReference w:id="38"/>
      </w:r>
      <w:r w:rsidRPr="00D63B51">
        <w:rPr>
          <w:rFonts w:cs="Times New Roman"/>
        </w:rPr>
        <w:t xml:space="preserve"> </w:t>
      </w:r>
    </w:p>
    <w:p w14:paraId="2927B05C" w14:textId="36C3B5ED" w:rsidR="00F62B2D" w:rsidRPr="00D63B51" w:rsidRDefault="009C473E" w:rsidP="00F62B2D">
      <w:pPr>
        <w:spacing w:line="360" w:lineRule="auto"/>
        <w:ind w:firstLine="720"/>
        <w:jc w:val="both"/>
        <w:rPr>
          <w:rFonts w:cs="Times New Roman"/>
        </w:rPr>
      </w:pPr>
      <w:r w:rsidRPr="00D63B51">
        <w:rPr>
          <w:rFonts w:cs="Times New Roman"/>
          <w:smallCaps/>
        </w:rPr>
        <w:t>FED. R. CIV. P</w:t>
      </w:r>
      <w:r w:rsidRPr="00D63B51">
        <w:rPr>
          <w:rFonts w:cs="Times New Roman"/>
        </w:rPr>
        <w:t>.</w:t>
      </w:r>
      <w:r w:rsidR="00F62B2D" w:rsidRPr="00D63B51">
        <w:rPr>
          <w:rFonts w:cs="Times New Roman"/>
        </w:rPr>
        <w:t xml:space="preserve"> 16.1 took effect on December 1, 2025. The rule provides “a framework for the initial management of MDL proceedings” and is based on standard practices followed by transferee judges in mass-tort MDLs.</w:t>
      </w:r>
      <w:r w:rsidR="00F62B2D" w:rsidRPr="00D63B51">
        <w:rPr>
          <w:rStyle w:val="FootnoteReference"/>
          <w:rFonts w:cs="Times New Roman"/>
        </w:rPr>
        <w:footnoteReference w:id="39"/>
      </w:r>
      <w:r w:rsidR="00F62B2D" w:rsidRPr="00D63B51">
        <w:rPr>
          <w:rFonts w:cs="Times New Roman"/>
        </w:rPr>
        <w:t xml:space="preserve">  Although the rule applies in every MDL, its provisions are most pertinent in “mass-tort” MDLs and may have little relevance in the majority of MDLs, which consist of fewer than 100 actions.</w:t>
      </w:r>
      <w:r w:rsidR="00F62B2D" w:rsidRPr="00D63B51">
        <w:rPr>
          <w:rStyle w:val="FootnoteReference"/>
          <w:rFonts w:cs="Times New Roman"/>
        </w:rPr>
        <w:footnoteReference w:id="40"/>
      </w:r>
      <w:r w:rsidR="00F62B2D" w:rsidRPr="00D63B51">
        <w:rPr>
          <w:rFonts w:cs="Times New Roman"/>
        </w:rPr>
        <w:t xml:space="preserve"> The rule recognizes the wide variations in the types and sizes of MDLs and emphasizes the need “to maintain flexibility in managing MDL proceedings,” couching most of its provisions in discretionary language.</w:t>
      </w:r>
      <w:r w:rsidR="00F62B2D" w:rsidRPr="00D63B51">
        <w:rPr>
          <w:rStyle w:val="FootnoteReference"/>
          <w:rFonts w:cs="Times New Roman"/>
        </w:rPr>
        <w:footnoteReference w:id="41"/>
      </w:r>
      <w:r w:rsidR="00F62B2D" w:rsidRPr="00D63B51">
        <w:rPr>
          <w:rFonts w:cs="Times New Roman"/>
        </w:rPr>
        <w:t xml:space="preserve"> </w:t>
      </w:r>
    </w:p>
    <w:p w14:paraId="72A58E77" w14:textId="144E47F0" w:rsidR="00F62B2D" w:rsidRPr="00D63B51" w:rsidRDefault="00F62B2D" w:rsidP="00F62B2D">
      <w:pPr>
        <w:spacing w:line="360" w:lineRule="auto"/>
        <w:ind w:firstLine="720"/>
        <w:jc w:val="both"/>
        <w:rPr>
          <w:rFonts w:cs="Times New Roman"/>
        </w:rPr>
      </w:pPr>
      <w:r w:rsidRPr="00D63B51">
        <w:rPr>
          <w:rFonts w:cs="Times New Roman"/>
        </w:rPr>
        <w:t>Rule 16.1 requires the parties to address</w:t>
      </w:r>
      <w:r w:rsidR="002B658D" w:rsidRPr="00D63B51">
        <w:rPr>
          <w:rFonts w:cs="Times New Roman"/>
        </w:rPr>
        <w:t xml:space="preserve"> </w:t>
      </w:r>
      <w:r w:rsidRPr="00D63B51">
        <w:rPr>
          <w:rFonts w:cs="Times New Roman"/>
        </w:rPr>
        <w:t xml:space="preserve">and suggest procedures in a written report that facilitate the efficient and fair management of the litigation. The purpose of the rule is to give lawyers the opportunity to suggest a roadmap for the management of an MDL and alert the judge of potential problems and suggest procedures to handle them.  It provides an ideal vehicle to bring best practices used in previous mass-tort MDLs as well as innovative proposals to the attention of the judge early in the litigation as part of the Rule 16.1 initial-management conference.  </w:t>
      </w:r>
    </w:p>
    <w:p w14:paraId="5457624A" w14:textId="77777777" w:rsidR="00F62B2D" w:rsidRPr="00D63B51" w:rsidRDefault="00F62B2D" w:rsidP="00F62B2D">
      <w:pPr>
        <w:spacing w:line="360" w:lineRule="auto"/>
        <w:ind w:firstLine="720"/>
        <w:jc w:val="both"/>
        <w:rPr>
          <w:rFonts w:cs="Times New Roman"/>
        </w:rPr>
      </w:pPr>
      <w:r w:rsidRPr="00D63B51">
        <w:rPr>
          <w:rFonts w:cs="Times New Roman"/>
        </w:rPr>
        <w:t>Rule 16.1 lists an agenda of general topics for the initial-management conference, which were selected because “(e)xperience has shown, however, that the matters identified in [the rule] are often important to the management of MDL proceedings.”</w:t>
      </w:r>
      <w:r w:rsidRPr="00D63B51">
        <w:rPr>
          <w:rStyle w:val="FootnoteReference"/>
          <w:rFonts w:cs="Times New Roman"/>
        </w:rPr>
        <w:footnoteReference w:id="42"/>
      </w:r>
      <w:r w:rsidRPr="00D63B51">
        <w:rPr>
          <w:rFonts w:cs="Times New Roman"/>
        </w:rPr>
        <w:t xml:space="preserve">  The text of the rule is problematic </w:t>
      </w:r>
      <w:r w:rsidRPr="00D63B51">
        <w:rPr>
          <w:rFonts w:cs="Times New Roman"/>
        </w:rPr>
        <w:lastRenderedPageBreak/>
        <w:t xml:space="preserve">because the list of topics is not as comprehensive as the list of topics contained in pretrial orders of many (most) mass-tort MDLs, and there is a risk that over time the bench and bar will inevitably focus solely on the rule and overlook unlisted case-management matters.  </w:t>
      </w:r>
    </w:p>
    <w:p w14:paraId="3762A2D9" w14:textId="77777777" w:rsidR="00F62B2D" w:rsidRPr="00D63B51" w:rsidRDefault="00F62B2D" w:rsidP="00F62B2D">
      <w:pPr>
        <w:spacing w:line="360" w:lineRule="auto"/>
        <w:ind w:firstLine="720"/>
        <w:jc w:val="both"/>
        <w:rPr>
          <w:rFonts w:cs="Times New Roman"/>
        </w:rPr>
      </w:pPr>
      <w:r w:rsidRPr="00D63B51">
        <w:rPr>
          <w:rFonts w:cs="Times New Roman"/>
        </w:rPr>
        <w:t xml:space="preserve">The following guidelines and best practices provide guidance on a more comprehensive range of topics that may be considered at the Rule 16.1 initial-management conference.  </w:t>
      </w:r>
    </w:p>
    <w:p w14:paraId="5E0E433C" w14:textId="77777777" w:rsidR="00F62B2D" w:rsidRPr="00D63B51" w:rsidRDefault="00F62B2D" w:rsidP="00F62B2D">
      <w:pPr>
        <w:pStyle w:val="NoSpacing"/>
        <w:ind w:left="720" w:right="720"/>
        <w:jc w:val="both"/>
      </w:pPr>
      <w:r w:rsidRPr="00D63B51">
        <w:rPr>
          <w:b/>
          <w:bCs/>
        </w:rPr>
        <w:t xml:space="preserve">Best Practice </w:t>
      </w:r>
      <w:r w:rsidRPr="00D63B51">
        <w:rPr>
          <w:rFonts w:cs="Times New Roman"/>
          <w:b/>
          <w:bCs/>
          <w:szCs w:val="24"/>
        </w:rPr>
        <w:t>MDL-§ 3</w:t>
      </w:r>
      <w:r w:rsidRPr="00D63B51">
        <w:rPr>
          <w:b/>
          <w:bCs/>
        </w:rPr>
        <w:t>(a):</w:t>
      </w:r>
      <w:r w:rsidRPr="00D63B51">
        <w:t xml:space="preserve"> The transferee court should hold an </w:t>
      </w:r>
      <w:r w:rsidRPr="00D63B51">
        <w:rPr>
          <w:rFonts w:cs="Times New Roman"/>
          <w:szCs w:val="24"/>
        </w:rPr>
        <w:t xml:space="preserve">initial-management </w:t>
      </w:r>
      <w:r w:rsidRPr="00D63B51">
        <w:t xml:space="preserve">conference within 35 days of the JPML’s centralization order.  Permanent No. </w:t>
      </w:r>
      <w:r w:rsidRPr="00D63B51">
        <w:rPr>
          <w:rFonts w:cs="Times New Roman"/>
          <w:szCs w:val="24"/>
        </w:rPr>
        <w:t>MDL-§ 10</w:t>
      </w:r>
      <w:r w:rsidRPr="00D63B51">
        <w:t>(a).</w:t>
      </w:r>
    </w:p>
    <w:p w14:paraId="64363DEB" w14:textId="77777777" w:rsidR="00F62B2D" w:rsidRPr="00D63B51" w:rsidRDefault="00F62B2D" w:rsidP="00F62B2D">
      <w:pPr>
        <w:pStyle w:val="NoSpacing"/>
        <w:ind w:left="720" w:right="720"/>
      </w:pPr>
    </w:p>
    <w:p w14:paraId="0FF25A82" w14:textId="77777777" w:rsidR="00F62B2D" w:rsidRPr="00D63B51" w:rsidRDefault="00F62B2D" w:rsidP="00F62B2D">
      <w:pPr>
        <w:spacing w:line="360" w:lineRule="auto"/>
        <w:ind w:firstLine="720"/>
        <w:jc w:val="both"/>
        <w:rPr>
          <w:rFonts w:cs="Times New Roman"/>
        </w:rPr>
      </w:pPr>
      <w:r w:rsidRPr="00D63B51">
        <w:rPr>
          <w:rFonts w:cs="Times New Roman"/>
        </w:rPr>
        <w:t>Rule 16.1(a) states that one of the first steps a transferee court should take is to “schedule an initial management conference to develop a management plan for orderly pretrial activity in the MDL proceedings.”</w:t>
      </w:r>
      <w:r w:rsidRPr="00D63B51">
        <w:rPr>
          <w:rStyle w:val="FootnoteReference"/>
          <w:rFonts w:cs="Times New Roman"/>
        </w:rPr>
        <w:footnoteReference w:id="43"/>
      </w:r>
      <w:r w:rsidRPr="00D63B51">
        <w:rPr>
          <w:rFonts w:cs="Times New Roman"/>
        </w:rPr>
        <w:t xml:space="preserve"> Rule 16.1(d) further states that the purpose of the initial case-management plan is to “control[] the course of the MDL proceedings” until modified by the court.</w:t>
      </w:r>
      <w:r w:rsidRPr="00D63B51">
        <w:rPr>
          <w:rStyle w:val="FootnoteReference"/>
          <w:rFonts w:cs="Times New Roman"/>
        </w:rPr>
        <w:footnoteReference w:id="44"/>
      </w:r>
      <w:r w:rsidRPr="00D63B51">
        <w:rPr>
          <w:rFonts w:cs="Times New Roman"/>
        </w:rPr>
        <w:t xml:space="preserve"> The rule reflects existing practices and provides guidance and greater uniformity regarding the initial-management conference. In particular, the conference allows the judge to promptly set in motion the procedure for the appointment of leadership counsel.</w:t>
      </w:r>
    </w:p>
    <w:p w14:paraId="5F86E38C" w14:textId="77777777" w:rsidR="00F62B2D" w:rsidRPr="00D63B51" w:rsidRDefault="00F62B2D" w:rsidP="00F62B2D">
      <w:pPr>
        <w:spacing w:line="360" w:lineRule="auto"/>
        <w:ind w:firstLine="720"/>
        <w:jc w:val="both"/>
        <w:rPr>
          <w:rFonts w:cs="Times New Roman"/>
        </w:rPr>
      </w:pPr>
      <w:r w:rsidRPr="00D63B51">
        <w:rPr>
          <w:rFonts w:cs="Times New Roman"/>
        </w:rPr>
        <w:t>Under Rule 16.1(a), the transferee court should schedule an initial-management conference after the JPML orders the transfer of actions.</w:t>
      </w:r>
      <w:r w:rsidRPr="00D63B51">
        <w:rPr>
          <w:rStyle w:val="FootnoteReference"/>
          <w:rFonts w:cs="Times New Roman"/>
        </w:rPr>
        <w:footnoteReference w:id="45"/>
      </w:r>
      <w:r w:rsidRPr="00D63B51">
        <w:rPr>
          <w:rFonts w:cs="Times New Roman"/>
        </w:rPr>
        <w:t xml:space="preserve"> Courts have scheduled the initial-management conference as soon as one day after the JPML transfer order and held the conference as early as 16 days later. The median time for holding the initial-management conference is approximately 40 days after the JPML order, though earlier in more recent mass-tort MDLs.</w:t>
      </w:r>
      <w:r w:rsidRPr="00D63B51">
        <w:rPr>
          <w:rStyle w:val="FootnoteReference"/>
          <w:rFonts w:cs="Times New Roman"/>
        </w:rPr>
        <w:footnoteReference w:id="46"/>
      </w:r>
      <w:r w:rsidRPr="00D63B51">
        <w:rPr>
          <w:rFonts w:cs="Times New Roman"/>
        </w:rPr>
        <w:t xml:space="preserve">  </w:t>
      </w:r>
    </w:p>
    <w:p w14:paraId="6FF8B081" w14:textId="7E197851" w:rsidR="006D6953" w:rsidRPr="00D63B51" w:rsidRDefault="00792CD5" w:rsidP="00F62B2D">
      <w:pPr>
        <w:spacing w:line="360" w:lineRule="auto"/>
        <w:ind w:firstLine="720"/>
        <w:jc w:val="both"/>
        <w:rPr>
          <w:rFonts w:cs="Times New Roman"/>
        </w:rPr>
      </w:pPr>
      <w:r w:rsidRPr="00D63B51">
        <w:rPr>
          <w:rFonts w:cs="Times New Roman"/>
        </w:rPr>
        <w:t xml:space="preserve">The </w:t>
      </w:r>
      <w:r w:rsidR="00E26983" w:rsidRPr="00D63B51">
        <w:rPr>
          <w:rFonts w:cs="Times New Roman"/>
        </w:rPr>
        <w:t>parties</w:t>
      </w:r>
      <w:r w:rsidRPr="00D63B51">
        <w:rPr>
          <w:rFonts w:cs="Times New Roman"/>
        </w:rPr>
        <w:t xml:space="preserve"> and court must prepare for </w:t>
      </w:r>
      <w:r w:rsidR="00E26983" w:rsidRPr="00D63B51">
        <w:rPr>
          <w:rFonts w:cs="Times New Roman"/>
        </w:rPr>
        <w:t xml:space="preserve">two </w:t>
      </w:r>
      <w:r w:rsidR="00D8532F" w:rsidRPr="00D63B51">
        <w:rPr>
          <w:rFonts w:cs="Times New Roman"/>
        </w:rPr>
        <w:t>eventua</w:t>
      </w:r>
      <w:r w:rsidR="007439DB" w:rsidRPr="00D63B51">
        <w:rPr>
          <w:rFonts w:cs="Times New Roman"/>
        </w:rPr>
        <w:t>l</w:t>
      </w:r>
      <w:r w:rsidR="00D8532F" w:rsidRPr="00D63B51">
        <w:rPr>
          <w:rFonts w:cs="Times New Roman"/>
        </w:rPr>
        <w:t>ities</w:t>
      </w:r>
      <w:r w:rsidR="00E26983" w:rsidRPr="00D63B51">
        <w:rPr>
          <w:rFonts w:cs="Times New Roman"/>
        </w:rPr>
        <w:t>, including an early termination of the action by a motion to dismiss or</w:t>
      </w:r>
      <w:r w:rsidR="00402EE4" w:rsidRPr="00D63B51">
        <w:rPr>
          <w:rFonts w:cs="Times New Roman"/>
        </w:rPr>
        <w:t xml:space="preserve"> a</w:t>
      </w:r>
      <w:r w:rsidR="00E26983" w:rsidRPr="00D63B51">
        <w:rPr>
          <w:rFonts w:cs="Times New Roman"/>
        </w:rPr>
        <w:t xml:space="preserve"> motion for summary judgment </w:t>
      </w:r>
      <w:r w:rsidR="007167E0" w:rsidRPr="00D63B51">
        <w:rPr>
          <w:rFonts w:cs="Times New Roman"/>
        </w:rPr>
        <w:t>and litigation</w:t>
      </w:r>
      <w:r w:rsidR="00D8532F" w:rsidRPr="00D63B51">
        <w:rPr>
          <w:rFonts w:cs="Times New Roman"/>
        </w:rPr>
        <w:t xml:space="preserve"> that may span many years. </w:t>
      </w:r>
      <w:r w:rsidR="00E26983" w:rsidRPr="00D63B51">
        <w:rPr>
          <w:rFonts w:cs="Times New Roman"/>
        </w:rPr>
        <w:t xml:space="preserve"> </w:t>
      </w:r>
      <w:r w:rsidR="00842CD3" w:rsidRPr="00D63B51">
        <w:rPr>
          <w:rFonts w:cs="Times New Roman"/>
        </w:rPr>
        <w:t>Case-management d</w:t>
      </w:r>
      <w:r w:rsidR="005A6401" w:rsidRPr="00D63B51">
        <w:rPr>
          <w:rFonts w:cs="Times New Roman"/>
        </w:rPr>
        <w:t>ecisions</w:t>
      </w:r>
      <w:r w:rsidR="0002379D" w:rsidRPr="00D63B51">
        <w:rPr>
          <w:rFonts w:cs="Times New Roman"/>
        </w:rPr>
        <w:t xml:space="preserve"> made </w:t>
      </w:r>
      <w:r w:rsidR="005A6401" w:rsidRPr="00D63B51">
        <w:rPr>
          <w:rFonts w:cs="Times New Roman"/>
        </w:rPr>
        <w:t xml:space="preserve">early on </w:t>
      </w:r>
      <w:r w:rsidR="003A0805" w:rsidRPr="00D63B51">
        <w:rPr>
          <w:rFonts w:cs="Times New Roman"/>
        </w:rPr>
        <w:t xml:space="preserve">can </w:t>
      </w:r>
      <w:r w:rsidR="005A6401" w:rsidRPr="00D63B51">
        <w:rPr>
          <w:rFonts w:cs="Times New Roman"/>
        </w:rPr>
        <w:t xml:space="preserve">set in motion </w:t>
      </w:r>
      <w:r w:rsidR="003A0805" w:rsidRPr="00D63B51">
        <w:rPr>
          <w:rFonts w:cs="Times New Roman"/>
        </w:rPr>
        <w:t xml:space="preserve">actions that parties </w:t>
      </w:r>
      <w:r w:rsidR="00B3482E" w:rsidRPr="00D63B51">
        <w:rPr>
          <w:rFonts w:cs="Times New Roman"/>
        </w:rPr>
        <w:t xml:space="preserve">must </w:t>
      </w:r>
      <w:r w:rsidR="003A0805" w:rsidRPr="00D63B51">
        <w:rPr>
          <w:rFonts w:cs="Times New Roman"/>
        </w:rPr>
        <w:t xml:space="preserve">undertake for years, which are not easily undone later in the </w:t>
      </w:r>
      <w:r w:rsidR="00B3482E" w:rsidRPr="00D63B51">
        <w:rPr>
          <w:rFonts w:cs="Times New Roman"/>
        </w:rPr>
        <w:t>litigation</w:t>
      </w:r>
      <w:r w:rsidR="003A0805" w:rsidRPr="00D63B51">
        <w:rPr>
          <w:rFonts w:cs="Times New Roman"/>
        </w:rPr>
        <w:t xml:space="preserve">. </w:t>
      </w:r>
      <w:r w:rsidR="00F62B2D" w:rsidRPr="00D63B51">
        <w:rPr>
          <w:rFonts w:cs="Times New Roman"/>
        </w:rPr>
        <w:t xml:space="preserve">The sooner the transferee court holds the initial-management conference, the sooner it becomes better informed about the range of case-management decisions and their relative urgency. The downside to an early </w:t>
      </w:r>
      <w:r w:rsidR="00F62B2D" w:rsidRPr="00D63B51">
        <w:rPr>
          <w:rFonts w:cs="Times New Roman"/>
        </w:rPr>
        <w:lastRenderedPageBreak/>
        <w:t xml:space="preserve">conference is the absence of officially approved leadership counsel, who typically are appointed after the initial-management conference.  </w:t>
      </w:r>
    </w:p>
    <w:p w14:paraId="54D46626" w14:textId="528C6B2E" w:rsidR="00F62B2D" w:rsidRPr="00D63B51" w:rsidRDefault="00F62B2D" w:rsidP="00F62B2D">
      <w:pPr>
        <w:spacing w:line="360" w:lineRule="auto"/>
        <w:ind w:firstLine="720"/>
        <w:jc w:val="both"/>
        <w:rPr>
          <w:rFonts w:cs="Times New Roman"/>
        </w:rPr>
      </w:pPr>
      <w:r w:rsidRPr="00D63B51">
        <w:rPr>
          <w:rFonts w:cs="Times New Roman"/>
        </w:rPr>
        <w:t xml:space="preserve">Recognizing that final decisions on certain matters might have to be deferred until lead counsel has been appointed, the conference can nonetheless help the court begin to develop its preliminary case-management planning for MDLs that eventually may consist of thousands of actions, which can require long-lead times and extensive groundwork.  </w:t>
      </w:r>
    </w:p>
    <w:p w14:paraId="735F960B" w14:textId="77777777" w:rsidR="00F62B2D" w:rsidRPr="00D63B51" w:rsidRDefault="00F62B2D" w:rsidP="00F62B2D">
      <w:pPr>
        <w:spacing w:line="360" w:lineRule="auto"/>
        <w:ind w:firstLine="720"/>
        <w:jc w:val="both"/>
        <w:rPr>
          <w:rFonts w:cs="Times New Roman"/>
        </w:rPr>
      </w:pPr>
      <w:r w:rsidRPr="00D63B51">
        <w:rPr>
          <w:rFonts w:cs="Times New Roman"/>
        </w:rPr>
        <w:t xml:space="preserve">Parties usually are not required to attend the conference but must be represented at the conference, often by agreeing to the extent practicable on a single attorney to act for the sole purpose of representing them at the conference. There is no settled format for the conference.  At this early stage, even in mass-tort MDLs that eventually grow into thousands of actions, the number of lawyers and law firms is typically smaller and more manageable, which allows a transferee judge to adopt an informal format to get useful information from as many different individuals as possible. But whatever approach is taken, the lawyers representing the parties should have a full opportunity to address and answer any questions from the judge. </w:t>
      </w:r>
    </w:p>
    <w:p w14:paraId="350C26D2" w14:textId="361F66B7" w:rsidR="00F62B2D" w:rsidRPr="00D63B51" w:rsidRDefault="00F62B2D" w:rsidP="00A32A42">
      <w:pPr>
        <w:pStyle w:val="NoSpacing"/>
        <w:jc w:val="both"/>
      </w:pPr>
      <w:r w:rsidRPr="00D63B51">
        <w:rPr>
          <w:b/>
          <w:bCs/>
          <w:u w:val="single"/>
        </w:rPr>
        <w:t xml:space="preserve">GUIDELINE </w:t>
      </w:r>
      <w:r w:rsidRPr="00D63B51">
        <w:rPr>
          <w:rFonts w:cs="Times New Roman"/>
          <w:b/>
          <w:bCs/>
          <w:szCs w:val="24"/>
          <w:u w:val="single"/>
        </w:rPr>
        <w:t>MDL-§ 4</w:t>
      </w:r>
      <w:r w:rsidRPr="00D63B51">
        <w:t xml:space="preserve">: Rule 16.1(b)(1) recommends that the court order the parties to submit a single informative report in advance of the initial-management conference that </w:t>
      </w:r>
      <w:r w:rsidR="007D2766" w:rsidRPr="00D63B51">
        <w:t>addresses and</w:t>
      </w:r>
      <w:r w:rsidRPr="00D63B51">
        <w:t xml:space="preserve"> suggests procedures regarding case-management topics, which are listed in the rule, identified by the judge, or identified by the parties. Permanent No. </w:t>
      </w:r>
      <w:r w:rsidRPr="00D63B51">
        <w:rPr>
          <w:rFonts w:cs="Times New Roman"/>
          <w:szCs w:val="24"/>
        </w:rPr>
        <w:t>MDL-§ 11.</w:t>
      </w:r>
    </w:p>
    <w:p w14:paraId="2E3A25D3" w14:textId="77777777" w:rsidR="00F62B2D" w:rsidRPr="00D63B51" w:rsidRDefault="00F62B2D" w:rsidP="00F62B2D">
      <w:pPr>
        <w:pStyle w:val="NoSpacing"/>
        <w:ind w:left="720" w:right="720"/>
        <w:jc w:val="both"/>
      </w:pPr>
      <w:r w:rsidRPr="00D63B51">
        <w:t xml:space="preserve"> </w:t>
      </w:r>
    </w:p>
    <w:p w14:paraId="07C9D9D6" w14:textId="77777777" w:rsidR="00F62B2D" w:rsidRPr="00D63B51" w:rsidRDefault="00F62B2D" w:rsidP="00F62B2D">
      <w:pPr>
        <w:spacing w:line="360" w:lineRule="auto"/>
        <w:ind w:firstLine="720"/>
        <w:jc w:val="both"/>
        <w:rPr>
          <w:rFonts w:cs="Times New Roman"/>
        </w:rPr>
      </w:pPr>
      <w:bookmarkStart w:id="5" w:name="_Hlk111788170"/>
      <w:r w:rsidRPr="00D63B51">
        <w:rPr>
          <w:rFonts w:cs="Times New Roman"/>
        </w:rPr>
        <w:t>One of the primary purposes of Rule 16.1 is to provide an agenda of topics at the initial-management conference and an opportunity for parties to comment and make suggestions, which will set the stage for the ongoing MDL-management process.</w:t>
      </w:r>
      <w:r w:rsidRPr="00D63B51">
        <w:rPr>
          <w:rStyle w:val="FootnoteReference"/>
          <w:rFonts w:cs="Times New Roman"/>
        </w:rPr>
        <w:footnoteReference w:id="47"/>
      </w:r>
      <w:r w:rsidRPr="00D63B51">
        <w:rPr>
          <w:rFonts w:cs="Times New Roman"/>
        </w:rPr>
        <w:t xml:space="preserve">  The bench-bar collaboration in developing case-management procedures in mass-tort MDLs</w:t>
      </w:r>
      <w:bookmarkEnd w:id="5"/>
      <w:r w:rsidRPr="00D63B51">
        <w:rPr>
          <w:rFonts w:cs="Times New Roman"/>
        </w:rPr>
        <w:t xml:space="preserve"> ensures that potential consequences of proposed practices and procedures are considered, including their burden and expense and the possibility of inadvertently favoring one side. Rule 16.1 gives the parties an opportunity to provide feedback and request modifications regarding case-management procedures as well as suggest new procedures at the initial conference.</w:t>
      </w:r>
    </w:p>
    <w:p w14:paraId="65B69379" w14:textId="77777777" w:rsidR="00F62B2D" w:rsidRPr="00D63B51" w:rsidRDefault="00F62B2D" w:rsidP="00F62B2D">
      <w:pPr>
        <w:pStyle w:val="NoSpacing"/>
        <w:spacing w:line="360" w:lineRule="auto"/>
        <w:ind w:firstLine="720"/>
        <w:jc w:val="both"/>
      </w:pPr>
      <w:r w:rsidRPr="00D63B51">
        <w:t xml:space="preserve">Before the promulgation of Rule 16.1, transferee judges in many mass-tort MDLs routinely scheduled an initial-management conference and ordered the parties “to familiarize themselves with the </w:t>
      </w:r>
      <w:r w:rsidRPr="00D63B51">
        <w:rPr>
          <w:smallCaps/>
        </w:rPr>
        <w:t>Manual for Complex Litigation</w:t>
      </w:r>
      <w:r w:rsidRPr="00D63B51">
        <w:t xml:space="preserve"> and be prepared to </w:t>
      </w:r>
      <w:bookmarkStart w:id="7" w:name="_Hlk166132792"/>
      <w:r w:rsidRPr="00D63B51">
        <w:t xml:space="preserve">suggest procedures that will </w:t>
      </w:r>
      <w:r w:rsidRPr="00D63B51">
        <w:lastRenderedPageBreak/>
        <w:t>facilitate the expeditious, economical, and just resolution of the litigation</w:t>
      </w:r>
      <w:bookmarkEnd w:id="7"/>
      <w:r w:rsidRPr="00D63B51">
        <w:t>.”</w:t>
      </w:r>
      <w:r w:rsidRPr="00D63B51">
        <w:rPr>
          <w:rStyle w:val="FootnoteReference"/>
        </w:rPr>
        <w:footnoteReference w:id="48"/>
      </w:r>
      <w:r w:rsidRPr="00D63B51">
        <w:t xml:space="preserve"> Instead of an open-ended format, Rule 16.1(b)(1) formalizes this practice and recommends that the “court should order the parties to meet and submit a report” that addresses specific agenda topics listed in the rule, which the court will later address in its initial-management order.</w:t>
      </w:r>
      <w:r w:rsidRPr="00D63B51">
        <w:rPr>
          <w:rStyle w:val="FootnoteReference"/>
        </w:rPr>
        <w:footnoteReference w:id="49"/>
      </w:r>
      <w:r w:rsidRPr="00D63B51">
        <w:t xml:space="preserve"> </w:t>
      </w:r>
    </w:p>
    <w:p w14:paraId="284473A8" w14:textId="77777777" w:rsidR="00F62B2D" w:rsidRPr="00D63B51" w:rsidRDefault="00F62B2D" w:rsidP="00F62B2D">
      <w:pPr>
        <w:spacing w:line="360" w:lineRule="auto"/>
        <w:ind w:firstLine="720"/>
        <w:jc w:val="both"/>
        <w:rPr>
          <w:rFonts w:cs="Times New Roman"/>
        </w:rPr>
      </w:pPr>
      <w:r w:rsidRPr="00D63B51">
        <w:rPr>
          <w:rFonts w:cs="Times New Roman"/>
        </w:rPr>
        <w:t xml:space="preserve">Many of the topics in Rule 16.1 and in the </w:t>
      </w:r>
      <w:r w:rsidRPr="00D63B51">
        <w:rPr>
          <w:rFonts w:cs="Times New Roman"/>
          <w:smallCaps/>
        </w:rPr>
        <w:t>Manual of Complex Litigation</w:t>
      </w:r>
      <w:r w:rsidRPr="00D63B51">
        <w:rPr>
          <w:rFonts w:cs="Times New Roman"/>
        </w:rPr>
        <w:t xml:space="preserve"> do not necessarily require immediate resolution, but early consideration is prudent to prevent future problems from developing.  Following the conference, the judge issues an initial case-management plan, which serves as a blueprint for how all pretrial activities will be conducted and managed in the MDL, making it one of the most important orders that is entered in the MDL’s lifespan.</w:t>
      </w:r>
      <w:r w:rsidRPr="00D63B51">
        <w:rPr>
          <w:rStyle w:val="FootnoteReference"/>
          <w:rFonts w:cs="Times New Roman"/>
        </w:rPr>
        <w:footnoteReference w:id="50"/>
      </w:r>
      <w:r w:rsidRPr="00D63B51">
        <w:rPr>
          <w:rFonts w:cs="Times New Roman"/>
        </w:rPr>
        <w:t xml:space="preserve">  </w:t>
      </w:r>
    </w:p>
    <w:p w14:paraId="6515C0AE" w14:textId="77777777" w:rsidR="00F62B2D" w:rsidRPr="00D63B51" w:rsidRDefault="00F62B2D" w:rsidP="00F62B2D">
      <w:pPr>
        <w:pStyle w:val="NoSpacing"/>
        <w:spacing w:line="360" w:lineRule="auto"/>
        <w:ind w:firstLine="720"/>
        <w:jc w:val="both"/>
      </w:pPr>
      <w:r w:rsidRPr="00D63B51">
        <w:t>The transferee judge will not necessarily address in the subsequent initial-management order every topic addressed at the conference, but the information will better inform the judge in making later case-management decisions.</w:t>
      </w:r>
    </w:p>
    <w:p w14:paraId="0E8DCC73" w14:textId="77777777" w:rsidR="00F62B2D" w:rsidRPr="00D63B51" w:rsidRDefault="00F62B2D" w:rsidP="00F62B2D">
      <w:pPr>
        <w:pStyle w:val="NoSpacing"/>
        <w:ind w:left="720" w:right="720"/>
        <w:jc w:val="both"/>
      </w:pPr>
      <w:r w:rsidRPr="00D63B51">
        <w:rPr>
          <w:b/>
          <w:bCs/>
        </w:rPr>
        <w:t xml:space="preserve">Best Practice </w:t>
      </w:r>
      <w:r w:rsidRPr="00D63B51">
        <w:rPr>
          <w:rFonts w:cs="Times New Roman"/>
          <w:b/>
          <w:bCs/>
          <w:szCs w:val="24"/>
        </w:rPr>
        <w:t>MDL-§ 4</w:t>
      </w:r>
      <w:r w:rsidRPr="00D63B51">
        <w:rPr>
          <w:b/>
          <w:bCs/>
        </w:rPr>
        <w:t>(a):</w:t>
      </w:r>
      <w:r w:rsidRPr="00D63B51">
        <w:t xml:space="preserve"> The transferee judge in a mass-tort MDL should consider directing the parties to seek a consensus on their own and submit a report on case-management topics designated by the judge as well as topics identified by the parties before the initial-management conference. </w:t>
      </w:r>
      <w:bookmarkStart w:id="8" w:name="_Hlk143959584"/>
      <w:r w:rsidRPr="00D63B51">
        <w:t xml:space="preserve">Permanent No. </w:t>
      </w:r>
      <w:r w:rsidRPr="00D63B51">
        <w:rPr>
          <w:rFonts w:cs="Times New Roman"/>
          <w:szCs w:val="24"/>
        </w:rPr>
        <w:t>MDL-§ 11</w:t>
      </w:r>
      <w:r w:rsidRPr="00D63B51">
        <w:t>(a)</w:t>
      </w:r>
      <w:bookmarkEnd w:id="8"/>
      <w:r w:rsidRPr="00D63B51">
        <w:t>.</w:t>
      </w:r>
    </w:p>
    <w:p w14:paraId="70E90734" w14:textId="77777777" w:rsidR="00F62B2D" w:rsidRPr="00D63B51" w:rsidRDefault="00F62B2D" w:rsidP="00F62B2D">
      <w:pPr>
        <w:pStyle w:val="NoSpacing"/>
        <w:ind w:left="720" w:right="720"/>
      </w:pPr>
    </w:p>
    <w:p w14:paraId="36C65545" w14:textId="77777777" w:rsidR="00F62B2D" w:rsidRPr="00D63B51" w:rsidRDefault="00F62B2D" w:rsidP="00F62B2D">
      <w:pPr>
        <w:spacing w:line="360" w:lineRule="auto"/>
        <w:ind w:firstLine="720"/>
        <w:jc w:val="both"/>
        <w:rPr>
          <w:rFonts w:cs="Times New Roman"/>
        </w:rPr>
      </w:pPr>
      <w:r w:rsidRPr="00D63B51">
        <w:rPr>
          <w:rFonts w:cs="Times New Roman"/>
        </w:rPr>
        <w:lastRenderedPageBreak/>
        <w:t>Transferee courts generally do not (and cannot) take a one-size-fits-all approach in holding an initial case-management conference. The judge must determine how the parties can best convey their consensus views at the initial-management conference, which may be a written report as recommended in Rule 16.1(b)(1) or oral statements, especially if the MDL consists of relatively few actions.</w:t>
      </w:r>
      <w:r w:rsidRPr="00D63B51">
        <w:rPr>
          <w:rStyle w:val="FootnoteReference"/>
          <w:rFonts w:cs="Times New Roman"/>
        </w:rPr>
        <w:footnoteReference w:id="51"/>
      </w:r>
      <w:r w:rsidRPr="00D63B51">
        <w:rPr>
          <w:rFonts w:cs="Times New Roman"/>
        </w:rPr>
        <w:t xml:space="preserve"> </w:t>
      </w:r>
    </w:p>
    <w:p w14:paraId="71C209CF" w14:textId="77777777" w:rsidR="00F62B2D" w:rsidRPr="00D63B51" w:rsidRDefault="00F62B2D" w:rsidP="00F62B2D">
      <w:pPr>
        <w:spacing w:line="360" w:lineRule="auto"/>
        <w:ind w:firstLine="720"/>
        <w:jc w:val="both"/>
        <w:rPr>
          <w:rFonts w:cs="Times New Roman"/>
        </w:rPr>
      </w:pPr>
      <w:r w:rsidRPr="00D63B51">
        <w:rPr>
          <w:rFonts w:cs="Times New Roman"/>
        </w:rPr>
        <w:t xml:space="preserve">The prosecution of a mass-tort MDL involves outlays of millions of dollars, commitment of thousands of hours of work, and deferred reimbursement of expenses and payment of compensation for five to ten years, and payable only if successful.  The lawyers and law firms who are willing and have the financial wherewithal to prosecute a mass-tort MDL often meet informally before the motion to centralize is filed with the JPML to strategize whether to centralize, where and, if appropriate, before which judge to recommend JPML assignment.  Oftentimes, an informal leadership structure develops organically because lawyers that have been heavily involved in the litigation are readily acknowledged.  </w:t>
      </w:r>
    </w:p>
    <w:p w14:paraId="3BFF50EC" w14:textId="77777777" w:rsidR="00F62B2D" w:rsidRPr="00D63B51" w:rsidRDefault="00F62B2D" w:rsidP="00F62B2D">
      <w:pPr>
        <w:spacing w:line="360" w:lineRule="auto"/>
        <w:ind w:firstLine="720"/>
        <w:jc w:val="both"/>
        <w:rPr>
          <w:rFonts w:cs="Times New Roman"/>
        </w:rPr>
      </w:pPr>
      <w:r w:rsidRPr="00D63B51">
        <w:rPr>
          <w:rFonts w:cs="Times New Roman"/>
        </w:rPr>
        <w:t xml:space="preserve">Transferee judges in mass-tort MDLs have recognized this organic informal leadership and typically have directed the parties to seek a consensus on their own and report on the most important case-management topics </w:t>
      </w:r>
      <w:r w:rsidRPr="00D63B51">
        <w:rPr>
          <w:rFonts w:cs="Times New Roman"/>
          <w:i/>
          <w:iCs/>
        </w:rPr>
        <w:t>(i.e.,</w:t>
      </w:r>
      <w:r w:rsidRPr="00D63B51">
        <w:rPr>
          <w:rFonts w:cs="Times New Roman"/>
        </w:rPr>
        <w:t xml:space="preserve"> “the needs of the particular litigation”) at the initial-management conference. This is the most common and effective method of seeking guidance from the parties on how the MDL should proceed and for good reason – the parties to the litigation will have distinctive views on the key issues and ways to proceed. By allowing the parties to seek and present their consensus views on the most important case-management topics on their own, the court increases the likelihood that it will receive balanced, unbiased input from everyone involved in the litigation, while at the same time ensuring that the most important needs of the litigation are flagged early on by those lawyers that have been most involved thus far. </w:t>
      </w:r>
    </w:p>
    <w:p w14:paraId="4CD037FD" w14:textId="77777777" w:rsidR="00F62B2D" w:rsidRPr="00D63B51" w:rsidRDefault="00F62B2D" w:rsidP="00F62B2D">
      <w:pPr>
        <w:spacing w:line="360" w:lineRule="auto"/>
        <w:ind w:firstLine="720"/>
        <w:jc w:val="both"/>
        <w:rPr>
          <w:rFonts w:cs="Times New Roman"/>
        </w:rPr>
      </w:pPr>
      <w:r w:rsidRPr="00D63B51">
        <w:rPr>
          <w:rFonts w:cs="Times New Roman"/>
        </w:rPr>
        <w:t>Unless extraordinary circumstances exist, t</w:t>
      </w:r>
      <w:r w:rsidRPr="00D63B51">
        <w:rPr>
          <w:rFonts w:cs="Times New Roman"/>
          <w:kern w:val="2"/>
          <w14:ligatures w14:val="standardContextual"/>
        </w:rPr>
        <w:t>he judge i</w:t>
      </w:r>
      <w:r w:rsidRPr="00D63B51">
        <w:rPr>
          <w:rFonts w:cs="Times New Roman"/>
        </w:rPr>
        <w:t xml:space="preserve">n a mass-tort MDL </w:t>
      </w:r>
      <w:r w:rsidRPr="00D63B51">
        <w:rPr>
          <w:rFonts w:cs="Times New Roman"/>
          <w:kern w:val="2"/>
          <w14:ligatures w14:val="standardContextual"/>
        </w:rPr>
        <w:t>should order the parties to meet and develop a consensus on the matters and be prepared to discuss and answer any questions at the initial-management conference.  If the judge orders the parties to submit a report, it should be a single report, but it may reflect the parties’ divergent views on these matters.</w:t>
      </w:r>
      <w:r w:rsidRPr="00D63B51">
        <w:rPr>
          <w:rStyle w:val="FootnoteReference"/>
        </w:rPr>
        <w:footnoteReference w:id="52"/>
      </w:r>
      <w:r w:rsidRPr="00D63B51">
        <w:t xml:space="preserve"> </w:t>
      </w:r>
      <w:r w:rsidRPr="00D63B51">
        <w:rPr>
          <w:rFonts w:cs="Times New Roman"/>
          <w:kern w:val="2"/>
          <w14:ligatures w14:val="standardContextual"/>
        </w:rPr>
        <w:t xml:space="preserve"> </w:t>
      </w:r>
      <w:r w:rsidRPr="00D63B51">
        <w:rPr>
          <w:rFonts w:cs="Times New Roman"/>
        </w:rPr>
        <w:lastRenderedPageBreak/>
        <w:t xml:space="preserve">Although Rule 16.1 is couched largely in discretionary terms, once the court orders the parties to submit a report, the parties must address every topic listed in the rule, unless the court specifically orders otherwise.   </w:t>
      </w:r>
    </w:p>
    <w:p w14:paraId="6B00BEF9" w14:textId="77777777" w:rsidR="00F62B2D" w:rsidRPr="00D63B51" w:rsidRDefault="00F62B2D" w:rsidP="00F62B2D">
      <w:pPr>
        <w:pStyle w:val="NoSpacing"/>
        <w:ind w:left="720" w:right="720"/>
        <w:jc w:val="both"/>
      </w:pPr>
      <w:r w:rsidRPr="00D63B51">
        <w:rPr>
          <w:b/>
          <w:bCs/>
        </w:rPr>
        <w:t xml:space="preserve">Best Practice </w:t>
      </w:r>
      <w:r w:rsidRPr="00D63B51">
        <w:rPr>
          <w:rFonts w:cs="Times New Roman"/>
          <w:b/>
          <w:bCs/>
          <w:szCs w:val="24"/>
        </w:rPr>
        <w:t>MDL-§ 4</w:t>
      </w:r>
      <w:r w:rsidRPr="00D63B51">
        <w:rPr>
          <w:b/>
          <w:bCs/>
        </w:rPr>
        <w:t>(a)(i):</w:t>
      </w:r>
      <w:r w:rsidRPr="00D63B51">
        <w:t xml:space="preserve"> The transferee judge in a mass-tort MDL may consider designating a single attorney to act on behalf of the parties who have similar interests, but which are inconsistent with the report, and allow them to submit a separate report. Permanent No. </w:t>
      </w:r>
      <w:r w:rsidRPr="00D63B51">
        <w:rPr>
          <w:rFonts w:cs="Times New Roman"/>
          <w:szCs w:val="24"/>
        </w:rPr>
        <w:t>MDL-§ 11</w:t>
      </w:r>
      <w:r w:rsidRPr="00D63B51">
        <w:t>(a)(i).</w:t>
      </w:r>
    </w:p>
    <w:p w14:paraId="16AB3D09" w14:textId="77777777" w:rsidR="00F62B2D" w:rsidRPr="00D63B51" w:rsidRDefault="00F62B2D" w:rsidP="00F62B2D">
      <w:pPr>
        <w:pStyle w:val="NoSpacing"/>
        <w:ind w:left="720" w:right="720"/>
        <w:jc w:val="both"/>
        <w:rPr>
          <w:rFonts w:cs="Times New Roman"/>
          <w:szCs w:val="24"/>
        </w:rPr>
      </w:pPr>
    </w:p>
    <w:p w14:paraId="42514F5F"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To balance the importance of having all parties’ interests heard with the inefficiencies that would inevitably result if every party discussed their proposed topics at the initial-management conference, a court may direct parties with similar interests, which are inconsistent with the submitted report, to agree on a single attorney to act on their joint behalf and discuss their proposed case-management topics at the conference.</w:t>
      </w:r>
      <w:r w:rsidRPr="00D63B51">
        <w:rPr>
          <w:rStyle w:val="FootnoteReference"/>
          <w:rFonts w:cs="Times New Roman"/>
          <w:szCs w:val="24"/>
        </w:rPr>
        <w:footnoteReference w:id="53"/>
      </w:r>
      <w:r w:rsidRPr="00D63B51">
        <w:rPr>
          <w:rFonts w:cs="Times New Roman"/>
          <w:szCs w:val="24"/>
        </w:rPr>
        <w:t xml:space="preserve"> </w:t>
      </w:r>
    </w:p>
    <w:p w14:paraId="445EC5D4" w14:textId="77777777" w:rsidR="00F62B2D" w:rsidRPr="00D63B51" w:rsidRDefault="00F62B2D" w:rsidP="00F62B2D">
      <w:pPr>
        <w:pStyle w:val="NoSpacing"/>
        <w:ind w:left="720" w:right="720"/>
        <w:jc w:val="both"/>
      </w:pPr>
      <w:r w:rsidRPr="00D63B51">
        <w:rPr>
          <w:b/>
          <w:bCs/>
        </w:rPr>
        <w:t xml:space="preserve">Best Practice </w:t>
      </w:r>
      <w:r w:rsidRPr="00D63B51">
        <w:rPr>
          <w:rFonts w:cs="Times New Roman"/>
          <w:b/>
          <w:bCs/>
          <w:szCs w:val="24"/>
        </w:rPr>
        <w:t>MDL-§ 4</w:t>
      </w:r>
      <w:r w:rsidRPr="00D63B51">
        <w:rPr>
          <w:b/>
          <w:bCs/>
        </w:rPr>
        <w:t>(a)(ii):</w:t>
      </w:r>
      <w:r w:rsidRPr="00D63B51">
        <w:t xml:space="preserve"> If the transferee judge designates an individual lawyer to consult with the parties and submit a report on their behalf, it should recognize the concerns raised by such designations.  Permanent No. </w:t>
      </w:r>
      <w:r w:rsidRPr="00D63B51">
        <w:rPr>
          <w:rFonts w:cs="Times New Roman"/>
          <w:szCs w:val="24"/>
        </w:rPr>
        <w:t>MDL-§ 11</w:t>
      </w:r>
      <w:r w:rsidRPr="00D63B51">
        <w:t>(a)(ii).</w:t>
      </w:r>
    </w:p>
    <w:p w14:paraId="02D83973" w14:textId="77777777" w:rsidR="00F62B2D" w:rsidRPr="00D63B51" w:rsidRDefault="00F62B2D" w:rsidP="00F62B2D">
      <w:pPr>
        <w:pStyle w:val="NoSpacing"/>
      </w:pPr>
    </w:p>
    <w:p w14:paraId="3C20A5AD" w14:textId="77777777" w:rsidR="00F62B2D" w:rsidRPr="00D63B51" w:rsidRDefault="00F62B2D" w:rsidP="00F62B2D">
      <w:pPr>
        <w:spacing w:line="360" w:lineRule="auto"/>
        <w:ind w:firstLine="720"/>
        <w:jc w:val="both"/>
        <w:rPr>
          <w:rFonts w:cs="Times New Roman"/>
        </w:rPr>
      </w:pPr>
      <w:r w:rsidRPr="00D63B51">
        <w:rPr>
          <w:rFonts w:cs="Times New Roman"/>
        </w:rPr>
        <w:t>Several transferee courts have designated an individual attorney to work with the parties in preparing and submitting a report on their behalf at the initial-management conference. Such a practice can provide a practical and efficient means of bringing together disparate views of many lawyers in a single document.  But designating a specific attorney to consult with the parties and submit a consensus document can raise questions about affording unfair advantages to the selected individual when appointing leadership positions.</w:t>
      </w:r>
      <w:r w:rsidRPr="00D63B51">
        <w:rPr>
          <w:rStyle w:val="FootnoteReference"/>
          <w:rFonts w:cs="Times New Roman"/>
        </w:rPr>
        <w:footnoteReference w:id="54"/>
      </w:r>
      <w:r w:rsidRPr="00D63B51">
        <w:rPr>
          <w:rFonts w:cs="Times New Roman"/>
        </w:rPr>
        <w:t xml:space="preserve"> Although the designated attorney is typically qualified and well-versed in MDL practice and procedure, the parties are in the best position to understand the nuances of the case-management issues, and their concerns and views may get muddled or lost in the translation.  </w:t>
      </w:r>
    </w:p>
    <w:p w14:paraId="4B80C0D4" w14:textId="77777777" w:rsidR="00F62B2D" w:rsidRPr="00D63B51" w:rsidRDefault="00F62B2D" w:rsidP="00F62B2D">
      <w:pPr>
        <w:spacing w:line="360" w:lineRule="auto"/>
        <w:ind w:firstLine="720"/>
        <w:jc w:val="both"/>
        <w:rPr>
          <w:rFonts w:cs="Times New Roman"/>
        </w:rPr>
      </w:pPr>
      <w:r w:rsidRPr="00D63B51">
        <w:rPr>
          <w:rFonts w:cs="Times New Roman"/>
        </w:rPr>
        <w:t xml:space="preserve">The court should be alert to concerns that such appointments may turn into permanent-leadership appointments without full vetting.  To the extent that this concern is acknowledged, the </w:t>
      </w:r>
      <w:r w:rsidRPr="00D63B51">
        <w:rPr>
          <w:rFonts w:cs="Times New Roman"/>
        </w:rPr>
        <w:lastRenderedPageBreak/>
        <w:t>court should make clear that the status of the appointment is temporary and limited to the administrative assignment.   Alternatively, several courts have designated a special master.</w:t>
      </w:r>
      <w:r w:rsidRPr="00D63B51">
        <w:rPr>
          <w:rStyle w:val="FootnoteReference"/>
          <w:rFonts w:cs="Times New Roman"/>
        </w:rPr>
        <w:footnoteReference w:id="55"/>
      </w:r>
      <w:r w:rsidRPr="00D63B51">
        <w:rPr>
          <w:rFonts w:cs="Times New Roman"/>
        </w:rPr>
        <w:t xml:space="preserve">  </w:t>
      </w:r>
    </w:p>
    <w:p w14:paraId="257273D6" w14:textId="5828F7E3" w:rsidR="00F62B2D" w:rsidRPr="00D63B51" w:rsidRDefault="00F62B2D" w:rsidP="00A32A42">
      <w:pPr>
        <w:pStyle w:val="NoSpacing"/>
        <w:jc w:val="both"/>
      </w:pPr>
      <w:r w:rsidRPr="00D63B51">
        <w:rPr>
          <w:b/>
          <w:bCs/>
          <w:u w:val="single"/>
        </w:rPr>
        <w:t xml:space="preserve">GUIDELINE </w:t>
      </w:r>
      <w:r w:rsidRPr="00D63B51">
        <w:rPr>
          <w:rFonts w:cs="Times New Roman"/>
          <w:b/>
          <w:bCs/>
          <w:szCs w:val="24"/>
          <w:u w:val="single"/>
        </w:rPr>
        <w:t>MDL-§ 5</w:t>
      </w:r>
      <w:r w:rsidRPr="00D63B51">
        <w:t xml:space="preserve">: </w:t>
      </w:r>
      <w:r w:rsidRPr="00D63B51">
        <w:rPr>
          <w:rFonts w:cs="Times New Roman"/>
          <w:kern w:val="2"/>
          <w:szCs w:val="24"/>
          <w14:ligatures w14:val="standardContextual"/>
        </w:rPr>
        <w:t xml:space="preserve">The germaneness and urgency to </w:t>
      </w:r>
      <w:r w:rsidR="004F1F8B" w:rsidRPr="00D63B51">
        <w:rPr>
          <w:rFonts w:cs="Times New Roman"/>
          <w:kern w:val="2"/>
          <w:szCs w:val="24"/>
          <w14:ligatures w14:val="standardContextual"/>
        </w:rPr>
        <w:t>address and</w:t>
      </w:r>
      <w:r w:rsidRPr="00D63B51">
        <w:rPr>
          <w:rFonts w:cs="Times New Roman"/>
          <w:kern w:val="2"/>
          <w:szCs w:val="24"/>
          <w14:ligatures w14:val="standardContextual"/>
        </w:rPr>
        <w:t xml:space="preserve"> suggest procedures regarding individual topics at the initial-management conference will depend on the nature and size of the MDL, the judge’s and parties’ familiarity with MDL practices and procedures, and the importance and necessity of input from leadership counsel, who often have not yet been appointed. </w:t>
      </w:r>
      <w:r w:rsidRPr="00D63B51">
        <w:t xml:space="preserve"> Permanent No. </w:t>
      </w:r>
      <w:r w:rsidRPr="00D63B51">
        <w:rPr>
          <w:rFonts w:cs="Times New Roman"/>
          <w:szCs w:val="24"/>
        </w:rPr>
        <w:t>MDL-§ 12.</w:t>
      </w:r>
    </w:p>
    <w:p w14:paraId="32D2A505" w14:textId="77777777" w:rsidR="00F62B2D" w:rsidRPr="00D63B51" w:rsidRDefault="00F62B2D" w:rsidP="00F62B2D">
      <w:pPr>
        <w:pStyle w:val="NoSpacing"/>
        <w:ind w:left="720" w:right="720"/>
        <w:jc w:val="both"/>
      </w:pPr>
    </w:p>
    <w:p w14:paraId="56118735" w14:textId="77777777" w:rsidR="00F62B2D" w:rsidRPr="00D63B51" w:rsidRDefault="00F62B2D" w:rsidP="00F62B2D">
      <w:pPr>
        <w:spacing w:line="360" w:lineRule="auto"/>
        <w:ind w:firstLine="720"/>
        <w:jc w:val="both"/>
        <w:rPr>
          <w:rFonts w:cs="Times New Roman"/>
        </w:rPr>
      </w:pPr>
      <w:r w:rsidRPr="00D63B51">
        <w:rPr>
          <w:rFonts w:cs="Times New Roman"/>
        </w:rPr>
        <w:t xml:space="preserve">A transferee judge is immediately faced with a barrage of case-management decisions, some of which are more urgent than others.  The judge must promptly make many early case-management decisions that will drive and affect how the litigation will be managed for years.  </w:t>
      </w:r>
    </w:p>
    <w:p w14:paraId="797CE6A6" w14:textId="77777777" w:rsidR="00F62B2D" w:rsidRPr="00D63B51" w:rsidRDefault="00F62B2D" w:rsidP="00F62B2D">
      <w:pPr>
        <w:spacing w:line="360" w:lineRule="auto"/>
        <w:ind w:firstLine="720"/>
        <w:jc w:val="both"/>
        <w:rPr>
          <w:rFonts w:cs="Times New Roman"/>
        </w:rPr>
      </w:pPr>
      <w:r w:rsidRPr="00D63B51">
        <w:rPr>
          <w:rFonts w:cs="Times New Roman"/>
        </w:rPr>
        <w:t xml:space="preserve">The judge is often in a good position to act on some case-management matters based on their own experience, but for other case-management matters, the judge relies heavily on input from the lawyers, not only addressing specific matters but also assuring that every significant matter has been raised and considered. The insights of lawyers, particularly experienced MDL practitioners, or those with experience with a specialized area of law, can provide invaluable help in planning effective management of the litigation and identifying matters that bear a sense of urgency, which require priority consideration at the initial-management conference. </w:t>
      </w:r>
    </w:p>
    <w:p w14:paraId="47A96BCF" w14:textId="77777777" w:rsidR="00F62B2D" w:rsidRPr="00D63B51" w:rsidRDefault="00F62B2D" w:rsidP="00F62B2D">
      <w:pPr>
        <w:pStyle w:val="NoSpacing"/>
        <w:ind w:left="720" w:right="720"/>
        <w:jc w:val="both"/>
      </w:pPr>
      <w:bookmarkStart w:id="9" w:name="_Hlk121325189"/>
      <w:r w:rsidRPr="00D63B51">
        <w:rPr>
          <w:b/>
          <w:bCs/>
        </w:rPr>
        <w:t xml:space="preserve">Best Practice </w:t>
      </w:r>
      <w:r w:rsidRPr="00D63B51">
        <w:rPr>
          <w:rFonts w:cs="Times New Roman"/>
          <w:b/>
          <w:bCs/>
          <w:szCs w:val="24"/>
        </w:rPr>
        <w:t>MDL-§ 5</w:t>
      </w:r>
      <w:r w:rsidRPr="00D63B51">
        <w:rPr>
          <w:b/>
          <w:bCs/>
        </w:rPr>
        <w:t>(a):</w:t>
      </w:r>
      <w:r w:rsidRPr="00D63B51">
        <w:t xml:space="preserve"> The transferee judge should carefully review the topics listed in Rule 16.1(b) and designate those that the parties need not address in their report to the court.  Permanent No. </w:t>
      </w:r>
      <w:r w:rsidRPr="00D63B51">
        <w:rPr>
          <w:rFonts w:cs="Times New Roman"/>
          <w:szCs w:val="24"/>
        </w:rPr>
        <w:t>MDL-§ 12</w:t>
      </w:r>
      <w:r w:rsidRPr="00D63B51">
        <w:t>(a).</w:t>
      </w:r>
    </w:p>
    <w:p w14:paraId="4999C7A1" w14:textId="77777777" w:rsidR="00F62B2D" w:rsidRPr="00D63B51" w:rsidRDefault="00F62B2D" w:rsidP="00F62B2D">
      <w:pPr>
        <w:pStyle w:val="NoSpacing"/>
        <w:ind w:left="720" w:right="720"/>
        <w:jc w:val="both"/>
      </w:pPr>
    </w:p>
    <w:p w14:paraId="2B8C46C1" w14:textId="77777777" w:rsidR="00F62B2D" w:rsidRPr="00D63B51" w:rsidRDefault="00F62B2D" w:rsidP="00F62B2D">
      <w:pPr>
        <w:spacing w:line="360" w:lineRule="auto"/>
        <w:ind w:firstLine="720"/>
        <w:jc w:val="both"/>
        <w:rPr>
          <w:rFonts w:cs="Times New Roman"/>
        </w:rPr>
      </w:pPr>
      <w:r w:rsidRPr="00D63B51">
        <w:rPr>
          <w:rFonts w:cs="Times New Roman"/>
        </w:rPr>
        <w:t xml:space="preserve">The court sets the agenda for the initial-management conference in its scheduling order.  If the court orders a report for the initial-management conference, the parties must address every topic listed in Rule 16.1(b)(2) and (3), unless the court orders otherwise. Importantly, Rule 16.1(b)(4) is a catch-all provision, which provides the parties an opportunity to raise matters not listed in the rule. </w:t>
      </w:r>
    </w:p>
    <w:p w14:paraId="3F8316BB" w14:textId="77777777" w:rsidR="00F62B2D" w:rsidRPr="00D63B51" w:rsidRDefault="00F62B2D" w:rsidP="00F62B2D">
      <w:pPr>
        <w:spacing w:line="360" w:lineRule="auto"/>
        <w:ind w:firstLine="720"/>
        <w:jc w:val="both"/>
        <w:rPr>
          <w:rFonts w:cs="Times New Roman"/>
        </w:rPr>
      </w:pPr>
      <w:r w:rsidRPr="00D63B51">
        <w:rPr>
          <w:rFonts w:cs="Times New Roman"/>
        </w:rPr>
        <w:t>Not every topic listed in Rule 16.1(b)(2) and (3) may be pertinent under the circumstances, particularly for MDLs involving fewer than 100 actions.  Recognizing that the initial-management conference “should be shaped by the needs of the particular litigation,”</w:t>
      </w:r>
      <w:r w:rsidRPr="00D63B51">
        <w:rPr>
          <w:rStyle w:val="FootnoteReference"/>
          <w:rFonts w:cs="Times New Roman"/>
        </w:rPr>
        <w:footnoteReference w:id="56"/>
      </w:r>
      <w:r w:rsidRPr="00D63B51">
        <w:rPr>
          <w:rFonts w:cs="Times New Roman"/>
        </w:rPr>
        <w:t xml:space="preserve"> the judge should either identify specific topics listed in the rule that need not be addressed or advise counsel that a brief </w:t>
      </w:r>
      <w:r w:rsidRPr="00D63B51">
        <w:rPr>
          <w:rFonts w:cs="Times New Roman"/>
        </w:rPr>
        <w:lastRenderedPageBreak/>
        <w:t xml:space="preserve">notation in the report would be satisfactory, </w:t>
      </w:r>
      <w:r w:rsidRPr="00D63B51">
        <w:rPr>
          <w:rFonts w:cs="Times New Roman"/>
          <w:i/>
          <w:iCs/>
        </w:rPr>
        <w:t>e.g</w:t>
      </w:r>
      <w:r w:rsidRPr="00D63B51">
        <w:rPr>
          <w:rFonts w:cs="Times New Roman"/>
        </w:rPr>
        <w:t>., “not applicable.” If a topic has little relevance, there is no need to impose an unnecessary burden on counsel.</w:t>
      </w:r>
      <w:r w:rsidRPr="00D63B51">
        <w:rPr>
          <w:rStyle w:val="FootnoteReference"/>
          <w:rFonts w:cs="Times New Roman"/>
        </w:rPr>
        <w:footnoteReference w:id="57"/>
      </w:r>
    </w:p>
    <w:p w14:paraId="230BDBC0" w14:textId="25A30912" w:rsidR="00F62B2D" w:rsidRPr="00D63B51" w:rsidRDefault="00F62B2D" w:rsidP="00A32A42">
      <w:pPr>
        <w:pStyle w:val="NoSpacing"/>
        <w:jc w:val="both"/>
        <w:rPr>
          <w:rFonts w:cs="Times New Roman"/>
          <w:szCs w:val="24"/>
        </w:rPr>
      </w:pPr>
      <w:r w:rsidRPr="00D63B51">
        <w:rPr>
          <w:b/>
          <w:bCs/>
          <w:u w:val="single"/>
        </w:rPr>
        <w:t xml:space="preserve">GUIDELINE </w:t>
      </w:r>
      <w:r w:rsidRPr="00D63B51">
        <w:rPr>
          <w:rFonts w:cs="Times New Roman"/>
          <w:b/>
          <w:bCs/>
          <w:szCs w:val="24"/>
          <w:u w:val="single"/>
        </w:rPr>
        <w:t>MDL-§ 6</w:t>
      </w:r>
      <w:r w:rsidRPr="00D63B51">
        <w:t xml:space="preserve">: </w:t>
      </w:r>
      <w:r w:rsidRPr="00D63B51">
        <w:rPr>
          <w:rFonts w:cs="Times New Roman"/>
          <w:szCs w:val="24"/>
        </w:rPr>
        <w:t>Rule 16.1(b)(2) and (3) enumerate specific topics that the parties must address in the report at the initial-management conference</w:t>
      </w:r>
      <w:r w:rsidRPr="00D63B51">
        <w:t xml:space="preserve"> by commenting on</w:t>
      </w:r>
      <w:r w:rsidR="00496078" w:rsidRPr="00D63B51">
        <w:t xml:space="preserve"> </w:t>
      </w:r>
      <w:r w:rsidRPr="00D63B51">
        <w:t xml:space="preserve">and suggesting procedures that will facilitate the expeditious, economical, and just resolution of the litigation.  Permanent No. </w:t>
      </w:r>
      <w:r w:rsidRPr="00D63B51">
        <w:rPr>
          <w:rFonts w:cs="Times New Roman"/>
          <w:szCs w:val="24"/>
        </w:rPr>
        <w:t>MDL-§ 13.</w:t>
      </w:r>
      <w:r w:rsidRPr="00D63B51">
        <w:t xml:space="preserve"> </w:t>
      </w:r>
    </w:p>
    <w:p w14:paraId="18FA2A19" w14:textId="77777777" w:rsidR="00F62B2D" w:rsidRPr="00D63B51" w:rsidRDefault="00F62B2D" w:rsidP="00F62B2D">
      <w:pPr>
        <w:pStyle w:val="NoSpacing"/>
        <w:ind w:left="720" w:right="720"/>
        <w:jc w:val="both"/>
      </w:pPr>
    </w:p>
    <w:p w14:paraId="502DB049" w14:textId="0B81A287" w:rsidR="00F62B2D" w:rsidRPr="00D63B51" w:rsidRDefault="00F62B2D" w:rsidP="00F62B2D">
      <w:pPr>
        <w:spacing w:line="360" w:lineRule="auto"/>
        <w:ind w:firstLine="720"/>
        <w:jc w:val="both"/>
        <w:rPr>
          <w:rFonts w:cs="Times New Roman"/>
        </w:rPr>
      </w:pPr>
      <w:r w:rsidRPr="00D63B51">
        <w:rPr>
          <w:rFonts w:cs="Times New Roman"/>
        </w:rPr>
        <w:t xml:space="preserve">Rule 16.1(b)(2) and (3) enumerate specific topics that the parties must address in the report at the initial-management conference. The rule groups topics into two subdivisions. The topics raised in Rule 16.1(b)(2) can be meaningfully addressed at the initial-management conference even though leadership has often not been appointed. On the other hand, the topics raised in Rule 16.1(b)(3) are to be considered </w:t>
      </w:r>
      <w:r w:rsidR="00E31ACF" w:rsidRPr="00D63B51">
        <w:rPr>
          <w:rFonts w:cs="Times New Roman"/>
        </w:rPr>
        <w:t xml:space="preserve">only </w:t>
      </w:r>
      <w:r w:rsidRPr="00D63B51">
        <w:rPr>
          <w:rFonts w:cs="Times New Roman"/>
        </w:rPr>
        <w:t>for preliminary</w:t>
      </w:r>
      <w:r w:rsidR="00E31ACF" w:rsidRPr="00D63B51">
        <w:rPr>
          <w:rFonts w:cs="Times New Roman"/>
        </w:rPr>
        <w:t>-</w:t>
      </w:r>
      <w:r w:rsidRPr="00D63B51">
        <w:rPr>
          <w:rFonts w:cs="Times New Roman"/>
        </w:rPr>
        <w:t>planning purposes, because any final decisions on suggested procedures cannot be meaningfully made as a practical matter until leadership has been appointed, typically 30-60 days after the initial-management conference.</w:t>
      </w:r>
      <w:r w:rsidRPr="00D63B51">
        <w:rPr>
          <w:rStyle w:val="FootnoteReference"/>
          <w:rFonts w:cs="Times New Roman"/>
        </w:rPr>
        <w:footnoteReference w:id="58"/>
      </w:r>
      <w:r w:rsidRPr="00D63B51">
        <w:rPr>
          <w:rFonts w:cs="Times New Roman"/>
        </w:rPr>
        <w:t xml:space="preserve"> The categorizations recognize that any decision on topics under (b)(3) are likely to be revisited and changed by leadership counsel.  </w:t>
      </w:r>
    </w:p>
    <w:p w14:paraId="03D0CAFF" w14:textId="77777777" w:rsidR="00F62B2D" w:rsidRPr="00D63B51" w:rsidRDefault="00F62B2D" w:rsidP="00F62B2D">
      <w:pPr>
        <w:spacing w:line="360" w:lineRule="auto"/>
        <w:ind w:firstLine="720"/>
        <w:jc w:val="both"/>
        <w:rPr>
          <w:rFonts w:cs="Times New Roman"/>
        </w:rPr>
      </w:pPr>
      <w:r w:rsidRPr="00D63B51">
        <w:rPr>
          <w:rFonts w:cs="Times New Roman"/>
        </w:rPr>
        <w:t xml:space="preserve">Rule 16.1(b)(4) also contains a catch-all provision, which permits the parties to “include any other matter that the parties wish to bring to the court’s attention.”   </w:t>
      </w:r>
    </w:p>
    <w:p w14:paraId="7C085061" w14:textId="305954AE" w:rsidR="00F62B2D" w:rsidRPr="00D63B51" w:rsidRDefault="00F62B2D" w:rsidP="00F62B2D">
      <w:pPr>
        <w:spacing w:line="360" w:lineRule="auto"/>
        <w:ind w:firstLine="720"/>
        <w:jc w:val="both"/>
      </w:pPr>
      <w:r w:rsidRPr="00D63B51">
        <w:rPr>
          <w:rFonts w:cs="Times New Roman"/>
        </w:rPr>
        <w:t xml:space="preserve">Before the promulgation of Rule 16.1, most courts directed lawyers to address and suggest procedures regarding the case-management topics listed in the </w:t>
      </w:r>
      <w:r w:rsidRPr="00D63B51">
        <w:rPr>
          <w:rFonts w:cs="Times New Roman"/>
          <w:smallCaps/>
        </w:rPr>
        <w:t>Manual for Complex Litigation</w:t>
      </w:r>
      <w:r w:rsidRPr="00D63B51">
        <w:rPr>
          <w:rFonts w:cs="Times New Roman"/>
        </w:rPr>
        <w:t xml:space="preserve"> § 22.6 </w:t>
      </w:r>
      <w:r w:rsidRPr="00D63B51">
        <w:rPr>
          <w:rFonts w:cs="Times New Roman"/>
          <w:i/>
          <w:iCs/>
        </w:rPr>
        <w:t>et. seq</w:t>
      </w:r>
      <w:r w:rsidRPr="00D63B51">
        <w:rPr>
          <w:rFonts w:cs="Times New Roman"/>
        </w:rPr>
        <w:t xml:space="preserve">., while others referred to the </w:t>
      </w:r>
      <w:r w:rsidRPr="00D63B51">
        <w:rPr>
          <w:rFonts w:cs="Times New Roman"/>
          <w:smallCaps/>
        </w:rPr>
        <w:t>Manual’s</w:t>
      </w:r>
      <w:r w:rsidRPr="00D63B51">
        <w:rPr>
          <w:rFonts w:cs="Times New Roman"/>
        </w:rPr>
        <w:t xml:space="preserve"> § 11.2 </w:t>
      </w:r>
      <w:r w:rsidRPr="00D63B51">
        <w:rPr>
          <w:rFonts w:cs="Times New Roman"/>
          <w:i/>
          <w:iCs/>
        </w:rPr>
        <w:t>et. seq</w:t>
      </w:r>
      <w:r w:rsidRPr="00D63B51">
        <w:rPr>
          <w:rFonts w:cs="Times New Roman"/>
        </w:rPr>
        <w:t xml:space="preserve">., still others referred to topics listed in </w:t>
      </w:r>
      <w:r w:rsidR="009C473E" w:rsidRPr="00D63B51">
        <w:rPr>
          <w:rFonts w:cs="Times New Roman"/>
        </w:rPr>
        <w:t>FED. R. CIV. P.</w:t>
      </w:r>
      <w:r w:rsidRPr="00D63B51">
        <w:rPr>
          <w:rFonts w:cs="Times New Roman"/>
        </w:rPr>
        <w:t xml:space="preserve"> 16(a), (b), and (c), or combinations.</w:t>
      </w:r>
      <w:r w:rsidRPr="00D63B51">
        <w:rPr>
          <w:rStyle w:val="FootnoteReference"/>
          <w:rFonts w:cs="Times New Roman"/>
        </w:rPr>
        <w:footnoteReference w:id="59"/>
      </w:r>
      <w:r w:rsidRPr="00D63B51">
        <w:rPr>
          <w:rFonts w:cs="Times New Roman"/>
        </w:rPr>
        <w:t xml:space="preserve">  In total, more than 35 case-</w:t>
      </w:r>
      <w:r w:rsidRPr="00D63B51">
        <w:rPr>
          <w:rFonts w:cs="Times New Roman"/>
        </w:rPr>
        <w:lastRenderedPageBreak/>
        <w:t>management topics were specified with some overlap.</w:t>
      </w:r>
      <w:r w:rsidRPr="00D63B51">
        <w:rPr>
          <w:rStyle w:val="FootnoteReference"/>
          <w:rFonts w:cs="Times New Roman"/>
        </w:rPr>
        <w:footnoteReference w:id="60"/>
      </w:r>
      <w:r w:rsidRPr="00D63B51">
        <w:rPr>
          <w:rFonts w:cs="Times New Roman"/>
        </w:rPr>
        <w:t xml:space="preserve">   Individual courts also issued orders requiring the parties to address specific enumerated topics at the initial-management conference, a practice that likely will continue after Rule 16.1 takes effect.  Many of these topics, though not listed in Rule 16.1, are relevant and several can be critical in individual mass-tort MDLs.</w:t>
      </w:r>
      <w:r w:rsidRPr="00D63B51">
        <w:rPr>
          <w:rStyle w:val="FootnoteReference"/>
          <w:rFonts w:cs="Times New Roman"/>
        </w:rPr>
        <w:footnoteReference w:id="61"/>
      </w:r>
      <w:r w:rsidRPr="00D63B51">
        <w:rPr>
          <w:rFonts w:cs="Times New Roman"/>
        </w:rPr>
        <w:t xml:space="preserve">  </w:t>
      </w:r>
    </w:p>
    <w:p w14:paraId="66009ED5" w14:textId="77777777" w:rsidR="00F62B2D" w:rsidRPr="00D63B51" w:rsidRDefault="00F62B2D" w:rsidP="00A32A42">
      <w:pPr>
        <w:pStyle w:val="NoSpacing"/>
        <w:jc w:val="both"/>
        <w:rPr>
          <w:rFonts w:cs="Times New Roman"/>
          <w:szCs w:val="24"/>
        </w:rPr>
      </w:pPr>
      <w:r w:rsidRPr="00D63B51">
        <w:rPr>
          <w:b/>
          <w:bCs/>
          <w:u w:val="single"/>
        </w:rPr>
        <w:t xml:space="preserve">GUIDELINE </w:t>
      </w:r>
      <w:r w:rsidRPr="00D63B51">
        <w:rPr>
          <w:rFonts w:cs="Times New Roman"/>
          <w:b/>
          <w:bCs/>
          <w:szCs w:val="24"/>
          <w:u w:val="single"/>
        </w:rPr>
        <w:t>MDL-§ 7</w:t>
      </w:r>
      <w:r w:rsidRPr="00D63B51">
        <w:rPr>
          <w:rFonts w:cs="Times New Roman"/>
          <w:b/>
          <w:bCs/>
          <w:szCs w:val="24"/>
        </w:rPr>
        <w:t xml:space="preserve">: </w:t>
      </w:r>
      <w:r w:rsidRPr="00D63B51">
        <w:rPr>
          <w:rFonts w:cs="Times New Roman"/>
          <w:szCs w:val="24"/>
        </w:rPr>
        <w:t>Rule 16.1(b)(2)(A)</w:t>
      </w:r>
      <w:r w:rsidRPr="00D63B51">
        <w:t xml:space="preserve"> enumerates agenda topics that parties must address their views on in the report at the initial-management conference, unless the court orders otherwise, even if leadership counsel has not yet been appointed.  Permanent No. </w:t>
      </w:r>
      <w:r w:rsidRPr="00D63B51">
        <w:rPr>
          <w:rFonts w:cs="Times New Roman"/>
          <w:szCs w:val="24"/>
        </w:rPr>
        <w:t>MDL-§ 14.</w:t>
      </w:r>
    </w:p>
    <w:p w14:paraId="40DA4C7D" w14:textId="77777777" w:rsidR="00F62B2D" w:rsidRPr="00D63B51" w:rsidRDefault="00F62B2D" w:rsidP="00F62B2D">
      <w:pPr>
        <w:pStyle w:val="NoSpacing"/>
        <w:ind w:left="720" w:right="720"/>
        <w:jc w:val="both"/>
        <w:rPr>
          <w:b/>
          <w:bCs/>
        </w:rPr>
      </w:pPr>
    </w:p>
    <w:bookmarkEnd w:id="9"/>
    <w:p w14:paraId="11B51B99" w14:textId="77777777" w:rsidR="00F62B2D" w:rsidRPr="00D63B51" w:rsidRDefault="00F62B2D" w:rsidP="00F62B2D">
      <w:pPr>
        <w:spacing w:line="360" w:lineRule="auto"/>
        <w:ind w:firstLine="720"/>
        <w:jc w:val="both"/>
        <w:rPr>
          <w:rFonts w:cs="Times New Roman"/>
          <w:kern w:val="2"/>
          <w14:ligatures w14:val="standardContextual"/>
        </w:rPr>
      </w:pPr>
      <w:r w:rsidRPr="00D63B51">
        <w:rPr>
          <w:rFonts w:cs="Times New Roman"/>
        </w:rPr>
        <w:t xml:space="preserve">The parties must address the matters identified in Rule 16.1(b)(2) in the report to the court unless the court orders otherwise.  The rule recognizes that these matters can be meaningfully addressed and suggested procedures considered and adopted, even if leadership counsel has not yet been appointed, which is often the case at the initial-management conference.  </w:t>
      </w:r>
    </w:p>
    <w:p w14:paraId="6BF07B4B" w14:textId="77777777" w:rsidR="00F62B2D" w:rsidRPr="00D63B51" w:rsidRDefault="00F62B2D" w:rsidP="00F62B2D">
      <w:pPr>
        <w:pStyle w:val="NoSpacing"/>
        <w:ind w:left="720" w:right="720"/>
        <w:jc w:val="both"/>
      </w:pPr>
      <w:bookmarkStart w:id="12" w:name="_Hlk123995699"/>
      <w:bookmarkStart w:id="13" w:name="_Hlk165729628"/>
      <w:r w:rsidRPr="00D63B51">
        <w:rPr>
          <w:rFonts w:cs="Times New Roman"/>
          <w:b/>
          <w:bCs/>
          <w:szCs w:val="24"/>
        </w:rPr>
        <w:t>Best Practice MDL-§ 7(a):</w:t>
      </w:r>
      <w:r w:rsidRPr="00D63B51">
        <w:rPr>
          <w:rFonts w:cs="Times New Roman"/>
          <w:szCs w:val="24"/>
        </w:rPr>
        <w:t xml:space="preserve"> Unless the court orders otherwise, </w:t>
      </w:r>
      <w:r w:rsidRPr="00D63B51">
        <w:t xml:space="preserve">the parties must </w:t>
      </w:r>
      <w:r w:rsidRPr="00D63B51">
        <w:rPr>
          <w:rFonts w:cs="Times New Roman"/>
          <w:szCs w:val="24"/>
        </w:rPr>
        <w:t xml:space="preserve">address their views on and suggest </w:t>
      </w:r>
      <w:r w:rsidRPr="00D63B51">
        <w:t>procedures regarding</w:t>
      </w:r>
      <w:r w:rsidRPr="00D63B51">
        <w:rPr>
          <w:rFonts w:cs="Times New Roman"/>
          <w:szCs w:val="24"/>
        </w:rPr>
        <w:t xml:space="preserve"> </w:t>
      </w:r>
      <w:bookmarkEnd w:id="12"/>
      <w:r w:rsidRPr="00D63B51">
        <w:rPr>
          <w:rFonts w:cs="Times New Roman"/>
          <w:szCs w:val="24"/>
        </w:rPr>
        <w:t xml:space="preserve">the appointment, timing, structure, method of selection, and responsibilities of leadership in the report to the court. </w:t>
      </w:r>
      <w:r w:rsidRPr="00D63B51">
        <w:t xml:space="preserve"> </w:t>
      </w:r>
      <w:bookmarkStart w:id="14" w:name="_Hlk143856494"/>
      <w:r w:rsidRPr="00D63B51">
        <w:t xml:space="preserve">Permanent </w:t>
      </w:r>
      <w:bookmarkStart w:id="15" w:name="_Hlk143972087"/>
      <w:r w:rsidRPr="00D63B51">
        <w:t xml:space="preserve">No. </w:t>
      </w:r>
      <w:bookmarkEnd w:id="15"/>
      <w:r w:rsidRPr="00D63B51">
        <w:rPr>
          <w:rFonts w:cs="Times New Roman"/>
          <w:szCs w:val="24"/>
        </w:rPr>
        <w:t>MDL-§ 14</w:t>
      </w:r>
      <w:r w:rsidRPr="00D63B51">
        <w:t xml:space="preserve">(a). </w:t>
      </w:r>
      <w:bookmarkEnd w:id="13"/>
      <w:bookmarkEnd w:id="14"/>
    </w:p>
    <w:p w14:paraId="03B6EDBA" w14:textId="77777777" w:rsidR="00F62B2D" w:rsidRPr="00D63B51" w:rsidRDefault="00F62B2D" w:rsidP="00F62B2D">
      <w:pPr>
        <w:pStyle w:val="NoSpacing"/>
        <w:ind w:left="720" w:right="720"/>
        <w:jc w:val="both"/>
        <w:rPr>
          <w:rFonts w:cs="Times New Roman"/>
          <w:szCs w:val="24"/>
        </w:rPr>
      </w:pPr>
    </w:p>
    <w:p w14:paraId="1BCAA741" w14:textId="77777777" w:rsidR="00F62B2D" w:rsidRPr="00D63B51" w:rsidRDefault="00F62B2D" w:rsidP="00F62B2D">
      <w:pPr>
        <w:spacing w:line="360" w:lineRule="auto"/>
        <w:ind w:firstLine="720"/>
        <w:jc w:val="both"/>
        <w:rPr>
          <w:rFonts w:cs="Times New Roman"/>
        </w:rPr>
      </w:pPr>
      <w:r w:rsidRPr="00D63B51">
        <w:rPr>
          <w:rFonts w:cs="Times New Roman"/>
        </w:rPr>
        <w:t>In a mass-tort MDL, the transferee judge typically appoints lead counsel and liaison counsel (to serve an administrative role) for the plaintiffs and a supporting steering committee. The median time for appointment of leadership is 70 days after the JPML order, which typically occurs after the initial-management conference. At the conference, the parties must address the structure, appointment, and role of leadership in their report to the court.</w:t>
      </w:r>
      <w:r w:rsidRPr="00D63B51">
        <w:rPr>
          <w:rStyle w:val="FootnoteReference"/>
          <w:rFonts w:cs="Times New Roman"/>
        </w:rPr>
        <w:footnoteReference w:id="62"/>
      </w:r>
      <w:r w:rsidRPr="00D63B51">
        <w:rPr>
          <w:rFonts w:cs="Times New Roman"/>
        </w:rPr>
        <w:t xml:space="preserve"> </w:t>
      </w:r>
    </w:p>
    <w:p w14:paraId="487F224F" w14:textId="77777777" w:rsidR="00F62B2D" w:rsidRPr="00D63B51" w:rsidRDefault="00F62B2D" w:rsidP="00F62B2D">
      <w:pPr>
        <w:spacing w:line="360" w:lineRule="auto"/>
        <w:ind w:firstLine="720"/>
        <w:jc w:val="both"/>
        <w:rPr>
          <w:rFonts w:cs="Times New Roman"/>
        </w:rPr>
      </w:pPr>
      <w:r w:rsidRPr="00D63B51">
        <w:rPr>
          <w:rFonts w:cs="Times New Roman"/>
        </w:rPr>
        <w:t>Under Rule 16.1(b)(2)(A)(iii), the parties must address the procedure for selecting leadership. The transferee judge should ensure that the selection process is transparent and provide a general statement of the goals and considerations that will guide selections. “If proposed class actions are included within the MDL proceeding, Rule 23(g) applies to appointment of class counsel should the court eventually certify one or more classes, and the court may also choose to appoint interim counsel before resolving the certification question.”</w:t>
      </w:r>
      <w:r w:rsidRPr="00D63B51">
        <w:rPr>
          <w:rStyle w:val="FootnoteReference"/>
          <w:rFonts w:cs="Times New Roman"/>
        </w:rPr>
        <w:footnoteReference w:id="63"/>
      </w:r>
    </w:p>
    <w:p w14:paraId="5054054B" w14:textId="77777777" w:rsidR="00F62B2D" w:rsidRPr="00D63B51" w:rsidRDefault="00F62B2D" w:rsidP="00F62B2D">
      <w:pPr>
        <w:spacing w:line="360" w:lineRule="auto"/>
        <w:ind w:firstLine="720"/>
        <w:jc w:val="both"/>
        <w:rPr>
          <w:rFonts w:cs="Times New Roman"/>
        </w:rPr>
      </w:pPr>
      <w:r w:rsidRPr="00D63B51">
        <w:rPr>
          <w:rFonts w:cs="Times New Roman"/>
        </w:rPr>
        <w:lastRenderedPageBreak/>
        <w:t xml:space="preserve">Courts have implemented various methods ranging from individual-applications to “a slate” and various hybrid-selection methods to consider appointments to leadership. Under the slate-selection method, the lawyers propose a team, which can work together harmoniously. Under the individual-application selection method, the court instructs lawyers seeking leadership to complete a questionnaire regarding their qualifications and considers their applications separately.  Under the hybrid-selection method, the court considers both applications submitted by slates and individuals.  Extensive guidance on the selection process can be found in the </w:t>
      </w:r>
      <w:r w:rsidRPr="00D63B51">
        <w:rPr>
          <w:rFonts w:cs="Times New Roman"/>
          <w:smallCaps/>
        </w:rPr>
        <w:t>Guidelines and Best Practices for Large and Mass-Tort MDLs</w:t>
      </w:r>
      <w:r w:rsidRPr="00D63B51">
        <w:rPr>
          <w:rFonts w:cs="Times New Roman"/>
        </w:rPr>
        <w:t>.”</w:t>
      </w:r>
      <w:r w:rsidRPr="00D63B51">
        <w:rPr>
          <w:rStyle w:val="FootnoteReference"/>
          <w:rFonts w:cs="Times New Roman"/>
        </w:rPr>
        <w:footnoteReference w:id="64"/>
      </w:r>
    </w:p>
    <w:p w14:paraId="425BEADC" w14:textId="77777777" w:rsidR="00F62B2D" w:rsidRPr="00D63B51" w:rsidRDefault="00F62B2D" w:rsidP="00F62B2D">
      <w:pPr>
        <w:spacing w:line="360" w:lineRule="auto"/>
        <w:ind w:firstLine="720"/>
        <w:jc w:val="both"/>
        <w:rPr>
          <w:rFonts w:cs="Times New Roman"/>
        </w:rPr>
      </w:pPr>
      <w:r w:rsidRPr="00D63B51">
        <w:rPr>
          <w:rFonts w:cs="Times New Roman"/>
        </w:rPr>
        <w:t>A judge should avoid an appearance of favoritism when appointing a leadership team for an MDL made up of a single sex, race, ethnicity, sexual orientation, age range, disability, or similar prohibited basis.</w:t>
      </w:r>
      <w:r w:rsidRPr="00D63B51">
        <w:rPr>
          <w:rStyle w:val="FootnoteReference"/>
          <w:rFonts w:cs="Times New Roman"/>
        </w:rPr>
        <w:t xml:space="preserve"> </w:t>
      </w:r>
      <w:r w:rsidRPr="00D63B51">
        <w:rPr>
          <w:rStyle w:val="FootnoteReference"/>
          <w:rFonts w:cs="Times New Roman"/>
        </w:rPr>
        <w:footnoteReference w:id="65"/>
      </w:r>
      <w:r w:rsidRPr="00D63B51">
        <w:rPr>
          <w:rFonts w:cs="Times New Roman"/>
        </w:rPr>
        <w:t xml:space="preserve"> Judges are keenly aware of the benefits and importance of appointing leadership that is diversified and highly competent.  And in fact, there has been a concerted effort in recent years by the bench and bar to promote diversity in leadership appointments.  While there are important benefits to decision-making by diversified counsel, including younger, less experienced lawyers, as well as representatives from the broad slice of demographics that exist, care should be given to ensure that experienced counsel also have a meaningful role.  In recent years, experienced counsel have been routinely proposing slates of diversified counsel that meet the court’s concerns about diversity while also ensuring a harmonious working-team relationship, which sometimes has been missing when the court appoints leadership individually. </w:t>
      </w:r>
    </w:p>
    <w:p w14:paraId="5B4DC0E1" w14:textId="77777777" w:rsidR="00F62B2D" w:rsidRPr="00D63B51" w:rsidRDefault="00F62B2D" w:rsidP="00F62B2D">
      <w:pPr>
        <w:spacing w:line="360" w:lineRule="auto"/>
        <w:ind w:firstLine="720"/>
        <w:jc w:val="both"/>
        <w:rPr>
          <w:rFonts w:cs="Times New Roman"/>
        </w:rPr>
      </w:pPr>
      <w:r w:rsidRPr="00D63B51">
        <w:rPr>
          <w:rFonts w:cs="Times New Roman"/>
        </w:rPr>
        <w:t xml:space="preserve">Under Rule 16.1(b)(2)(A)(ii) and (iv), the parties must address the structure of the leadership as well as their responsibilities in “conducting pretrial activities.” By far, the lead-counsel position has the most important responsibility in managing a mass-tort MDL. And the importance of their selection cannot be overestimated.  </w:t>
      </w:r>
    </w:p>
    <w:p w14:paraId="50ED521A" w14:textId="77777777" w:rsidR="00F62B2D" w:rsidRPr="00D63B51" w:rsidRDefault="00F62B2D" w:rsidP="00F62B2D">
      <w:pPr>
        <w:spacing w:line="360" w:lineRule="auto"/>
        <w:ind w:firstLine="720"/>
        <w:jc w:val="both"/>
        <w:rPr>
          <w:rFonts w:cs="Times New Roman"/>
        </w:rPr>
      </w:pPr>
      <w:r w:rsidRPr="00D63B51">
        <w:rPr>
          <w:rFonts w:cs="Times New Roman"/>
        </w:rPr>
        <w:t xml:space="preserve">Lead counsel do not have a fiduciary relationship with all plaintiffs in the mass-tort MDL and owe an obligation to the court to comply with all court directions, which is superior to any duty owed to individually-retained clients. Lead counsel should not disclose information provided </w:t>
      </w:r>
      <w:r w:rsidRPr="00D63B51">
        <w:rPr>
          <w:rFonts w:cs="Times New Roman"/>
        </w:rPr>
        <w:lastRenderedPageBreak/>
        <w:t xml:space="preserve">under conditions of confidentiality, including settlement discussions subject to confidentiality conditions, to plaintiffs or their retained counsel as well as to their individually-retained clients.  Lead counsel should disclose their role as lead counsel to individually retained clients.  In a case involving numerous defendants, it may be necessary to appoint a leadership team for the defense as well. </w:t>
      </w:r>
    </w:p>
    <w:p w14:paraId="3B738B88" w14:textId="77777777" w:rsidR="00F62B2D" w:rsidRPr="00D63B51" w:rsidRDefault="00F62B2D" w:rsidP="00F62B2D">
      <w:pPr>
        <w:spacing w:line="360" w:lineRule="auto"/>
        <w:ind w:firstLine="720"/>
        <w:jc w:val="both"/>
        <w:rPr>
          <w:rFonts w:cs="Times New Roman"/>
        </w:rPr>
      </w:pPr>
      <w:r w:rsidRPr="00D63B51">
        <w:rPr>
          <w:rFonts w:cs="Times New Roman"/>
        </w:rPr>
        <w:t>In addition to lead counsel, transferee judges in mass-tort MDLs have established or designated a plaintiff steering or executive committee, liaison counsel to serve an administrative role, and multiple committees to address specific topics, including attorney’s fees, discovery, briefing, and settlement.</w:t>
      </w:r>
      <w:r w:rsidRPr="00D63B51">
        <w:rPr>
          <w:rStyle w:val="FootnoteReference"/>
          <w:rFonts w:cs="Times New Roman"/>
        </w:rPr>
        <w:footnoteReference w:id="66"/>
      </w:r>
      <w:r w:rsidRPr="00D63B51">
        <w:rPr>
          <w:rFonts w:cs="Times New Roman"/>
        </w:rPr>
        <w:t xml:space="preserve">  The parties should “provide the court with specifics on the leadership structure that should be employed,” which would include the likely size of the committees. </w:t>
      </w:r>
    </w:p>
    <w:p w14:paraId="5ABCC34F" w14:textId="77777777" w:rsidR="00F62B2D" w:rsidRPr="00D63B51" w:rsidRDefault="00F62B2D" w:rsidP="00F62B2D">
      <w:pPr>
        <w:spacing w:line="360" w:lineRule="auto"/>
        <w:ind w:firstLine="720"/>
        <w:jc w:val="both"/>
        <w:rPr>
          <w:rFonts w:cs="Times New Roman"/>
        </w:rPr>
      </w:pPr>
      <w:r w:rsidRPr="00D63B51">
        <w:rPr>
          <w:rFonts w:cs="Times New Roman"/>
        </w:rPr>
        <w:t>The court must determine the number of lead counsel and members of the steering committee.  Although the numbers vary, typically two and no more than three lead counsel and 12-20 steering committee members are appointed. The court should also advise the parties of the qualifications for a leadership position, which often include the following; (i) willingness and ability to commit to a time-consuming litigation;</w:t>
      </w:r>
      <w:r w:rsidRPr="00D63B51">
        <w:rPr>
          <w:rStyle w:val="FootnoteReference"/>
          <w:rFonts w:cs="Times New Roman"/>
        </w:rPr>
        <w:footnoteReference w:id="67"/>
      </w:r>
      <w:r w:rsidRPr="00D63B51">
        <w:rPr>
          <w:rFonts w:cs="Times New Roman"/>
        </w:rPr>
        <w:t xml:space="preserve"> (ii) current court-appointed legal commitments; (iii) ability to work cooperatively with others; (iv) professional experience in this type of litigation; (v) particular knowledge and expertise that will advance the litigation; (vi) involvement in the litigation to date; (vii) qualities that make them uniquely situated to serve in a leadership capacity in this MDL; and (viii) access to sufficient resources to advance the litigation in a timely manner.  Leadership appointments should provide for a well-balanced, diverse, and qualified team.  </w:t>
      </w:r>
    </w:p>
    <w:p w14:paraId="169DA4EA" w14:textId="77777777" w:rsidR="00F62B2D" w:rsidRPr="00D63B51" w:rsidRDefault="00F62B2D" w:rsidP="00F62B2D">
      <w:pPr>
        <w:spacing w:line="360" w:lineRule="auto"/>
        <w:ind w:firstLine="720"/>
        <w:jc w:val="both"/>
        <w:rPr>
          <w:rFonts w:cs="Times New Roman"/>
        </w:rPr>
      </w:pPr>
      <w:r w:rsidRPr="00D63B51">
        <w:rPr>
          <w:rFonts w:cs="Times New Roman"/>
        </w:rPr>
        <w:t xml:space="preserve">Although establishing many lawyer committees and appointing large numbers of lawyers enhance the diversity of leadership, it may result in added expense and delay resulting from unnecessary and duplicative work. In determining the appropriate size of a committee, the court should consider directing putative members to specify their individual responsibilities. </w:t>
      </w:r>
    </w:p>
    <w:p w14:paraId="38CC581C" w14:textId="77777777" w:rsidR="00F62B2D" w:rsidRPr="00D63B51" w:rsidRDefault="00F62B2D" w:rsidP="00F62B2D">
      <w:pPr>
        <w:spacing w:line="360" w:lineRule="auto"/>
        <w:ind w:firstLine="720"/>
        <w:jc w:val="both"/>
        <w:rPr>
          <w:rFonts w:cs="Times New Roman"/>
        </w:rPr>
      </w:pPr>
      <w:r w:rsidRPr="00D63B51">
        <w:rPr>
          <w:rFonts w:cs="Times New Roman"/>
        </w:rPr>
        <w:t xml:space="preserve">Courts have directed counsel who apply for a leadership appointment to disclose any other mass tort in which they or their firm are presently serving in leadership, the stage of that litigation, and how an appointment in the instant action will impact the capacity of their firm. The court </w:t>
      </w:r>
      <w:r w:rsidRPr="00D63B51">
        <w:rPr>
          <w:rFonts w:cs="Times New Roman"/>
        </w:rPr>
        <w:lastRenderedPageBreak/>
        <w:t xml:space="preserve">should feel confident that the candidates for leadership positions will be able to devote considerable time, especially during the 12-18 months after leadership has been appointed when the MDL groundwork is established.  Courts should anticipate that leadership counsel may engage in settlement negotiations on behalf of their individual clients and consider establishing safeguards in their appointment orders requiring counsel to provide organized work product for those remaining in the litigation in the event that they withdraw from the MDL.   </w:t>
      </w:r>
    </w:p>
    <w:p w14:paraId="125CFF5E" w14:textId="77777777" w:rsidR="00F62B2D" w:rsidRPr="00D63B51" w:rsidRDefault="00F62B2D" w:rsidP="00F62B2D">
      <w:pPr>
        <w:spacing w:line="360" w:lineRule="auto"/>
        <w:ind w:firstLine="720"/>
        <w:jc w:val="both"/>
        <w:rPr>
          <w:rFonts w:cs="Times New Roman"/>
        </w:rPr>
      </w:pPr>
      <w:r w:rsidRPr="00D63B51">
        <w:rPr>
          <w:rFonts w:cs="Times New Roman"/>
        </w:rPr>
        <w:t xml:space="preserve">Because many MDLs have only one or a few defendants, transferee judges typically do not require defendants to apply for a leadership position and instead leave it up to the defendants to appoint their own leadership. For example, in the </w:t>
      </w:r>
      <w:r w:rsidRPr="00D63B51">
        <w:rPr>
          <w:rFonts w:cs="Times New Roman"/>
          <w:i/>
          <w:iCs/>
        </w:rPr>
        <w:t>Bard IVC Filter</w:t>
      </w:r>
      <w:r w:rsidRPr="00D63B51">
        <w:rPr>
          <w:rFonts w:cs="Times New Roman"/>
        </w:rPr>
        <w:t xml:space="preserve"> MDL, the court required plaintiffs’ counsel to apply for lead counsel and liaison counsel positions but stated that it “expect[ed] defendants to designate lead counsel” on their own.</w:t>
      </w:r>
      <w:r w:rsidRPr="00D63B51">
        <w:rPr>
          <w:rStyle w:val="FootnoteReference"/>
          <w:rFonts w:cs="Times New Roman"/>
        </w:rPr>
        <w:footnoteReference w:id="68"/>
      </w:r>
      <w:r w:rsidRPr="00D63B51">
        <w:rPr>
          <w:rFonts w:cs="Times New Roman"/>
        </w:rPr>
        <w:t xml:space="preserve"> Similarly, in the </w:t>
      </w:r>
      <w:r w:rsidRPr="00D63B51">
        <w:rPr>
          <w:rFonts w:cs="Times New Roman"/>
          <w:i/>
          <w:iCs/>
        </w:rPr>
        <w:t>3M Earplug</w:t>
      </w:r>
      <w:r w:rsidRPr="00D63B51">
        <w:rPr>
          <w:rFonts w:cs="Times New Roman"/>
        </w:rPr>
        <w:t xml:space="preserve"> MDL, the court found that “[d]ue to the limited number of defendants involved in this litigation, the Court does not see a need to appoint interim lead or liaison counsel for defendants at this time.”</w:t>
      </w:r>
      <w:r w:rsidRPr="00D63B51">
        <w:rPr>
          <w:rStyle w:val="FootnoteReference"/>
          <w:rFonts w:cs="Times New Roman"/>
        </w:rPr>
        <w:footnoteReference w:id="69"/>
      </w:r>
      <w:r w:rsidRPr="00D63B51">
        <w:rPr>
          <w:rFonts w:cs="Times New Roman"/>
        </w:rPr>
        <w:t xml:space="preserve">  This is not to say that the leadership-application method is never utilized. In the </w:t>
      </w:r>
      <w:r w:rsidRPr="00D63B51">
        <w:rPr>
          <w:rFonts w:cs="Times New Roman"/>
          <w:i/>
          <w:iCs/>
        </w:rPr>
        <w:t xml:space="preserve">Bair Hugger </w:t>
      </w:r>
      <w:r w:rsidRPr="00D63B51">
        <w:rPr>
          <w:rFonts w:cs="Times New Roman"/>
        </w:rPr>
        <w:t>MDL, for instance, the court received leadership applications from both the plaintiffs and defendants.</w:t>
      </w:r>
      <w:r w:rsidRPr="00D63B51">
        <w:rPr>
          <w:rStyle w:val="FootnoteReference"/>
          <w:rFonts w:cs="Times New Roman"/>
        </w:rPr>
        <w:t xml:space="preserve"> </w:t>
      </w:r>
      <w:r w:rsidRPr="00D63B51">
        <w:rPr>
          <w:rStyle w:val="FootnoteReference"/>
          <w:rFonts w:cs="Times New Roman"/>
        </w:rPr>
        <w:footnoteReference w:id="70"/>
      </w:r>
      <w:r w:rsidRPr="00D63B51">
        <w:rPr>
          <w:rFonts w:cs="Times New Roman"/>
        </w:rPr>
        <w:t xml:space="preserve">  </w:t>
      </w:r>
    </w:p>
    <w:p w14:paraId="14BD80C8" w14:textId="77777777" w:rsidR="00F62B2D" w:rsidRPr="00D63B51" w:rsidRDefault="00F62B2D" w:rsidP="00F62B2D">
      <w:pPr>
        <w:pStyle w:val="NoSpacing"/>
        <w:ind w:left="720" w:right="720"/>
        <w:jc w:val="both"/>
      </w:pPr>
      <w:r w:rsidRPr="00D63B51">
        <w:rPr>
          <w:b/>
          <w:bCs/>
        </w:rPr>
        <w:t xml:space="preserve">Best Practice </w:t>
      </w:r>
      <w:r w:rsidRPr="00D63B51">
        <w:rPr>
          <w:rFonts w:cs="Times New Roman"/>
          <w:b/>
          <w:bCs/>
          <w:szCs w:val="24"/>
        </w:rPr>
        <w:t>MDL-§ 7</w:t>
      </w:r>
      <w:r w:rsidRPr="00D63B51">
        <w:rPr>
          <w:b/>
          <w:bCs/>
        </w:rPr>
        <w:t>(b):</w:t>
      </w:r>
      <w:r w:rsidRPr="00D63B51">
        <w:t xml:space="preserve"> </w:t>
      </w:r>
      <w:bookmarkStart w:id="16" w:name="_Hlk143972442"/>
      <w:r w:rsidRPr="00D63B51">
        <w:rPr>
          <w:rFonts w:cs="Times New Roman"/>
          <w:szCs w:val="24"/>
        </w:rPr>
        <w:t xml:space="preserve">Unless the court orders otherwise, </w:t>
      </w:r>
      <w:r w:rsidRPr="00D63B51">
        <w:t xml:space="preserve">the parties must </w:t>
      </w:r>
      <w:r w:rsidRPr="00D63B51">
        <w:rPr>
          <w:rFonts w:cs="Times New Roman"/>
          <w:szCs w:val="24"/>
        </w:rPr>
        <w:t xml:space="preserve">address their views on and suggest </w:t>
      </w:r>
      <w:r w:rsidRPr="00D63B51">
        <w:t>procedures and methods regarding</w:t>
      </w:r>
      <w:r w:rsidRPr="00D63B51">
        <w:rPr>
          <w:rFonts w:cs="Times New Roman"/>
          <w:szCs w:val="24"/>
        </w:rPr>
        <w:t xml:space="preserve"> </w:t>
      </w:r>
      <w:bookmarkEnd w:id="16"/>
      <w:r w:rsidRPr="00D63B51">
        <w:t>regular communications</w:t>
      </w:r>
      <w:bookmarkStart w:id="17" w:name="_Hlk143850548"/>
      <w:r w:rsidRPr="00D63B51">
        <w:t xml:space="preserve"> -- usually involving a central-exchange platform -- in the report to the court.  </w:t>
      </w:r>
      <w:bookmarkStart w:id="18" w:name="_Hlk143959724"/>
      <w:r w:rsidRPr="00D63B51">
        <w:t xml:space="preserve">Permanent No. </w:t>
      </w:r>
      <w:r w:rsidRPr="00D63B51">
        <w:rPr>
          <w:rFonts w:cs="Times New Roman"/>
          <w:szCs w:val="24"/>
        </w:rPr>
        <w:t>MDL-§ 14</w:t>
      </w:r>
      <w:r w:rsidRPr="00D63B51">
        <w:t xml:space="preserve"> (b)</w:t>
      </w:r>
      <w:bookmarkEnd w:id="18"/>
      <w:r w:rsidRPr="00D63B51">
        <w:t>.</w:t>
      </w:r>
    </w:p>
    <w:bookmarkEnd w:id="17"/>
    <w:p w14:paraId="45024502" w14:textId="77777777" w:rsidR="00F62B2D" w:rsidRPr="00D63B51" w:rsidRDefault="00F62B2D" w:rsidP="00F62B2D">
      <w:pPr>
        <w:pStyle w:val="NoSpacing"/>
        <w:ind w:left="720" w:right="720"/>
      </w:pPr>
    </w:p>
    <w:p w14:paraId="031E3B17" w14:textId="77777777" w:rsidR="00F62B2D" w:rsidRPr="00D63B51" w:rsidRDefault="00F62B2D" w:rsidP="00F62B2D">
      <w:pPr>
        <w:spacing w:line="360" w:lineRule="auto"/>
        <w:ind w:firstLine="720"/>
        <w:jc w:val="both"/>
        <w:rPr>
          <w:rFonts w:cs="Times New Roman"/>
        </w:rPr>
      </w:pPr>
      <w:r w:rsidRPr="00D63B51">
        <w:rPr>
          <w:rFonts w:cs="Times New Roman"/>
        </w:rPr>
        <w:t>Under Rule 16.1(b)(2)(A)(v), the parties must address and suggest methods for leadership counsel to communicate with and report to the court and nonleadership counsel. In its supervision of leadership counsel, the court should ensure that leadership regularly communicate with nonleadership counsel as to developments in the mass-tort MDL so that nonleadership counsel are properly informed and can effectively represent their respective clients.</w:t>
      </w:r>
    </w:p>
    <w:p w14:paraId="39CDA145" w14:textId="77777777" w:rsidR="00F62B2D" w:rsidRPr="00D63B51" w:rsidRDefault="00F62B2D" w:rsidP="00F62B2D">
      <w:pPr>
        <w:spacing w:line="360" w:lineRule="auto"/>
        <w:ind w:firstLine="720"/>
        <w:jc w:val="both"/>
        <w:rPr>
          <w:rFonts w:cs="Times New Roman"/>
        </w:rPr>
      </w:pPr>
      <w:r w:rsidRPr="00D63B51">
        <w:rPr>
          <w:rFonts w:cs="Times New Roman"/>
        </w:rPr>
        <w:t>The transferee court’s website usually contains a link to “cases of interest” or “MDLs,” which contains pretrial and case-management orders.</w:t>
      </w:r>
      <w:r w:rsidRPr="00D63B51">
        <w:rPr>
          <w:rStyle w:val="FootnoteReference"/>
          <w:rFonts w:cs="Times New Roman"/>
        </w:rPr>
        <w:footnoteReference w:id="71"/>
      </w:r>
      <w:r w:rsidRPr="00D63B51">
        <w:rPr>
          <w:rFonts w:cs="Times New Roman"/>
        </w:rPr>
        <w:t xml:space="preserve">  Some of these courts include a helpful short description of each pretrial and case-management docket entry.   But other court websites only </w:t>
      </w:r>
      <w:r w:rsidRPr="00D63B51">
        <w:rPr>
          <w:rFonts w:cs="Times New Roman"/>
        </w:rPr>
        <w:lastRenderedPageBreak/>
        <w:t>link directly to PACER, which requires log-in and cost, though modest that may burden pro se plaintiffs and the public.</w:t>
      </w:r>
      <w:r w:rsidRPr="00D63B51">
        <w:rPr>
          <w:rStyle w:val="FootnoteReference"/>
          <w:rFonts w:cs="Times New Roman"/>
        </w:rPr>
        <w:footnoteReference w:id="72"/>
      </w:r>
      <w:r w:rsidRPr="00D63B51">
        <w:rPr>
          <w:rFonts w:cs="Times New Roman"/>
        </w:rPr>
        <w:t xml:space="preserve"> </w:t>
      </w:r>
    </w:p>
    <w:p w14:paraId="20B0AB96" w14:textId="77777777" w:rsidR="00F62B2D" w:rsidRPr="00D63B51" w:rsidRDefault="00F62B2D" w:rsidP="00F62B2D">
      <w:pPr>
        <w:spacing w:line="360" w:lineRule="auto"/>
        <w:ind w:firstLine="720"/>
        <w:jc w:val="both"/>
        <w:rPr>
          <w:rFonts w:cs="Times New Roman"/>
        </w:rPr>
      </w:pPr>
      <w:r w:rsidRPr="00D63B51">
        <w:rPr>
          <w:rFonts w:cs="Times New Roman"/>
        </w:rPr>
        <w:t>In mass-tort MDLs involving thousands of individual actions, the single most important case-management decision can be the selection of a shared, on-line central-exchange platform, which facilitates the exchange, storage, access, search, and analysis of hundreds and thousands of gigabytes of data and documents. Vendors and service providers have been regularly used to operate a central-exchange platform in most recent mass-tort MDLs to collect massive amounts of information that can be mined and used for many purposes, including grouping similar actions for modelling valuations by applying constantly emerging new technologies.</w:t>
      </w:r>
      <w:r w:rsidRPr="00D63B51">
        <w:rPr>
          <w:rStyle w:val="FootnoteReference"/>
          <w:rFonts w:cs="Times New Roman"/>
        </w:rPr>
        <w:footnoteReference w:id="73"/>
      </w:r>
      <w:r w:rsidRPr="00D63B51">
        <w:rPr>
          <w:rFonts w:cs="Times New Roman"/>
        </w:rPr>
        <w:t xml:space="preserve">  Earlier technological breakthroughs become quickly outdated, so that the review of prospective central-exchange platform vendors must be done carefully.</w:t>
      </w:r>
      <w:r w:rsidRPr="00D63B51">
        <w:rPr>
          <w:rStyle w:val="FootnoteReference"/>
          <w:rFonts w:cs="Times New Roman"/>
        </w:rPr>
        <w:footnoteReference w:id="74"/>
      </w:r>
      <w:r w:rsidRPr="00D63B51">
        <w:rPr>
          <w:rFonts w:cs="Times New Roman"/>
        </w:rPr>
        <w:t xml:space="preserve">  </w:t>
      </w:r>
    </w:p>
    <w:p w14:paraId="34B369F7" w14:textId="77777777" w:rsidR="00F62B2D" w:rsidRPr="00D63B51" w:rsidRDefault="00F62B2D" w:rsidP="00F62B2D">
      <w:pPr>
        <w:spacing w:line="360" w:lineRule="auto"/>
        <w:ind w:firstLine="720"/>
        <w:jc w:val="both"/>
        <w:rPr>
          <w:rFonts w:cs="Times New Roman"/>
        </w:rPr>
      </w:pPr>
      <w:r w:rsidRPr="00D63B51">
        <w:rPr>
          <w:rFonts w:cs="Times New Roman"/>
        </w:rPr>
        <w:t>As data consistency, completeness, and accuracy become more critical for decision-making, real-time transparency about the outcomes of data-coordination processes is a necessary foundation for efficient disposition. Efficiency is optimized when central-exchange platforms integrate with and develop technologies such as artificial intelligence, digital signatures, application programming interfaces, automated workflow, audit trail history, dynamic data visualization, in-application annotations, payment tools, sophisticated user management, and bulk data validation. It is important that the central-exchange platform be quickly configurable to support new processes as the litigation progresses.</w:t>
      </w:r>
    </w:p>
    <w:p w14:paraId="61F505B7" w14:textId="77777777" w:rsidR="00F62B2D" w:rsidRPr="00D63B51" w:rsidRDefault="00F62B2D" w:rsidP="00F62B2D">
      <w:pPr>
        <w:spacing w:line="360" w:lineRule="auto"/>
        <w:ind w:firstLine="720"/>
        <w:jc w:val="both"/>
        <w:rPr>
          <w:rFonts w:cs="Times New Roman"/>
        </w:rPr>
      </w:pPr>
      <w:r w:rsidRPr="00D63B51">
        <w:rPr>
          <w:rFonts w:cs="Times New Roman"/>
        </w:rPr>
        <w:t>A central-exchange platform not only allows parties to communicate about key events and deadlines but also provides tools to manage all relevant matter in the MDL, including pleadings, discovery matter, and fact sheets. It typically provides confidential access to designated parties or sides, plaintiff or defense. The central-exchange platforms also electronically serve all papers using an up-to-date service list.  Liaison counsel or lead counsel is often delegated the task of maintaining a current list.  A full discussion of the functions of a central-exchange platform is contained in Best Practice Permanent No. MDL-§3.</w:t>
      </w:r>
      <w:r w:rsidRPr="00D63B51">
        <w:rPr>
          <w:rStyle w:val="FootnoteReference"/>
          <w:rFonts w:cs="Times New Roman"/>
        </w:rPr>
        <w:footnoteReference w:id="75"/>
      </w:r>
      <w:r w:rsidRPr="00D63B51">
        <w:rPr>
          <w:rFonts w:cs="Times New Roman"/>
        </w:rPr>
        <w:t xml:space="preserve">   </w:t>
      </w:r>
    </w:p>
    <w:p w14:paraId="0FE92748" w14:textId="77777777" w:rsidR="00F62B2D" w:rsidRPr="00D63B51" w:rsidRDefault="00F62B2D" w:rsidP="00F62B2D">
      <w:pPr>
        <w:spacing w:line="360" w:lineRule="auto"/>
        <w:ind w:firstLine="720"/>
        <w:jc w:val="both"/>
        <w:rPr>
          <w:rFonts w:cs="Times New Roman"/>
        </w:rPr>
      </w:pPr>
      <w:r w:rsidRPr="00D63B51">
        <w:rPr>
          <w:rFonts w:cs="Times New Roman"/>
        </w:rPr>
        <w:lastRenderedPageBreak/>
        <w:t>A central-exchange platform administrator can support clear and consistent communications to the parties by collecting and maintaining contact lists, coordinating with leadership regarding messaging protocol, integrating associated processes into the central-exchange platform, sending mass communications on behalf of leadership, creating and distributing platform-user guides, co-hosting recorded webinars with leadership, managing a help desk, and hosting a public website on behalf of leadership. Protocol for all processes should be developed and maintained in coordination with leadership and consistently applied throughout the litigation to support all processes and communications.</w:t>
      </w:r>
    </w:p>
    <w:p w14:paraId="7E94BAE9" w14:textId="77777777" w:rsidR="00F62B2D" w:rsidRPr="00D63B51" w:rsidRDefault="00F62B2D" w:rsidP="00F62B2D">
      <w:pPr>
        <w:spacing w:line="360" w:lineRule="auto"/>
        <w:ind w:firstLine="720"/>
        <w:jc w:val="both"/>
        <w:rPr>
          <w:rFonts w:cs="Times New Roman"/>
        </w:rPr>
      </w:pPr>
      <w:r w:rsidRPr="00D63B51">
        <w:rPr>
          <w:rFonts w:cs="Times New Roman"/>
        </w:rPr>
        <w:t>Dynamic, shared on-line central-exchange platforms can facilitate the analysis of voluminous data using artificial-intelligence techniques.</w:t>
      </w:r>
      <w:r w:rsidRPr="00D63B51">
        <w:rPr>
          <w:rStyle w:val="FootnoteReference"/>
          <w:rFonts w:cs="Times New Roman"/>
        </w:rPr>
        <w:footnoteReference w:id="76"/>
      </w:r>
      <w:r w:rsidRPr="00D63B51">
        <w:rPr>
          <w:rFonts w:cs="Times New Roman"/>
        </w:rPr>
        <w:t xml:space="preserve"> In particular, the platforms can effectively address logjams that arise at four key MDL stages, which unnecessarily prolong dispositions, including early case-management identifying and resolving duplicative and meritless filings, litigation and negotiation analyzing value of claims, settlement administration, and payments and lien resolutions.  The data analysis generated by the AI technology used in these central-exchange platforms can better inform the risk-analysis of the lawyers, which can expedite resolution.  </w:t>
      </w:r>
    </w:p>
    <w:p w14:paraId="2AD380F8" w14:textId="77777777" w:rsidR="00F62B2D" w:rsidRPr="00D63B51" w:rsidRDefault="00F62B2D" w:rsidP="00F62B2D">
      <w:pPr>
        <w:spacing w:line="360" w:lineRule="auto"/>
        <w:ind w:firstLine="720"/>
        <w:jc w:val="both"/>
        <w:rPr>
          <w:rFonts w:cs="Times New Roman"/>
        </w:rPr>
      </w:pPr>
      <w:r w:rsidRPr="00D63B51">
        <w:rPr>
          <w:rFonts w:cs="Times New Roman"/>
        </w:rPr>
        <w:t xml:space="preserve">Parties typically employ a vendor specialized in the area to administer a platform of separate proprietary or licensed software tools. For purposes of its case-management plan, the court should be aware of the need for such a system but should defer approving a vendor until it appoints leadership counsel and gets their input. (Costs are borne by leadership as well as by individual parties, </w:t>
      </w:r>
      <w:r w:rsidRPr="00D63B51">
        <w:rPr>
          <w:rFonts w:cs="Times New Roman"/>
          <w:i/>
          <w:iCs/>
        </w:rPr>
        <w:t>e.g</w:t>
      </w:r>
      <w:r w:rsidRPr="00D63B51">
        <w:rPr>
          <w:rFonts w:cs="Times New Roman"/>
        </w:rPr>
        <w:t>., $10.00-$12.50 per user, which is an important consideration.)</w:t>
      </w:r>
      <w:r w:rsidRPr="00D63B51">
        <w:rPr>
          <w:rStyle w:val="FootnoteReference"/>
          <w:rFonts w:cs="Times New Roman"/>
        </w:rPr>
        <w:footnoteReference w:id="77"/>
      </w:r>
      <w:r w:rsidRPr="00D63B51">
        <w:rPr>
          <w:rFonts w:cs="Times New Roman"/>
        </w:rPr>
        <w:t xml:space="preserve"> </w:t>
      </w:r>
    </w:p>
    <w:p w14:paraId="0F077B8B" w14:textId="77777777" w:rsidR="00F62B2D" w:rsidRPr="00D63B51" w:rsidRDefault="00F62B2D" w:rsidP="00F62B2D">
      <w:pPr>
        <w:ind w:left="720" w:right="720"/>
        <w:jc w:val="both"/>
        <w:rPr>
          <w:rFonts w:eastAsia="Calibri" w:cs="Times New Roman"/>
          <w:bCs/>
          <w:iCs/>
        </w:rPr>
      </w:pPr>
      <w:r w:rsidRPr="00D63B51">
        <w:rPr>
          <w:b/>
          <w:bCs/>
        </w:rPr>
        <w:t xml:space="preserve">Best Practice </w:t>
      </w:r>
      <w:r w:rsidRPr="00D63B51">
        <w:rPr>
          <w:rFonts w:cs="Times New Roman"/>
          <w:b/>
          <w:bCs/>
        </w:rPr>
        <w:t>MDL-§ 7</w:t>
      </w:r>
      <w:r w:rsidRPr="00D63B51">
        <w:rPr>
          <w:b/>
          <w:bCs/>
        </w:rPr>
        <w:t>(b)(i)</w:t>
      </w:r>
      <w:r w:rsidRPr="00D63B51">
        <w:rPr>
          <w:rFonts w:ascii="Times New Roman Bold" w:eastAsia="Calibri" w:hAnsi="Times New Roman Bold" w:cs="Times New Roman"/>
          <w:b/>
          <w:bCs/>
          <w:smallCaps/>
        </w:rPr>
        <w:t>:</w:t>
      </w:r>
      <w:r w:rsidRPr="00D63B51">
        <w:rPr>
          <w:rFonts w:ascii="Times New Roman Bold" w:eastAsia="Calibri" w:hAnsi="Times New Roman Bold" w:cs="Times New Roman"/>
          <w:b/>
          <w:bCs/>
          <w:smallCaps/>
          <w:sz w:val="28"/>
          <w:szCs w:val="28"/>
        </w:rPr>
        <w:t xml:space="preserve"> </w:t>
      </w:r>
      <w:r w:rsidRPr="00D63B51">
        <w:rPr>
          <w:rFonts w:eastAsia="Calibri" w:cs="Times New Roman"/>
          <w:bCs/>
          <w:iCs/>
        </w:rPr>
        <w:t xml:space="preserve">A dynamic, online central-exchange platform is a shared-document management tool tailored to case-specific needs, which is becoming indispensable in facilitating the exchange, storage, access, search, and </w:t>
      </w:r>
      <w:r w:rsidRPr="00D63B51">
        <w:rPr>
          <w:rFonts w:eastAsia="Calibri" w:cs="Times New Roman"/>
          <w:bCs/>
          <w:iCs/>
        </w:rPr>
        <w:lastRenderedPageBreak/>
        <w:t>analysis of hundreds and thousands of gigabytes of data and documents in mass-tort MDLs. Permanent No. MDL-</w:t>
      </w:r>
      <w:r w:rsidRPr="00D63B51">
        <w:rPr>
          <w:rFonts w:cs="Times New Roman"/>
          <w:b/>
          <w:color w:val="auto"/>
        </w:rPr>
        <w:t xml:space="preserve">§ </w:t>
      </w:r>
      <w:r w:rsidRPr="00D63B51">
        <w:rPr>
          <w:rFonts w:eastAsia="Calibri" w:cs="Times New Roman"/>
          <w:bCs/>
          <w:iCs/>
        </w:rPr>
        <w:t>3.</w:t>
      </w:r>
    </w:p>
    <w:p w14:paraId="2D1B47FB" w14:textId="77777777" w:rsidR="00F62B2D" w:rsidRPr="00D63B51" w:rsidRDefault="00F62B2D" w:rsidP="00F62B2D">
      <w:pPr>
        <w:jc w:val="both"/>
        <w:rPr>
          <w:rFonts w:eastAsia="Calibri" w:cs="Times New Roman"/>
          <w:bCs/>
        </w:rPr>
      </w:pPr>
    </w:p>
    <w:p w14:paraId="0AA542C7" w14:textId="77777777" w:rsidR="00F62B2D" w:rsidRPr="00D63B51" w:rsidRDefault="00F62B2D" w:rsidP="00F62B2D">
      <w:pPr>
        <w:spacing w:line="360" w:lineRule="auto"/>
        <w:ind w:firstLine="720"/>
        <w:jc w:val="both"/>
        <w:rPr>
          <w:rFonts w:eastAsia="Calibri" w:cs="Times New Roman"/>
          <w:bCs/>
        </w:rPr>
      </w:pPr>
      <w:r w:rsidRPr="00D63B51">
        <w:rPr>
          <w:rFonts w:eastAsia="Calibri" w:cs="Times New Roman"/>
          <w:bCs/>
        </w:rPr>
        <w:t xml:space="preserve">The prosecution of mass-tort MDLs consisting of more than 1,000 individual claimants represented by scores of lawyers and law firms regularly involves hundreds of gigabytes, and not infrequently terabytes, of data and documents.  Until recently, the defense and plaintiff sides in mass-tort MDLs developed and managed their own document-management systems, creating redundancies and obvious waste.  A centralized document-management platform </w:t>
      </w:r>
      <w:r w:rsidRPr="00D63B51">
        <w:t xml:space="preserve">provides all parties a secure, online platform for the submission, exchange, and storage of discovery and other case-related materials.   It </w:t>
      </w:r>
      <w:r w:rsidRPr="00D63B51">
        <w:rPr>
          <w:rFonts w:eastAsia="Calibri" w:cs="Times New Roman"/>
          <w:bCs/>
        </w:rPr>
        <w:t>provides a one-stop shop for counsel on both sides to locate the necessary court orders, pleadings, documents, and otherwise allows leadership to coordinate counsel for the effective and efficient management of an MDL.</w:t>
      </w:r>
      <w:r w:rsidRPr="00D63B51">
        <w:rPr>
          <w:rStyle w:val="FootnoteReference"/>
          <w:rFonts w:eastAsia="Calibri" w:cs="Times New Roman"/>
        </w:rPr>
        <w:footnoteReference w:id="78"/>
      </w:r>
      <w:r w:rsidRPr="00D63B51">
        <w:rPr>
          <w:rFonts w:eastAsia="Calibri" w:cs="Times New Roman"/>
          <w:bCs/>
        </w:rPr>
        <w:t xml:space="preserve">  </w:t>
      </w:r>
    </w:p>
    <w:p w14:paraId="00FF7090" w14:textId="77777777" w:rsidR="00F62B2D" w:rsidRPr="00D63B51" w:rsidRDefault="00F62B2D" w:rsidP="00F62B2D">
      <w:pPr>
        <w:spacing w:line="360" w:lineRule="auto"/>
        <w:ind w:firstLine="720"/>
        <w:jc w:val="both"/>
        <w:rPr>
          <w:rFonts w:eastAsia="Calibri" w:cs="Times New Roman"/>
          <w:bCs/>
        </w:rPr>
      </w:pPr>
      <w:r w:rsidRPr="00D63B51">
        <w:rPr>
          <w:rFonts w:eastAsia="Calibri" w:cs="Times New Roman"/>
          <w:bCs/>
        </w:rPr>
        <w:lastRenderedPageBreak/>
        <w:t xml:space="preserve">Every MDL is unique and requires different records-management functions. A central-exchange platform contains typical components, but they can be tailored to fit the parties’ and court’s needs in an individual MDL. </w:t>
      </w:r>
      <w:r w:rsidRPr="00D63B51">
        <w:t xml:space="preserve">The parties are in the best position to design an effective central-exchange platform. </w:t>
      </w:r>
    </w:p>
    <w:p w14:paraId="628DF47D" w14:textId="77777777" w:rsidR="00F62B2D" w:rsidRPr="00D63B51" w:rsidRDefault="00F62B2D" w:rsidP="00F62B2D">
      <w:pPr>
        <w:spacing w:line="360" w:lineRule="auto"/>
        <w:ind w:firstLine="720"/>
        <w:jc w:val="both"/>
        <w:rPr>
          <w:rFonts w:eastAsia="Calibri" w:cs="Times New Roman"/>
          <w:bCs/>
        </w:rPr>
      </w:pPr>
      <w:r w:rsidRPr="00D63B51">
        <w:rPr>
          <w:rFonts w:eastAsia="Calibri" w:cs="Times New Roman"/>
          <w:bCs/>
        </w:rPr>
        <w:t>A well-organized document-management system highlights the important information and deadlines for counsel during the pendency of an MDL and provides the pretrial or trial package to counsel in the event of remand. If the MDL is resolved in a global settlement, the document-management feature allows the parties to administer the settlement quickly and reach final resolution. Advances in artificial intelligence, which enhance data analytics, promise opportunities to use the same information to better inform negotiations between parties, resulting in more efficient and fairer resolutions of individual claims.</w:t>
      </w:r>
    </w:p>
    <w:p w14:paraId="7AE957BE" w14:textId="77777777" w:rsidR="00F62B2D" w:rsidRPr="00D63B51" w:rsidRDefault="00F62B2D" w:rsidP="00F62B2D">
      <w:pPr>
        <w:spacing w:line="360" w:lineRule="auto"/>
        <w:ind w:firstLine="720"/>
        <w:jc w:val="both"/>
        <w:rPr>
          <w:rFonts w:eastAsia="Calibri" w:cs="Times New Roman"/>
          <w:bCs/>
        </w:rPr>
      </w:pPr>
      <w:r w:rsidRPr="00D63B51">
        <w:t>A central-exchange platform is not the same as a document-review application, which typically is maintained by each individual party rather than as a shared-information repository.</w:t>
      </w:r>
      <w:r w:rsidRPr="00D63B51">
        <w:rPr>
          <w:bCs/>
          <w:color w:val="auto"/>
        </w:rPr>
        <w:t xml:space="preserve"> The </w:t>
      </w:r>
      <w:r w:rsidRPr="00D63B51">
        <w:rPr>
          <w:color w:val="auto"/>
        </w:rPr>
        <w:t>central-exchange platform can be integrated with and receive transmissions from each party’s document-review application.</w:t>
      </w:r>
    </w:p>
    <w:p w14:paraId="64D814C0" w14:textId="77777777" w:rsidR="00F62B2D" w:rsidRPr="00D63B51" w:rsidRDefault="00F62B2D" w:rsidP="00F62B2D">
      <w:pPr>
        <w:spacing w:line="360" w:lineRule="auto"/>
        <w:ind w:firstLine="720"/>
        <w:jc w:val="both"/>
        <w:rPr>
          <w:rFonts w:eastAsia="Calibri" w:cs="Times New Roman"/>
          <w:bCs/>
        </w:rPr>
      </w:pPr>
      <w:r w:rsidRPr="00D63B51">
        <w:rPr>
          <w:rFonts w:eastAsia="Calibri" w:cs="Times New Roman"/>
          <w:bCs/>
        </w:rPr>
        <w:t xml:space="preserve">Figure A1 highlights typical components of a centralized document-management platform at each phase of the litigation: </w:t>
      </w:r>
    </w:p>
    <w:p w14:paraId="50A0E5FC" w14:textId="77777777" w:rsidR="00F62B2D" w:rsidRPr="00D63B51" w:rsidRDefault="00F62B2D" w:rsidP="00F62B2D">
      <w:pPr>
        <w:jc w:val="both"/>
        <w:rPr>
          <w:rFonts w:ascii="Times New Roman Bold" w:eastAsia="Calibri" w:hAnsi="Times New Roman Bold" w:cs="Times New Roman"/>
          <w:b/>
          <w:bCs/>
          <w:smallCaps/>
          <w:sz w:val="28"/>
          <w:szCs w:val="28"/>
        </w:rPr>
      </w:pPr>
    </w:p>
    <w:tbl>
      <w:tblPr>
        <w:tblStyle w:val="TableGrid"/>
        <w:tblW w:w="11515" w:type="dxa"/>
        <w:jc w:val="center"/>
        <w:tblLayout w:type="fixed"/>
        <w:tblLook w:val="04A0" w:firstRow="1" w:lastRow="0" w:firstColumn="1" w:lastColumn="0" w:noHBand="0" w:noVBand="1"/>
      </w:tblPr>
      <w:tblGrid>
        <w:gridCol w:w="2065"/>
        <w:gridCol w:w="3690"/>
        <w:gridCol w:w="2340"/>
        <w:gridCol w:w="3420"/>
      </w:tblGrid>
      <w:tr w:rsidR="00F62B2D" w:rsidRPr="00D63B51" w14:paraId="2E1EAC0A" w14:textId="77777777" w:rsidTr="00CA548F">
        <w:trPr>
          <w:trHeight w:val="800"/>
          <w:tblHeader/>
          <w:jc w:val="center"/>
        </w:trPr>
        <w:tc>
          <w:tcPr>
            <w:tcW w:w="2065" w:type="dxa"/>
            <w:shd w:val="clear" w:color="auto" w:fill="83CAEB" w:themeFill="accent1" w:themeFillTint="66"/>
            <w:vAlign w:val="center"/>
          </w:tcPr>
          <w:p w14:paraId="47A3E564" w14:textId="77777777" w:rsidR="00F62B2D" w:rsidRPr="00D63B51" w:rsidRDefault="00F62B2D" w:rsidP="00CA548F">
            <w:pPr>
              <w:spacing w:before="120" w:after="120"/>
              <w:jc w:val="center"/>
              <w:rPr>
                <w:rFonts w:ascii="Times New Roman Bold" w:hAnsi="Times New Roman Bold"/>
                <w:b/>
                <w:bCs/>
                <w:smallCaps/>
                <w:sz w:val="28"/>
                <w:szCs w:val="28"/>
              </w:rPr>
            </w:pPr>
            <w:r w:rsidRPr="00D63B51">
              <w:rPr>
                <w:rFonts w:ascii="Times New Roman Bold" w:hAnsi="Times New Roman Bold"/>
                <w:b/>
                <w:bCs/>
                <w:smallCaps/>
                <w:sz w:val="28"/>
                <w:szCs w:val="28"/>
              </w:rPr>
              <w:lastRenderedPageBreak/>
              <w:t>Figure A1</w:t>
            </w:r>
          </w:p>
        </w:tc>
        <w:tc>
          <w:tcPr>
            <w:tcW w:w="9450" w:type="dxa"/>
            <w:gridSpan w:val="3"/>
            <w:shd w:val="clear" w:color="auto" w:fill="83CAEB" w:themeFill="accent1" w:themeFillTint="66"/>
            <w:vAlign w:val="center"/>
          </w:tcPr>
          <w:p w14:paraId="75A3F5EE" w14:textId="77777777" w:rsidR="00F62B2D" w:rsidRPr="00D63B51" w:rsidRDefault="00F62B2D" w:rsidP="00CA548F">
            <w:pPr>
              <w:jc w:val="center"/>
              <w:rPr>
                <w:rFonts w:ascii="Times New Roman Bold" w:hAnsi="Times New Roman Bold"/>
                <w:b/>
                <w:bCs/>
                <w:smallCaps/>
                <w:sz w:val="28"/>
                <w:szCs w:val="28"/>
              </w:rPr>
            </w:pPr>
            <w:r w:rsidRPr="00D63B51">
              <w:rPr>
                <w:b/>
                <w:bCs/>
              </w:rPr>
              <w:t>COMPONENTS</w:t>
            </w:r>
          </w:p>
        </w:tc>
      </w:tr>
      <w:tr w:rsidR="00F62B2D" w:rsidRPr="00D63B51" w14:paraId="3DDBE8CE" w14:textId="77777777" w:rsidTr="00CA548F">
        <w:trPr>
          <w:trHeight w:val="170"/>
          <w:tblHeader/>
          <w:jc w:val="center"/>
        </w:trPr>
        <w:tc>
          <w:tcPr>
            <w:tcW w:w="11515" w:type="dxa"/>
            <w:gridSpan w:val="4"/>
            <w:shd w:val="clear" w:color="auto" w:fill="83CAEB" w:themeFill="accent1" w:themeFillTint="66"/>
            <w:noWrap/>
            <w:vAlign w:val="center"/>
            <w:hideMark/>
          </w:tcPr>
          <w:p w14:paraId="69BAC9C8" w14:textId="77777777" w:rsidR="00F62B2D" w:rsidRPr="00D63B51" w:rsidRDefault="00F62B2D" w:rsidP="00CA548F">
            <w:pPr>
              <w:jc w:val="center"/>
              <w:rPr>
                <w:b/>
                <w:bCs/>
              </w:rPr>
            </w:pPr>
            <w:r w:rsidRPr="00D63B51">
              <w:rPr>
                <w:b/>
                <w:bCs/>
              </w:rPr>
              <w:t>MDL PHASES</w:t>
            </w:r>
          </w:p>
        </w:tc>
      </w:tr>
      <w:tr w:rsidR="00F62B2D" w:rsidRPr="00D63B51" w14:paraId="2705ACB2" w14:textId="77777777" w:rsidTr="00CA548F">
        <w:trPr>
          <w:trHeight w:val="242"/>
          <w:tblHeader/>
          <w:jc w:val="center"/>
        </w:trPr>
        <w:tc>
          <w:tcPr>
            <w:tcW w:w="5755" w:type="dxa"/>
            <w:gridSpan w:val="2"/>
            <w:shd w:val="clear" w:color="auto" w:fill="C1E4F5" w:themeFill="accent1" w:themeFillTint="33"/>
            <w:vAlign w:val="center"/>
            <w:hideMark/>
          </w:tcPr>
          <w:p w14:paraId="387EF6EF" w14:textId="77777777" w:rsidR="00F62B2D" w:rsidRPr="00D63B51" w:rsidRDefault="00F62B2D" w:rsidP="00CA548F">
            <w:pPr>
              <w:jc w:val="center"/>
              <w:rPr>
                <w:b/>
                <w:bCs/>
              </w:rPr>
            </w:pPr>
            <w:r w:rsidRPr="00D63B51">
              <w:rPr>
                <w:b/>
                <w:bCs/>
              </w:rPr>
              <w:t>Pretrial</w:t>
            </w:r>
          </w:p>
        </w:tc>
        <w:tc>
          <w:tcPr>
            <w:tcW w:w="2340" w:type="dxa"/>
            <w:shd w:val="clear" w:color="auto" w:fill="C1E4F5" w:themeFill="accent1" w:themeFillTint="33"/>
            <w:vAlign w:val="center"/>
          </w:tcPr>
          <w:p w14:paraId="79D40F54" w14:textId="77777777" w:rsidR="00F62B2D" w:rsidRPr="00D63B51" w:rsidRDefault="00F62B2D" w:rsidP="00CA548F">
            <w:pPr>
              <w:jc w:val="center"/>
              <w:rPr>
                <w:b/>
                <w:bCs/>
              </w:rPr>
            </w:pPr>
            <w:r w:rsidRPr="00D63B51">
              <w:rPr>
                <w:b/>
                <w:bCs/>
              </w:rPr>
              <w:t>Trial</w:t>
            </w:r>
          </w:p>
        </w:tc>
        <w:tc>
          <w:tcPr>
            <w:tcW w:w="3420" w:type="dxa"/>
            <w:shd w:val="clear" w:color="auto" w:fill="C1E4F5" w:themeFill="accent1" w:themeFillTint="33"/>
            <w:vAlign w:val="center"/>
            <w:hideMark/>
          </w:tcPr>
          <w:p w14:paraId="575D07EB" w14:textId="77777777" w:rsidR="00F62B2D" w:rsidRPr="00D63B51" w:rsidRDefault="00F62B2D" w:rsidP="00CA548F">
            <w:pPr>
              <w:jc w:val="center"/>
              <w:rPr>
                <w:b/>
                <w:bCs/>
              </w:rPr>
            </w:pPr>
            <w:r w:rsidRPr="00D63B51">
              <w:rPr>
                <w:b/>
                <w:bCs/>
              </w:rPr>
              <w:t>MDL Resolution</w:t>
            </w:r>
          </w:p>
        </w:tc>
      </w:tr>
      <w:tr w:rsidR="00F62B2D" w:rsidRPr="00D63B51" w14:paraId="0CEA9F68" w14:textId="77777777" w:rsidTr="00CA548F">
        <w:trPr>
          <w:trHeight w:val="3680"/>
          <w:jc w:val="center"/>
        </w:trPr>
        <w:tc>
          <w:tcPr>
            <w:tcW w:w="5755" w:type="dxa"/>
            <w:gridSpan w:val="2"/>
            <w:vAlign w:val="center"/>
            <w:hideMark/>
          </w:tcPr>
          <w:p w14:paraId="1FBEF8D7" w14:textId="77777777" w:rsidR="00F62B2D" w:rsidRPr="00D63B51" w:rsidRDefault="00F62B2D" w:rsidP="00F62B2D">
            <w:pPr>
              <w:pStyle w:val="ListParagraph"/>
              <w:numPr>
                <w:ilvl w:val="0"/>
                <w:numId w:val="5"/>
              </w:numPr>
              <w:spacing w:beforeLines="60" w:before="144" w:afterLines="60" w:after="144"/>
              <w:contextualSpacing w:val="0"/>
              <w:rPr>
                <w:sz w:val="22"/>
                <w:szCs w:val="22"/>
              </w:rPr>
            </w:pPr>
            <w:r w:rsidRPr="00D63B51">
              <w:rPr>
                <w:sz w:val="22"/>
                <w:szCs w:val="22"/>
              </w:rPr>
              <w:t>Central library and service of orders and pleadings.</w:t>
            </w:r>
          </w:p>
          <w:p w14:paraId="7C5D1137" w14:textId="77777777" w:rsidR="00F62B2D" w:rsidRPr="00D63B51" w:rsidRDefault="00F62B2D" w:rsidP="00F62B2D">
            <w:pPr>
              <w:pStyle w:val="ListParagraph"/>
              <w:numPr>
                <w:ilvl w:val="0"/>
                <w:numId w:val="5"/>
              </w:numPr>
              <w:spacing w:beforeLines="60" w:before="144" w:afterLines="60" w:after="144"/>
              <w:contextualSpacing w:val="0"/>
              <w:rPr>
                <w:sz w:val="22"/>
                <w:szCs w:val="22"/>
              </w:rPr>
            </w:pPr>
            <w:r w:rsidRPr="00D63B51">
              <w:rPr>
                <w:sz w:val="22"/>
                <w:szCs w:val="22"/>
              </w:rPr>
              <w:t xml:space="preserve">Short-Form complaint completion and service. </w:t>
            </w:r>
          </w:p>
          <w:p w14:paraId="196A6544" w14:textId="77777777" w:rsidR="00F62B2D" w:rsidRPr="00D63B51" w:rsidRDefault="00F62B2D" w:rsidP="00F62B2D">
            <w:pPr>
              <w:pStyle w:val="ListParagraph"/>
              <w:numPr>
                <w:ilvl w:val="0"/>
                <w:numId w:val="5"/>
              </w:numPr>
              <w:spacing w:beforeLines="60" w:before="144" w:afterLines="60" w:after="144"/>
              <w:contextualSpacing w:val="0"/>
              <w:rPr>
                <w:sz w:val="22"/>
                <w:szCs w:val="22"/>
              </w:rPr>
            </w:pPr>
            <w:r w:rsidRPr="00D63B51">
              <w:rPr>
                <w:sz w:val="22"/>
                <w:szCs w:val="22"/>
              </w:rPr>
              <w:t>Access to templates for census forms, PFS, DFS, and medical records authorizations.</w:t>
            </w:r>
          </w:p>
          <w:p w14:paraId="21BBA5F7" w14:textId="77777777" w:rsidR="00F62B2D" w:rsidRPr="00D63B51" w:rsidRDefault="00F62B2D" w:rsidP="00F62B2D">
            <w:pPr>
              <w:pStyle w:val="ListParagraph"/>
              <w:numPr>
                <w:ilvl w:val="0"/>
                <w:numId w:val="5"/>
              </w:numPr>
              <w:spacing w:beforeLines="60" w:before="144" w:afterLines="60" w:after="144"/>
              <w:contextualSpacing w:val="0"/>
              <w:rPr>
                <w:sz w:val="22"/>
                <w:szCs w:val="22"/>
              </w:rPr>
            </w:pPr>
            <w:r w:rsidRPr="00D63B51">
              <w:rPr>
                <w:sz w:val="22"/>
                <w:szCs w:val="22"/>
              </w:rPr>
              <w:t>Central library of medical authorizations.</w:t>
            </w:r>
          </w:p>
          <w:p w14:paraId="36DABA6A" w14:textId="77777777" w:rsidR="00F62B2D" w:rsidRPr="00D63B51" w:rsidRDefault="00F62B2D" w:rsidP="00F62B2D">
            <w:pPr>
              <w:pStyle w:val="ListParagraph"/>
              <w:numPr>
                <w:ilvl w:val="0"/>
                <w:numId w:val="5"/>
              </w:numPr>
              <w:spacing w:beforeLines="60" w:before="144" w:afterLines="60" w:after="144"/>
              <w:contextualSpacing w:val="0"/>
              <w:rPr>
                <w:sz w:val="22"/>
                <w:szCs w:val="22"/>
              </w:rPr>
            </w:pPr>
            <w:r w:rsidRPr="00D63B51">
              <w:rPr>
                <w:sz w:val="22"/>
                <w:szCs w:val="22"/>
              </w:rPr>
              <w:t>Deposition repository and calendar.</w:t>
            </w:r>
          </w:p>
          <w:p w14:paraId="002E4B81" w14:textId="77777777" w:rsidR="00F62B2D" w:rsidRPr="00D63B51" w:rsidRDefault="00F62B2D" w:rsidP="00F62B2D">
            <w:pPr>
              <w:pStyle w:val="ListParagraph"/>
              <w:numPr>
                <w:ilvl w:val="0"/>
                <w:numId w:val="5"/>
              </w:numPr>
              <w:spacing w:beforeLines="60" w:before="144" w:afterLines="60" w:after="144"/>
              <w:contextualSpacing w:val="0"/>
              <w:rPr>
                <w:sz w:val="22"/>
                <w:szCs w:val="22"/>
              </w:rPr>
            </w:pPr>
            <w:r w:rsidRPr="00D63B51">
              <w:rPr>
                <w:sz w:val="22"/>
                <w:szCs w:val="22"/>
              </w:rPr>
              <w:t>Status conferences and hearings transcripts.</w:t>
            </w:r>
          </w:p>
          <w:p w14:paraId="0B1342EC" w14:textId="77777777" w:rsidR="00F62B2D" w:rsidRPr="00D63B51" w:rsidRDefault="00F62B2D" w:rsidP="00F62B2D">
            <w:pPr>
              <w:pStyle w:val="ListParagraph"/>
              <w:numPr>
                <w:ilvl w:val="0"/>
                <w:numId w:val="5"/>
              </w:numPr>
              <w:spacing w:beforeLines="60" w:before="144" w:afterLines="60" w:after="144"/>
              <w:contextualSpacing w:val="0"/>
              <w:rPr>
                <w:sz w:val="22"/>
                <w:szCs w:val="22"/>
              </w:rPr>
            </w:pPr>
            <w:r w:rsidRPr="00D63B51">
              <w:rPr>
                <w:sz w:val="22"/>
                <w:szCs w:val="22"/>
              </w:rPr>
              <w:t>Discovery exchanges and document production.</w:t>
            </w:r>
          </w:p>
          <w:p w14:paraId="7CFB0DE8" w14:textId="77777777" w:rsidR="00F62B2D" w:rsidRPr="00D63B51" w:rsidRDefault="00F62B2D" w:rsidP="00F62B2D">
            <w:pPr>
              <w:pStyle w:val="ListParagraph"/>
              <w:numPr>
                <w:ilvl w:val="0"/>
                <w:numId w:val="5"/>
              </w:numPr>
              <w:spacing w:beforeLines="60" w:before="144" w:afterLines="60" w:after="144"/>
              <w:contextualSpacing w:val="0"/>
              <w:rPr>
                <w:sz w:val="22"/>
                <w:szCs w:val="22"/>
              </w:rPr>
            </w:pPr>
            <w:r w:rsidRPr="00D63B51">
              <w:rPr>
                <w:sz w:val="22"/>
                <w:szCs w:val="22"/>
              </w:rPr>
              <w:t>ESI protocols and production.</w:t>
            </w:r>
          </w:p>
          <w:p w14:paraId="46517203" w14:textId="77777777" w:rsidR="00F62B2D" w:rsidRPr="00D63B51" w:rsidRDefault="00F62B2D" w:rsidP="00F62B2D">
            <w:pPr>
              <w:pStyle w:val="ListParagraph"/>
              <w:numPr>
                <w:ilvl w:val="0"/>
                <w:numId w:val="5"/>
              </w:numPr>
              <w:spacing w:beforeLines="60" w:before="144" w:afterLines="60" w:after="144"/>
              <w:contextualSpacing w:val="0"/>
              <w:rPr>
                <w:sz w:val="22"/>
                <w:szCs w:val="22"/>
              </w:rPr>
            </w:pPr>
            <w:r w:rsidRPr="00D63B51">
              <w:rPr>
                <w:sz w:val="22"/>
                <w:szCs w:val="22"/>
              </w:rPr>
              <w:t>Third-party discovery and production.</w:t>
            </w:r>
          </w:p>
          <w:p w14:paraId="3D8FA7A5" w14:textId="77777777" w:rsidR="00F62B2D" w:rsidRPr="00D63B51" w:rsidRDefault="00F62B2D" w:rsidP="00F62B2D">
            <w:pPr>
              <w:pStyle w:val="ListParagraph"/>
              <w:numPr>
                <w:ilvl w:val="0"/>
                <w:numId w:val="5"/>
              </w:numPr>
              <w:spacing w:beforeLines="60" w:before="144" w:afterLines="60" w:after="144"/>
              <w:contextualSpacing w:val="0"/>
              <w:rPr>
                <w:sz w:val="22"/>
                <w:szCs w:val="22"/>
              </w:rPr>
            </w:pPr>
            <w:r w:rsidRPr="00D63B51">
              <w:rPr>
                <w:sz w:val="22"/>
                <w:szCs w:val="22"/>
              </w:rPr>
              <w:t>Integration with record-collection vendors to distribute records.</w:t>
            </w:r>
          </w:p>
          <w:p w14:paraId="4B1F3484" w14:textId="77777777" w:rsidR="00F62B2D" w:rsidRPr="00D63B51" w:rsidRDefault="00F62B2D" w:rsidP="00F62B2D">
            <w:pPr>
              <w:pStyle w:val="ListParagraph"/>
              <w:numPr>
                <w:ilvl w:val="0"/>
                <w:numId w:val="5"/>
              </w:numPr>
              <w:spacing w:beforeLines="60" w:before="144" w:afterLines="60" w:after="144"/>
              <w:contextualSpacing w:val="0"/>
              <w:rPr>
                <w:sz w:val="22"/>
                <w:szCs w:val="22"/>
              </w:rPr>
            </w:pPr>
            <w:r w:rsidRPr="00D63B51">
              <w:rPr>
                <w:sz w:val="22"/>
                <w:szCs w:val="22"/>
              </w:rPr>
              <w:t>Science and expert witnesses lists and rulings.</w:t>
            </w:r>
          </w:p>
        </w:tc>
        <w:tc>
          <w:tcPr>
            <w:tcW w:w="2340" w:type="dxa"/>
            <w:vAlign w:val="center"/>
          </w:tcPr>
          <w:p w14:paraId="072E820D" w14:textId="77777777" w:rsidR="00F62B2D" w:rsidRPr="00D63B51" w:rsidRDefault="00F62B2D" w:rsidP="00F62B2D">
            <w:pPr>
              <w:pStyle w:val="ListParagraph"/>
              <w:numPr>
                <w:ilvl w:val="0"/>
                <w:numId w:val="6"/>
              </w:numPr>
              <w:spacing w:before="60" w:after="60"/>
              <w:contextualSpacing w:val="0"/>
              <w:rPr>
                <w:sz w:val="22"/>
                <w:szCs w:val="22"/>
              </w:rPr>
            </w:pPr>
            <w:r w:rsidRPr="00D63B51">
              <w:rPr>
                <w:sz w:val="22"/>
                <w:szCs w:val="22"/>
              </w:rPr>
              <w:t>Trial document and exhibits archive.</w:t>
            </w:r>
          </w:p>
          <w:p w14:paraId="1E3FD4E3" w14:textId="77777777" w:rsidR="00F62B2D" w:rsidRPr="00D63B51" w:rsidRDefault="00F62B2D" w:rsidP="00F62B2D">
            <w:pPr>
              <w:pStyle w:val="ListParagraph"/>
              <w:numPr>
                <w:ilvl w:val="0"/>
                <w:numId w:val="6"/>
              </w:numPr>
              <w:spacing w:before="60" w:after="60"/>
              <w:contextualSpacing w:val="0"/>
              <w:rPr>
                <w:sz w:val="22"/>
                <w:szCs w:val="22"/>
              </w:rPr>
            </w:pPr>
            <w:r w:rsidRPr="00D63B51">
              <w:rPr>
                <w:sz w:val="22"/>
                <w:szCs w:val="22"/>
              </w:rPr>
              <w:t>Witness lists.</w:t>
            </w:r>
          </w:p>
          <w:p w14:paraId="11D6C9BB" w14:textId="77777777" w:rsidR="00F62B2D" w:rsidRPr="00D63B51" w:rsidRDefault="00F62B2D" w:rsidP="00F62B2D">
            <w:pPr>
              <w:pStyle w:val="ListParagraph"/>
              <w:numPr>
                <w:ilvl w:val="0"/>
                <w:numId w:val="6"/>
              </w:numPr>
              <w:spacing w:before="60" w:after="60"/>
              <w:contextualSpacing w:val="0"/>
              <w:rPr>
                <w:sz w:val="22"/>
                <w:szCs w:val="22"/>
              </w:rPr>
            </w:pPr>
            <w:r w:rsidRPr="00D63B51">
              <w:rPr>
                <w:sz w:val="22"/>
                <w:szCs w:val="22"/>
              </w:rPr>
              <w:t xml:space="preserve">Trial package. </w:t>
            </w:r>
          </w:p>
        </w:tc>
        <w:tc>
          <w:tcPr>
            <w:tcW w:w="3420" w:type="dxa"/>
            <w:vAlign w:val="center"/>
            <w:hideMark/>
          </w:tcPr>
          <w:p w14:paraId="7805C66C" w14:textId="77777777" w:rsidR="00F62B2D" w:rsidRPr="00D63B51" w:rsidRDefault="00F62B2D" w:rsidP="00F62B2D">
            <w:pPr>
              <w:pStyle w:val="ListParagraph"/>
              <w:numPr>
                <w:ilvl w:val="0"/>
                <w:numId w:val="7"/>
              </w:numPr>
              <w:spacing w:before="60" w:after="60"/>
              <w:contextualSpacing w:val="0"/>
              <w:rPr>
                <w:sz w:val="22"/>
                <w:szCs w:val="22"/>
              </w:rPr>
            </w:pPr>
            <w:r w:rsidRPr="00D63B51">
              <w:rPr>
                <w:sz w:val="22"/>
                <w:szCs w:val="22"/>
              </w:rPr>
              <w:t xml:space="preserve">Module for use in mediation. </w:t>
            </w:r>
          </w:p>
          <w:p w14:paraId="109A25FB" w14:textId="77777777" w:rsidR="00F62B2D" w:rsidRPr="00D63B51" w:rsidRDefault="00F62B2D" w:rsidP="00F62B2D">
            <w:pPr>
              <w:pStyle w:val="ListParagraph"/>
              <w:numPr>
                <w:ilvl w:val="0"/>
                <w:numId w:val="7"/>
              </w:numPr>
              <w:spacing w:before="60" w:after="60"/>
              <w:contextualSpacing w:val="0"/>
              <w:rPr>
                <w:sz w:val="22"/>
                <w:szCs w:val="22"/>
              </w:rPr>
            </w:pPr>
            <w:r w:rsidRPr="00D63B51">
              <w:rPr>
                <w:sz w:val="22"/>
                <w:szCs w:val="22"/>
              </w:rPr>
              <w:t xml:space="preserve">Settlement agreement and associated documents. </w:t>
            </w:r>
          </w:p>
          <w:p w14:paraId="04AFD4B2" w14:textId="77777777" w:rsidR="00F62B2D" w:rsidRPr="00D63B51" w:rsidRDefault="00F62B2D" w:rsidP="00F62B2D">
            <w:pPr>
              <w:pStyle w:val="ListParagraph"/>
              <w:numPr>
                <w:ilvl w:val="0"/>
                <w:numId w:val="7"/>
              </w:numPr>
              <w:spacing w:before="60" w:after="60"/>
              <w:contextualSpacing w:val="0"/>
              <w:rPr>
                <w:sz w:val="22"/>
                <w:szCs w:val="22"/>
              </w:rPr>
            </w:pPr>
            <w:r w:rsidRPr="00D63B51">
              <w:rPr>
                <w:sz w:val="22"/>
                <w:szCs w:val="22"/>
              </w:rPr>
              <w:t xml:space="preserve">Orders pertaining to settlement. </w:t>
            </w:r>
          </w:p>
          <w:p w14:paraId="687F6137" w14:textId="77777777" w:rsidR="00F62B2D" w:rsidRPr="00D63B51" w:rsidRDefault="00F62B2D" w:rsidP="00F62B2D">
            <w:pPr>
              <w:pStyle w:val="ListParagraph"/>
              <w:numPr>
                <w:ilvl w:val="0"/>
                <w:numId w:val="7"/>
              </w:numPr>
              <w:spacing w:before="60" w:after="60"/>
              <w:contextualSpacing w:val="0"/>
              <w:rPr>
                <w:sz w:val="22"/>
                <w:szCs w:val="22"/>
              </w:rPr>
            </w:pPr>
            <w:r w:rsidRPr="00D63B51">
              <w:rPr>
                <w:sz w:val="22"/>
                <w:szCs w:val="22"/>
              </w:rPr>
              <w:t xml:space="preserve">Remand orders. </w:t>
            </w:r>
          </w:p>
          <w:p w14:paraId="79C16FCA" w14:textId="77777777" w:rsidR="00F62B2D" w:rsidRPr="00D63B51" w:rsidRDefault="00F62B2D" w:rsidP="00F62B2D">
            <w:pPr>
              <w:pStyle w:val="ListParagraph"/>
              <w:numPr>
                <w:ilvl w:val="0"/>
                <w:numId w:val="7"/>
              </w:numPr>
              <w:spacing w:before="60" w:after="60"/>
              <w:contextualSpacing w:val="0"/>
              <w:rPr>
                <w:sz w:val="22"/>
                <w:szCs w:val="22"/>
              </w:rPr>
            </w:pPr>
            <w:r w:rsidRPr="00D63B51">
              <w:rPr>
                <w:sz w:val="22"/>
                <w:szCs w:val="22"/>
              </w:rPr>
              <w:t xml:space="preserve">Dismissal orders. </w:t>
            </w:r>
          </w:p>
        </w:tc>
      </w:tr>
    </w:tbl>
    <w:p w14:paraId="1FF2188C" w14:textId="77777777" w:rsidR="00F62B2D" w:rsidRPr="00D63B51" w:rsidRDefault="00F62B2D" w:rsidP="00F62B2D">
      <w:pPr>
        <w:spacing w:line="360" w:lineRule="auto"/>
        <w:ind w:left="-720"/>
      </w:pPr>
    </w:p>
    <w:p w14:paraId="25A47C71" w14:textId="77777777" w:rsidR="00F62B2D" w:rsidRPr="00D63B51" w:rsidRDefault="00F62B2D" w:rsidP="00F62B2D">
      <w:pPr>
        <w:spacing w:line="360" w:lineRule="auto"/>
        <w:ind w:left="-720" w:firstLine="720"/>
        <w:jc w:val="both"/>
      </w:pPr>
      <w:r w:rsidRPr="00D63B51">
        <w:t>A central-exchange platform facilitates the efficient exchange of large volumes of discovery data related to individual plaintiffs and defendants in an MDL. Although commonly deployed for plaintiff fact sheets or questionnaire data management, a central exchange platform can provide many more functions and benefits for plaintiffs, defendants, and the court. Figure A2 below summarizes typical functions and benefits related to centralized-data management.</w:t>
      </w:r>
    </w:p>
    <w:p w14:paraId="3246BCC4" w14:textId="77777777" w:rsidR="00F62B2D" w:rsidRPr="00D63B51" w:rsidRDefault="00F62B2D" w:rsidP="00F62B2D">
      <w:pPr>
        <w:autoSpaceDE w:val="0"/>
        <w:autoSpaceDN w:val="0"/>
        <w:adjustRightInd w:val="0"/>
        <w:jc w:val="both"/>
        <w:rPr>
          <w:rFonts w:ascii="TimesNewRomanPSMT" w:hAnsi="TimesNewRomanPSMT" w:cs="TimesNewRomanPSMT"/>
        </w:rPr>
      </w:pPr>
    </w:p>
    <w:tbl>
      <w:tblPr>
        <w:tblStyle w:val="TableGrid"/>
        <w:tblW w:w="11160" w:type="dxa"/>
        <w:jc w:val="center"/>
        <w:tblLayout w:type="fixed"/>
        <w:tblLook w:val="04A0" w:firstRow="1" w:lastRow="0" w:firstColumn="1" w:lastColumn="0" w:noHBand="0" w:noVBand="1"/>
      </w:tblPr>
      <w:tblGrid>
        <w:gridCol w:w="2155"/>
        <w:gridCol w:w="2430"/>
        <w:gridCol w:w="2700"/>
        <w:gridCol w:w="3875"/>
      </w:tblGrid>
      <w:tr w:rsidR="00F62B2D" w:rsidRPr="00D63B51" w14:paraId="29D0A2C4" w14:textId="77777777" w:rsidTr="00CA548F">
        <w:trPr>
          <w:trHeight w:val="647"/>
          <w:tblHeader/>
          <w:jc w:val="center"/>
        </w:trPr>
        <w:tc>
          <w:tcPr>
            <w:tcW w:w="2155" w:type="dxa"/>
            <w:shd w:val="clear" w:color="auto" w:fill="83CAEB" w:themeFill="accent1" w:themeFillTint="66"/>
            <w:vAlign w:val="center"/>
          </w:tcPr>
          <w:p w14:paraId="5EC46A24" w14:textId="77777777" w:rsidR="00F62B2D" w:rsidRPr="00D63B51" w:rsidRDefault="00F62B2D" w:rsidP="00CA548F">
            <w:pPr>
              <w:spacing w:after="120"/>
              <w:jc w:val="center"/>
              <w:rPr>
                <w:rFonts w:ascii="Times New Roman Bold" w:hAnsi="Times New Roman Bold"/>
                <w:b/>
                <w:bCs/>
                <w:smallCaps/>
                <w:sz w:val="28"/>
                <w:szCs w:val="28"/>
              </w:rPr>
            </w:pPr>
            <w:r w:rsidRPr="00D63B51">
              <w:rPr>
                <w:rFonts w:ascii="Times New Roman Bold" w:hAnsi="Times New Roman Bold"/>
                <w:b/>
                <w:bCs/>
                <w:smallCaps/>
                <w:sz w:val="28"/>
                <w:szCs w:val="28"/>
              </w:rPr>
              <w:lastRenderedPageBreak/>
              <w:t>Figure A2</w:t>
            </w:r>
          </w:p>
        </w:tc>
        <w:tc>
          <w:tcPr>
            <w:tcW w:w="9005" w:type="dxa"/>
            <w:gridSpan w:val="3"/>
            <w:shd w:val="clear" w:color="auto" w:fill="83CAEB" w:themeFill="accent1" w:themeFillTint="66"/>
            <w:vAlign w:val="center"/>
          </w:tcPr>
          <w:p w14:paraId="3028D719" w14:textId="77777777" w:rsidR="00F62B2D" w:rsidRPr="00D63B51" w:rsidRDefault="00F62B2D" w:rsidP="00CA548F">
            <w:pPr>
              <w:jc w:val="center"/>
              <w:rPr>
                <w:rFonts w:ascii="Times New Roman Bold" w:hAnsi="Times New Roman Bold"/>
                <w:b/>
                <w:bCs/>
                <w:smallCaps/>
                <w:sz w:val="28"/>
                <w:szCs w:val="28"/>
              </w:rPr>
            </w:pPr>
            <w:r w:rsidRPr="00D63B51">
              <w:rPr>
                <w:rFonts w:ascii="Times New Roman Bold" w:hAnsi="Times New Roman Bold"/>
                <w:b/>
                <w:bCs/>
                <w:caps/>
              </w:rPr>
              <w:t>FUNCTIONS and BENEFITS</w:t>
            </w:r>
          </w:p>
        </w:tc>
      </w:tr>
      <w:tr w:rsidR="00F62B2D" w:rsidRPr="00D63B51" w14:paraId="739E5435" w14:textId="77777777" w:rsidTr="00CA548F">
        <w:trPr>
          <w:trHeight w:val="323"/>
          <w:tblHeader/>
          <w:jc w:val="center"/>
        </w:trPr>
        <w:tc>
          <w:tcPr>
            <w:tcW w:w="11160" w:type="dxa"/>
            <w:gridSpan w:val="4"/>
            <w:shd w:val="clear" w:color="auto" w:fill="83CAEB" w:themeFill="accent1" w:themeFillTint="66"/>
            <w:noWrap/>
            <w:vAlign w:val="center"/>
            <w:hideMark/>
          </w:tcPr>
          <w:p w14:paraId="4400F406" w14:textId="77777777" w:rsidR="00F62B2D" w:rsidRPr="00D63B51" w:rsidRDefault="00F62B2D" w:rsidP="00CA548F">
            <w:pPr>
              <w:jc w:val="center"/>
              <w:rPr>
                <w:b/>
                <w:bCs/>
              </w:rPr>
            </w:pPr>
            <w:r w:rsidRPr="00D63B51">
              <w:rPr>
                <w:b/>
                <w:bCs/>
              </w:rPr>
              <w:t>MDL PHASES</w:t>
            </w:r>
          </w:p>
        </w:tc>
      </w:tr>
      <w:tr w:rsidR="00F62B2D" w:rsidRPr="00D63B51" w14:paraId="31B6E0D0" w14:textId="77777777" w:rsidTr="00CA548F">
        <w:trPr>
          <w:trHeight w:val="260"/>
          <w:tblHeader/>
          <w:jc w:val="center"/>
        </w:trPr>
        <w:tc>
          <w:tcPr>
            <w:tcW w:w="4585" w:type="dxa"/>
            <w:gridSpan w:val="2"/>
            <w:shd w:val="clear" w:color="auto" w:fill="C1E4F5" w:themeFill="accent1" w:themeFillTint="33"/>
            <w:vAlign w:val="center"/>
            <w:hideMark/>
          </w:tcPr>
          <w:p w14:paraId="1C1160C7" w14:textId="77777777" w:rsidR="00F62B2D" w:rsidRPr="00D63B51" w:rsidRDefault="00F62B2D" w:rsidP="00CA548F">
            <w:pPr>
              <w:jc w:val="center"/>
              <w:rPr>
                <w:b/>
                <w:bCs/>
              </w:rPr>
            </w:pPr>
            <w:r w:rsidRPr="00D63B51">
              <w:rPr>
                <w:b/>
                <w:bCs/>
              </w:rPr>
              <w:t>Pretrial</w:t>
            </w:r>
          </w:p>
        </w:tc>
        <w:tc>
          <w:tcPr>
            <w:tcW w:w="2700" w:type="dxa"/>
            <w:shd w:val="clear" w:color="auto" w:fill="C1E4F5" w:themeFill="accent1" w:themeFillTint="33"/>
            <w:vAlign w:val="center"/>
          </w:tcPr>
          <w:p w14:paraId="61BA7EF1" w14:textId="77777777" w:rsidR="00F62B2D" w:rsidRPr="00D63B51" w:rsidRDefault="00F62B2D" w:rsidP="00CA548F">
            <w:pPr>
              <w:jc w:val="center"/>
              <w:rPr>
                <w:b/>
                <w:bCs/>
              </w:rPr>
            </w:pPr>
            <w:r w:rsidRPr="00D63B51">
              <w:rPr>
                <w:b/>
                <w:bCs/>
              </w:rPr>
              <w:t>Trial</w:t>
            </w:r>
          </w:p>
        </w:tc>
        <w:tc>
          <w:tcPr>
            <w:tcW w:w="3875" w:type="dxa"/>
            <w:shd w:val="clear" w:color="auto" w:fill="C1E4F5" w:themeFill="accent1" w:themeFillTint="33"/>
            <w:vAlign w:val="center"/>
            <w:hideMark/>
          </w:tcPr>
          <w:p w14:paraId="4AA4DCC9" w14:textId="77777777" w:rsidR="00F62B2D" w:rsidRPr="00D63B51" w:rsidRDefault="00F62B2D" w:rsidP="00CA548F">
            <w:pPr>
              <w:jc w:val="center"/>
              <w:rPr>
                <w:b/>
                <w:bCs/>
              </w:rPr>
            </w:pPr>
            <w:r w:rsidRPr="00D63B51">
              <w:rPr>
                <w:b/>
                <w:bCs/>
              </w:rPr>
              <w:t>Resolution</w:t>
            </w:r>
          </w:p>
        </w:tc>
      </w:tr>
      <w:tr w:rsidR="00F62B2D" w:rsidRPr="00D63B51" w14:paraId="464C7DF9" w14:textId="77777777" w:rsidTr="00CA548F">
        <w:trPr>
          <w:trHeight w:val="3600"/>
          <w:jc w:val="center"/>
        </w:trPr>
        <w:tc>
          <w:tcPr>
            <w:tcW w:w="4585" w:type="dxa"/>
            <w:gridSpan w:val="2"/>
            <w:vAlign w:val="center"/>
            <w:hideMark/>
          </w:tcPr>
          <w:p w14:paraId="4FDB6494" w14:textId="77777777" w:rsidR="00F62B2D" w:rsidRPr="00D63B51" w:rsidRDefault="00F62B2D" w:rsidP="00F62B2D">
            <w:pPr>
              <w:pStyle w:val="ListParagraph"/>
              <w:numPr>
                <w:ilvl w:val="0"/>
                <w:numId w:val="2"/>
              </w:numPr>
              <w:spacing w:beforeLines="60" w:before="144" w:afterLines="60" w:after="144"/>
              <w:contextualSpacing w:val="0"/>
              <w:rPr>
                <w:sz w:val="22"/>
                <w:szCs w:val="22"/>
              </w:rPr>
            </w:pPr>
            <w:r w:rsidRPr="00D63B51">
              <w:rPr>
                <w:sz w:val="22"/>
                <w:szCs w:val="22"/>
              </w:rPr>
              <w:t>Provides centralized location for all critical data elements of plaintiff population.</w:t>
            </w:r>
          </w:p>
          <w:p w14:paraId="2EAE5384" w14:textId="77777777" w:rsidR="00F62B2D" w:rsidRPr="00D63B51" w:rsidRDefault="00F62B2D" w:rsidP="00F62B2D">
            <w:pPr>
              <w:pStyle w:val="ListParagraph"/>
              <w:numPr>
                <w:ilvl w:val="0"/>
                <w:numId w:val="2"/>
              </w:numPr>
              <w:spacing w:beforeLines="60" w:before="144" w:afterLines="60" w:after="144"/>
              <w:contextualSpacing w:val="0"/>
              <w:rPr>
                <w:sz w:val="22"/>
                <w:szCs w:val="22"/>
              </w:rPr>
            </w:pPr>
            <w:r w:rsidRPr="00D63B51">
              <w:rPr>
                <w:sz w:val="22"/>
                <w:szCs w:val="22"/>
              </w:rPr>
              <w:t>Provides key data visibility for early case assessments, cataloguing the universe of cases that comprise the MDL, and categorizes the MDL based on prominent variables to facilitate discovery phasing, if necessary.</w:t>
            </w:r>
          </w:p>
          <w:p w14:paraId="70C6A8F2" w14:textId="77777777" w:rsidR="00F62B2D" w:rsidRPr="00D63B51" w:rsidRDefault="00F62B2D" w:rsidP="00F62B2D">
            <w:pPr>
              <w:pStyle w:val="ListParagraph"/>
              <w:numPr>
                <w:ilvl w:val="0"/>
                <w:numId w:val="2"/>
              </w:numPr>
              <w:spacing w:beforeLines="60" w:before="144" w:afterLines="60" w:after="144"/>
              <w:contextualSpacing w:val="0"/>
              <w:rPr>
                <w:sz w:val="22"/>
                <w:szCs w:val="22"/>
              </w:rPr>
            </w:pPr>
            <w:r w:rsidRPr="00D63B51">
              <w:rPr>
                <w:sz w:val="22"/>
                <w:szCs w:val="22"/>
              </w:rPr>
              <w:t>Enables and supports advanced reporting and analytics on key data elements of plaintiff population.</w:t>
            </w:r>
          </w:p>
          <w:p w14:paraId="104C3C62" w14:textId="77777777" w:rsidR="00F62B2D" w:rsidRPr="00D63B51" w:rsidRDefault="00F62B2D" w:rsidP="00F62B2D">
            <w:pPr>
              <w:pStyle w:val="ListParagraph"/>
              <w:numPr>
                <w:ilvl w:val="0"/>
                <w:numId w:val="2"/>
              </w:numPr>
              <w:spacing w:beforeLines="60" w:before="144" w:afterLines="60" w:after="144"/>
              <w:contextualSpacing w:val="0"/>
              <w:rPr>
                <w:sz w:val="22"/>
                <w:szCs w:val="22"/>
              </w:rPr>
            </w:pPr>
            <w:r w:rsidRPr="00D63B51">
              <w:rPr>
                <w:sz w:val="22"/>
                <w:szCs w:val="22"/>
              </w:rPr>
              <w:t>Enables efficient completion, updating, and service of key documents such as Plaintiff Fact Sheets, Defendant Fact Sheets, Medical Record Authorizations, etc.</w:t>
            </w:r>
          </w:p>
          <w:p w14:paraId="57B547CD" w14:textId="77777777" w:rsidR="00F62B2D" w:rsidRPr="00D63B51" w:rsidRDefault="00F62B2D" w:rsidP="00F62B2D">
            <w:pPr>
              <w:pStyle w:val="ListParagraph"/>
              <w:numPr>
                <w:ilvl w:val="0"/>
                <w:numId w:val="2"/>
              </w:numPr>
              <w:spacing w:beforeLines="60" w:before="144" w:afterLines="60" w:after="144"/>
              <w:contextualSpacing w:val="0"/>
              <w:rPr>
                <w:sz w:val="22"/>
                <w:szCs w:val="22"/>
              </w:rPr>
            </w:pPr>
            <w:r w:rsidRPr="00D63B51">
              <w:rPr>
                <w:sz w:val="22"/>
                <w:szCs w:val="22"/>
              </w:rPr>
              <w:t>Permits tracking of information and visibility for unfiled cases.</w:t>
            </w:r>
          </w:p>
          <w:p w14:paraId="60907942" w14:textId="77777777" w:rsidR="00F62B2D" w:rsidRPr="00D63B51" w:rsidRDefault="00F62B2D" w:rsidP="00F62B2D">
            <w:pPr>
              <w:pStyle w:val="ListParagraph"/>
              <w:numPr>
                <w:ilvl w:val="0"/>
                <w:numId w:val="2"/>
              </w:numPr>
              <w:spacing w:beforeLines="60" w:before="144" w:afterLines="60" w:after="144"/>
              <w:contextualSpacing w:val="0"/>
              <w:rPr>
                <w:sz w:val="22"/>
                <w:szCs w:val="22"/>
              </w:rPr>
            </w:pPr>
            <w:r w:rsidRPr="00D63B51">
              <w:rPr>
                <w:sz w:val="22"/>
                <w:szCs w:val="22"/>
              </w:rPr>
              <w:t>Facilitates tracking of transferor courts and cases originally filed in the transferee court.</w:t>
            </w:r>
          </w:p>
          <w:p w14:paraId="2188C77F" w14:textId="77777777" w:rsidR="00F62B2D" w:rsidRPr="00D63B51" w:rsidRDefault="00F62B2D" w:rsidP="00F62B2D">
            <w:pPr>
              <w:pStyle w:val="ListParagraph"/>
              <w:numPr>
                <w:ilvl w:val="0"/>
                <w:numId w:val="2"/>
              </w:numPr>
              <w:spacing w:beforeLines="60" w:before="144" w:afterLines="60" w:after="144"/>
              <w:contextualSpacing w:val="0"/>
              <w:rPr>
                <w:sz w:val="22"/>
                <w:szCs w:val="22"/>
              </w:rPr>
            </w:pPr>
            <w:r w:rsidRPr="00D63B51">
              <w:rPr>
                <w:sz w:val="22"/>
                <w:szCs w:val="22"/>
              </w:rPr>
              <w:t>Enables identification and tracking of discovery pool or bellwether pool cases.</w:t>
            </w:r>
          </w:p>
          <w:p w14:paraId="175A29E8" w14:textId="77777777" w:rsidR="00F62B2D" w:rsidRPr="00D63B51" w:rsidRDefault="00F62B2D" w:rsidP="00F62B2D">
            <w:pPr>
              <w:pStyle w:val="ListParagraph"/>
              <w:numPr>
                <w:ilvl w:val="0"/>
                <w:numId w:val="2"/>
              </w:numPr>
              <w:spacing w:beforeLines="60" w:before="144" w:afterLines="60" w:after="144"/>
              <w:contextualSpacing w:val="0"/>
            </w:pPr>
            <w:r w:rsidRPr="00D63B51">
              <w:rPr>
                <w:sz w:val="22"/>
                <w:szCs w:val="22"/>
              </w:rPr>
              <w:t xml:space="preserve">Facilitates common benefit time and expense entry, review, and reporting. </w:t>
            </w:r>
          </w:p>
        </w:tc>
        <w:tc>
          <w:tcPr>
            <w:tcW w:w="2700" w:type="dxa"/>
            <w:vAlign w:val="center"/>
          </w:tcPr>
          <w:p w14:paraId="790669CB" w14:textId="77777777" w:rsidR="00F62B2D" w:rsidRPr="00D63B51" w:rsidRDefault="00F62B2D" w:rsidP="00F62B2D">
            <w:pPr>
              <w:pStyle w:val="ListParagraph"/>
              <w:numPr>
                <w:ilvl w:val="0"/>
                <w:numId w:val="3"/>
              </w:numPr>
              <w:spacing w:before="60" w:after="60"/>
              <w:contextualSpacing w:val="0"/>
              <w:rPr>
                <w:sz w:val="22"/>
                <w:szCs w:val="22"/>
              </w:rPr>
            </w:pPr>
            <w:r w:rsidRPr="00D63B51">
              <w:rPr>
                <w:sz w:val="22"/>
                <w:szCs w:val="22"/>
              </w:rPr>
              <w:t xml:space="preserve">Facilitates analysis for the bellwether selection process and enables tracking and reporting related to bellwether trial candidates. </w:t>
            </w:r>
          </w:p>
          <w:p w14:paraId="061579A6" w14:textId="77777777" w:rsidR="00F62B2D" w:rsidRPr="00D63B51" w:rsidRDefault="00F62B2D" w:rsidP="00F62B2D">
            <w:pPr>
              <w:pStyle w:val="ListParagraph"/>
              <w:numPr>
                <w:ilvl w:val="0"/>
                <w:numId w:val="3"/>
              </w:numPr>
              <w:spacing w:before="60" w:after="60"/>
              <w:contextualSpacing w:val="0"/>
              <w:rPr>
                <w:sz w:val="22"/>
                <w:szCs w:val="22"/>
              </w:rPr>
            </w:pPr>
            <w:r w:rsidRPr="00D63B51">
              <w:rPr>
                <w:sz w:val="22"/>
                <w:szCs w:val="22"/>
              </w:rPr>
              <w:t>Enables implementation of a centralized trial calendar and trial outcome tracking.</w:t>
            </w:r>
          </w:p>
        </w:tc>
        <w:tc>
          <w:tcPr>
            <w:tcW w:w="3875" w:type="dxa"/>
            <w:vAlign w:val="center"/>
            <w:hideMark/>
          </w:tcPr>
          <w:p w14:paraId="00E8942C" w14:textId="77777777" w:rsidR="00F62B2D" w:rsidRPr="00D63B51" w:rsidRDefault="00F62B2D" w:rsidP="00F62B2D">
            <w:pPr>
              <w:pStyle w:val="ListParagraph"/>
              <w:numPr>
                <w:ilvl w:val="0"/>
                <w:numId w:val="4"/>
              </w:numPr>
              <w:spacing w:beforeLines="60" w:before="144" w:afterLines="60" w:after="144"/>
              <w:contextualSpacing w:val="0"/>
              <w:rPr>
                <w:sz w:val="22"/>
                <w:szCs w:val="22"/>
              </w:rPr>
            </w:pPr>
            <w:r w:rsidRPr="00D63B51">
              <w:rPr>
                <w:sz w:val="22"/>
                <w:szCs w:val="22"/>
              </w:rPr>
              <w:t>Provides visibility into plaintiff data to support case evaluation(s) and assist settlement negotiations.</w:t>
            </w:r>
          </w:p>
          <w:p w14:paraId="75891EAB" w14:textId="77777777" w:rsidR="00F62B2D" w:rsidRPr="00D63B51" w:rsidRDefault="00F62B2D" w:rsidP="00F62B2D">
            <w:pPr>
              <w:pStyle w:val="ListParagraph"/>
              <w:numPr>
                <w:ilvl w:val="0"/>
                <w:numId w:val="4"/>
              </w:numPr>
              <w:spacing w:beforeLines="60" w:before="144" w:afterLines="60" w:after="144"/>
              <w:contextualSpacing w:val="0"/>
              <w:rPr>
                <w:sz w:val="22"/>
                <w:szCs w:val="22"/>
              </w:rPr>
            </w:pPr>
            <w:r w:rsidRPr="00D63B51">
              <w:rPr>
                <w:sz w:val="22"/>
                <w:szCs w:val="22"/>
              </w:rPr>
              <w:t xml:space="preserve">Helps ensure accurate count of cases and plaintiffs. </w:t>
            </w:r>
          </w:p>
          <w:p w14:paraId="286A794A" w14:textId="77777777" w:rsidR="00F62B2D" w:rsidRPr="00D63B51" w:rsidRDefault="00F62B2D" w:rsidP="00F62B2D">
            <w:pPr>
              <w:pStyle w:val="ListParagraph"/>
              <w:numPr>
                <w:ilvl w:val="0"/>
                <w:numId w:val="4"/>
              </w:numPr>
              <w:spacing w:beforeLines="60" w:before="144" w:afterLines="60" w:after="144"/>
              <w:contextualSpacing w:val="0"/>
              <w:rPr>
                <w:sz w:val="22"/>
                <w:szCs w:val="22"/>
              </w:rPr>
            </w:pPr>
            <w:r w:rsidRPr="00D63B51">
              <w:rPr>
                <w:sz w:val="22"/>
                <w:szCs w:val="22"/>
              </w:rPr>
              <w:t xml:space="preserve">Facilitates use of existing plaintiff data and records to implement detailed allocation methodology and transfer for settlement administration. </w:t>
            </w:r>
          </w:p>
          <w:p w14:paraId="17BBD1F2" w14:textId="77777777" w:rsidR="00F62B2D" w:rsidRPr="00D63B51" w:rsidRDefault="00F62B2D" w:rsidP="00F62B2D">
            <w:pPr>
              <w:pStyle w:val="ListParagraph"/>
              <w:numPr>
                <w:ilvl w:val="0"/>
                <w:numId w:val="4"/>
              </w:numPr>
              <w:spacing w:beforeLines="60" w:before="144" w:afterLines="60" w:after="144"/>
              <w:contextualSpacing w:val="0"/>
              <w:rPr>
                <w:sz w:val="22"/>
                <w:szCs w:val="22"/>
              </w:rPr>
            </w:pPr>
            <w:r w:rsidRPr="00D63B51">
              <w:rPr>
                <w:sz w:val="22"/>
                <w:szCs w:val="22"/>
              </w:rPr>
              <w:t>Supports advanced reporting and real-time analytics on claimant population such as settlement eligibility statistics, participation threshold metrics, etc.</w:t>
            </w:r>
          </w:p>
          <w:p w14:paraId="1B71DE06" w14:textId="77777777" w:rsidR="00F62B2D" w:rsidRPr="00D63B51" w:rsidRDefault="00F62B2D" w:rsidP="00F62B2D">
            <w:pPr>
              <w:pStyle w:val="ListParagraph"/>
              <w:numPr>
                <w:ilvl w:val="0"/>
                <w:numId w:val="4"/>
              </w:numPr>
              <w:spacing w:beforeLines="60" w:before="144" w:afterLines="60" w:after="144"/>
              <w:contextualSpacing w:val="0"/>
              <w:rPr>
                <w:sz w:val="22"/>
                <w:szCs w:val="22"/>
              </w:rPr>
            </w:pPr>
            <w:r w:rsidRPr="00D63B51">
              <w:rPr>
                <w:sz w:val="22"/>
                <w:szCs w:val="22"/>
              </w:rPr>
              <w:t>Enables tracking of lien assertion and resolution information.</w:t>
            </w:r>
          </w:p>
          <w:p w14:paraId="7A5F4CFD" w14:textId="77777777" w:rsidR="00F62B2D" w:rsidRPr="00D63B51" w:rsidRDefault="00F62B2D" w:rsidP="00F62B2D">
            <w:pPr>
              <w:pStyle w:val="ListParagraph"/>
              <w:numPr>
                <w:ilvl w:val="0"/>
                <w:numId w:val="4"/>
              </w:numPr>
              <w:spacing w:beforeLines="60" w:before="144" w:afterLines="60" w:after="144"/>
              <w:contextualSpacing w:val="0"/>
              <w:rPr>
                <w:sz w:val="22"/>
                <w:szCs w:val="22"/>
              </w:rPr>
            </w:pPr>
            <w:r w:rsidRPr="00D63B51">
              <w:rPr>
                <w:sz w:val="22"/>
                <w:szCs w:val="22"/>
              </w:rPr>
              <w:t>Facilitates tracking of remands using plaintiff and case data.</w:t>
            </w:r>
          </w:p>
          <w:p w14:paraId="35198AAF" w14:textId="77777777" w:rsidR="00F62B2D" w:rsidRPr="00D63B51" w:rsidRDefault="00F62B2D" w:rsidP="00F62B2D">
            <w:pPr>
              <w:pStyle w:val="ListParagraph"/>
              <w:numPr>
                <w:ilvl w:val="0"/>
                <w:numId w:val="4"/>
              </w:numPr>
              <w:spacing w:beforeLines="60" w:before="144" w:afterLines="60" w:after="144"/>
              <w:contextualSpacing w:val="0"/>
              <w:rPr>
                <w:sz w:val="22"/>
                <w:szCs w:val="22"/>
              </w:rPr>
            </w:pPr>
            <w:r w:rsidRPr="00D63B51">
              <w:rPr>
                <w:color w:val="auto"/>
                <w:sz w:val="22"/>
                <w:szCs w:val="22"/>
              </w:rPr>
              <w:t>Enables tracking of dismissals</w:t>
            </w:r>
            <w:r w:rsidRPr="00D63B51">
              <w:rPr>
                <w:sz w:val="22"/>
                <w:szCs w:val="22"/>
              </w:rPr>
              <w:t xml:space="preserve">. </w:t>
            </w:r>
          </w:p>
          <w:p w14:paraId="2FEA3052" w14:textId="77777777" w:rsidR="00F62B2D" w:rsidRPr="00D63B51" w:rsidRDefault="00F62B2D" w:rsidP="00F62B2D">
            <w:pPr>
              <w:pStyle w:val="ListParagraph"/>
              <w:numPr>
                <w:ilvl w:val="0"/>
                <w:numId w:val="4"/>
              </w:numPr>
              <w:spacing w:beforeLines="60" w:before="144" w:afterLines="60" w:after="144"/>
              <w:contextualSpacing w:val="0"/>
              <w:rPr>
                <w:sz w:val="22"/>
                <w:szCs w:val="22"/>
              </w:rPr>
            </w:pPr>
            <w:r w:rsidRPr="00D63B51">
              <w:rPr>
                <w:sz w:val="22"/>
                <w:szCs w:val="22"/>
              </w:rPr>
              <w:t>Enables use of data from proceedings and case resolutions to facilitate study of lessons learned from MDL activity.</w:t>
            </w:r>
          </w:p>
        </w:tc>
      </w:tr>
    </w:tbl>
    <w:p w14:paraId="7F899E88" w14:textId="77777777" w:rsidR="00F62B2D" w:rsidRPr="00D63B51" w:rsidRDefault="00F62B2D" w:rsidP="00F62B2D">
      <w:pPr>
        <w:ind w:right="720"/>
        <w:jc w:val="both"/>
      </w:pPr>
    </w:p>
    <w:p w14:paraId="5D93C8E1" w14:textId="77777777" w:rsidR="00F62B2D" w:rsidRPr="00D63B51" w:rsidRDefault="00F62B2D" w:rsidP="00F62B2D">
      <w:pPr>
        <w:spacing w:line="360" w:lineRule="auto"/>
        <w:ind w:left="-720" w:firstLine="720"/>
        <w:jc w:val="both"/>
        <w:rPr>
          <w:bCs/>
        </w:rPr>
      </w:pPr>
      <w:r w:rsidRPr="00D63B51">
        <w:rPr>
          <w:bCs/>
        </w:rPr>
        <w:t xml:space="preserve">The benefits of a central-exchange platform for gathering and analyzing information and materials are most evident in a situation when: (1) an MDL is likely to include a large volume of individual cases that would make aggregating individual discovery responses manually infeasible; (2) the number and size of general-discovery materials would be difficult to distribute to all interested parties without a centralized repository for such materials; and (3) there are multiple parties involved in an MDL such that a </w:t>
      </w:r>
      <w:r w:rsidRPr="00D63B51">
        <w:rPr>
          <w:rFonts w:ascii="TimesNewRomanPSMT" w:hAnsi="TimesNewRomanPSMT" w:cs="TimesNewRomanPSMT"/>
          <w:color w:val="auto"/>
        </w:rPr>
        <w:t>central-exchange</w:t>
      </w:r>
      <w:r w:rsidRPr="00D63B51">
        <w:rPr>
          <w:bCs/>
        </w:rPr>
        <w:t xml:space="preserve"> platform would make it easier for the court and parties to communicate with each other.  But a central-exchange platform also can be useful in any MDL for general and case-specific discovery.</w:t>
      </w:r>
    </w:p>
    <w:p w14:paraId="098E5B26" w14:textId="77777777" w:rsidR="00F62B2D" w:rsidRPr="00D63B51" w:rsidRDefault="00F62B2D" w:rsidP="00F62B2D">
      <w:pPr>
        <w:spacing w:line="360" w:lineRule="auto"/>
        <w:ind w:left="-720" w:firstLine="720"/>
        <w:jc w:val="both"/>
      </w:pPr>
      <w:r w:rsidRPr="00D63B51">
        <w:t xml:space="preserve">A principal benefit of a central-exchange platform is that it automates many actions that otherwise would be conducted manually during the pretrial, trial, and resolution phases of an MDL. Figure A3 indicates a platform’s automated benefits. </w:t>
      </w:r>
    </w:p>
    <w:p w14:paraId="354B7A80" w14:textId="77777777" w:rsidR="00F62B2D" w:rsidRPr="00D63B51" w:rsidRDefault="00F62B2D" w:rsidP="00F62B2D"/>
    <w:tbl>
      <w:tblPr>
        <w:tblStyle w:val="TableGrid"/>
        <w:tblW w:w="11785" w:type="dxa"/>
        <w:jc w:val="center"/>
        <w:tblLayout w:type="fixed"/>
        <w:tblLook w:val="04A0" w:firstRow="1" w:lastRow="0" w:firstColumn="1" w:lastColumn="0" w:noHBand="0" w:noVBand="1"/>
      </w:tblPr>
      <w:tblGrid>
        <w:gridCol w:w="2335"/>
        <w:gridCol w:w="1890"/>
        <w:gridCol w:w="2610"/>
        <w:gridCol w:w="4950"/>
      </w:tblGrid>
      <w:tr w:rsidR="00F62B2D" w:rsidRPr="00D63B51" w14:paraId="1C94C1D7" w14:textId="77777777" w:rsidTr="00CA548F">
        <w:trPr>
          <w:trHeight w:val="683"/>
          <w:tblHeader/>
          <w:jc w:val="center"/>
        </w:trPr>
        <w:tc>
          <w:tcPr>
            <w:tcW w:w="2335" w:type="dxa"/>
            <w:shd w:val="clear" w:color="auto" w:fill="83CAEB" w:themeFill="accent1" w:themeFillTint="66"/>
            <w:vAlign w:val="center"/>
          </w:tcPr>
          <w:p w14:paraId="2BA75518" w14:textId="77777777" w:rsidR="00F62B2D" w:rsidRPr="00D63B51" w:rsidRDefault="00F62B2D" w:rsidP="00CA548F">
            <w:pPr>
              <w:spacing w:before="120" w:after="120"/>
              <w:jc w:val="center"/>
              <w:rPr>
                <w:rFonts w:ascii="Times New Roman Bold" w:hAnsi="Times New Roman Bold"/>
                <w:b/>
                <w:bCs/>
                <w:smallCaps/>
                <w:sz w:val="28"/>
                <w:szCs w:val="28"/>
              </w:rPr>
            </w:pPr>
            <w:r w:rsidRPr="00D63B51">
              <w:rPr>
                <w:rFonts w:ascii="Times New Roman Bold" w:hAnsi="Times New Roman Bold"/>
                <w:b/>
                <w:bCs/>
                <w:smallCaps/>
                <w:sz w:val="28"/>
                <w:szCs w:val="28"/>
              </w:rPr>
              <w:t>Figure A3</w:t>
            </w:r>
          </w:p>
        </w:tc>
        <w:tc>
          <w:tcPr>
            <w:tcW w:w="9450" w:type="dxa"/>
            <w:gridSpan w:val="3"/>
            <w:shd w:val="clear" w:color="auto" w:fill="83CAEB" w:themeFill="accent1" w:themeFillTint="66"/>
            <w:vAlign w:val="center"/>
          </w:tcPr>
          <w:p w14:paraId="4D785654" w14:textId="77777777" w:rsidR="00F62B2D" w:rsidRPr="00D63B51" w:rsidRDefault="00F62B2D" w:rsidP="00CA548F">
            <w:pPr>
              <w:jc w:val="center"/>
              <w:rPr>
                <w:rFonts w:ascii="Times New Roman Bold" w:hAnsi="Times New Roman Bold"/>
                <w:b/>
                <w:bCs/>
                <w:smallCaps/>
                <w:sz w:val="28"/>
                <w:szCs w:val="28"/>
              </w:rPr>
            </w:pPr>
            <w:r w:rsidRPr="00D63B51">
              <w:rPr>
                <w:rFonts w:ascii="Times New Roman Bold" w:hAnsi="Times New Roman Bold"/>
                <w:b/>
                <w:bCs/>
                <w:caps/>
              </w:rPr>
              <w:t>Process Workflow and Automation</w:t>
            </w:r>
          </w:p>
        </w:tc>
      </w:tr>
      <w:tr w:rsidR="00F62B2D" w:rsidRPr="00D63B51" w14:paraId="67B32CE5" w14:textId="77777777" w:rsidTr="00CA548F">
        <w:trPr>
          <w:trHeight w:val="260"/>
          <w:tblHeader/>
          <w:jc w:val="center"/>
        </w:trPr>
        <w:tc>
          <w:tcPr>
            <w:tcW w:w="11785" w:type="dxa"/>
            <w:gridSpan w:val="4"/>
            <w:shd w:val="clear" w:color="auto" w:fill="83CAEB" w:themeFill="accent1" w:themeFillTint="66"/>
            <w:noWrap/>
            <w:vAlign w:val="center"/>
            <w:hideMark/>
          </w:tcPr>
          <w:p w14:paraId="11DD091C" w14:textId="77777777" w:rsidR="00F62B2D" w:rsidRPr="00D63B51" w:rsidRDefault="00F62B2D" w:rsidP="00CA548F">
            <w:pPr>
              <w:jc w:val="center"/>
              <w:rPr>
                <w:b/>
                <w:bCs/>
              </w:rPr>
            </w:pPr>
            <w:r w:rsidRPr="00D63B51">
              <w:rPr>
                <w:b/>
                <w:bCs/>
              </w:rPr>
              <w:t>MDL PHASES</w:t>
            </w:r>
          </w:p>
        </w:tc>
      </w:tr>
      <w:tr w:rsidR="00F62B2D" w:rsidRPr="00D63B51" w14:paraId="5E5C274A" w14:textId="77777777" w:rsidTr="00CA548F">
        <w:trPr>
          <w:trHeight w:val="377"/>
          <w:tblHeader/>
          <w:jc w:val="center"/>
        </w:trPr>
        <w:tc>
          <w:tcPr>
            <w:tcW w:w="4225" w:type="dxa"/>
            <w:gridSpan w:val="2"/>
            <w:tcBorders>
              <w:bottom w:val="single" w:sz="4" w:space="0" w:color="auto"/>
            </w:tcBorders>
            <w:shd w:val="clear" w:color="auto" w:fill="C1E4F5" w:themeFill="accent1" w:themeFillTint="33"/>
            <w:vAlign w:val="center"/>
            <w:hideMark/>
          </w:tcPr>
          <w:p w14:paraId="5FCE3018" w14:textId="77777777" w:rsidR="00F62B2D" w:rsidRPr="00D63B51" w:rsidRDefault="00F62B2D" w:rsidP="00CA548F">
            <w:pPr>
              <w:jc w:val="center"/>
              <w:rPr>
                <w:b/>
                <w:bCs/>
              </w:rPr>
            </w:pPr>
            <w:r w:rsidRPr="00D63B51">
              <w:rPr>
                <w:b/>
                <w:bCs/>
              </w:rPr>
              <w:t>Pretrial</w:t>
            </w:r>
          </w:p>
        </w:tc>
        <w:tc>
          <w:tcPr>
            <w:tcW w:w="2610" w:type="dxa"/>
            <w:tcBorders>
              <w:bottom w:val="single" w:sz="4" w:space="0" w:color="auto"/>
            </w:tcBorders>
            <w:shd w:val="clear" w:color="auto" w:fill="C1E4F5" w:themeFill="accent1" w:themeFillTint="33"/>
            <w:vAlign w:val="center"/>
          </w:tcPr>
          <w:p w14:paraId="0417FFEF" w14:textId="77777777" w:rsidR="00F62B2D" w:rsidRPr="00D63B51" w:rsidRDefault="00F62B2D" w:rsidP="00CA548F">
            <w:pPr>
              <w:jc w:val="center"/>
              <w:rPr>
                <w:b/>
                <w:bCs/>
              </w:rPr>
            </w:pPr>
            <w:r w:rsidRPr="00D63B51">
              <w:rPr>
                <w:b/>
                <w:bCs/>
              </w:rPr>
              <w:t>Trial</w:t>
            </w:r>
          </w:p>
        </w:tc>
        <w:tc>
          <w:tcPr>
            <w:tcW w:w="4950" w:type="dxa"/>
            <w:tcBorders>
              <w:bottom w:val="single" w:sz="4" w:space="0" w:color="auto"/>
            </w:tcBorders>
            <w:shd w:val="clear" w:color="auto" w:fill="C1E4F5" w:themeFill="accent1" w:themeFillTint="33"/>
            <w:vAlign w:val="center"/>
            <w:hideMark/>
          </w:tcPr>
          <w:p w14:paraId="27C226ED" w14:textId="77777777" w:rsidR="00F62B2D" w:rsidRPr="00D63B51" w:rsidRDefault="00F62B2D" w:rsidP="00CA548F">
            <w:pPr>
              <w:jc w:val="center"/>
              <w:rPr>
                <w:b/>
                <w:bCs/>
              </w:rPr>
            </w:pPr>
            <w:r w:rsidRPr="00D63B51">
              <w:rPr>
                <w:b/>
                <w:bCs/>
              </w:rPr>
              <w:t>MDL</w:t>
            </w:r>
          </w:p>
        </w:tc>
      </w:tr>
      <w:tr w:rsidR="00F62B2D" w:rsidRPr="00D63B51" w14:paraId="2883C35C" w14:textId="77777777" w:rsidTr="00CA548F">
        <w:trPr>
          <w:trHeight w:val="4157"/>
          <w:jc w:val="center"/>
        </w:trPr>
        <w:tc>
          <w:tcPr>
            <w:tcW w:w="4225" w:type="dxa"/>
            <w:gridSpan w:val="2"/>
            <w:tcBorders>
              <w:bottom w:val="single" w:sz="2" w:space="0" w:color="auto"/>
            </w:tcBorders>
            <w:vAlign w:val="center"/>
            <w:hideMark/>
          </w:tcPr>
          <w:p w14:paraId="105C2FE1" w14:textId="77777777" w:rsidR="00F62B2D" w:rsidRPr="00D63B51" w:rsidRDefault="00F62B2D" w:rsidP="00F62B2D">
            <w:pPr>
              <w:pStyle w:val="ListParagraph"/>
              <w:numPr>
                <w:ilvl w:val="0"/>
                <w:numId w:val="11"/>
              </w:numPr>
              <w:spacing w:before="60" w:after="60"/>
              <w:contextualSpacing w:val="0"/>
              <w:rPr>
                <w:sz w:val="22"/>
                <w:szCs w:val="22"/>
              </w:rPr>
            </w:pPr>
            <w:r w:rsidRPr="00D63B51">
              <w:rPr>
                <w:sz w:val="22"/>
                <w:szCs w:val="22"/>
              </w:rPr>
              <w:t>Data-entry controls enhance completeness of answers to PFS and other required forms.</w:t>
            </w:r>
          </w:p>
          <w:p w14:paraId="3BA59717" w14:textId="77777777" w:rsidR="00F62B2D" w:rsidRPr="00D63B51" w:rsidRDefault="00F62B2D" w:rsidP="00F62B2D">
            <w:pPr>
              <w:pStyle w:val="ListParagraph"/>
              <w:numPr>
                <w:ilvl w:val="0"/>
                <w:numId w:val="11"/>
              </w:numPr>
              <w:spacing w:before="60" w:after="60"/>
              <w:contextualSpacing w:val="0"/>
              <w:rPr>
                <w:sz w:val="22"/>
                <w:szCs w:val="22"/>
              </w:rPr>
            </w:pPr>
            <w:r w:rsidRPr="00D63B51">
              <w:rPr>
                <w:sz w:val="22"/>
                <w:szCs w:val="22"/>
              </w:rPr>
              <w:t xml:space="preserve">Automated analysis of completeness of PFS and other forms. </w:t>
            </w:r>
          </w:p>
          <w:p w14:paraId="5AA22AB7" w14:textId="77777777" w:rsidR="00F62B2D" w:rsidRPr="00D63B51" w:rsidRDefault="00F62B2D" w:rsidP="00F62B2D">
            <w:pPr>
              <w:pStyle w:val="ListParagraph"/>
              <w:numPr>
                <w:ilvl w:val="0"/>
                <w:numId w:val="11"/>
              </w:numPr>
              <w:spacing w:before="60" w:after="60"/>
              <w:contextualSpacing w:val="0"/>
              <w:rPr>
                <w:sz w:val="22"/>
                <w:szCs w:val="22"/>
              </w:rPr>
            </w:pPr>
            <w:r w:rsidRPr="00D63B51">
              <w:rPr>
                <w:color w:val="auto"/>
                <w:sz w:val="22"/>
                <w:szCs w:val="22"/>
              </w:rPr>
              <w:t>Automated issuance of deficiency notices and tracking of cures.</w:t>
            </w:r>
          </w:p>
          <w:p w14:paraId="1A4D94C3" w14:textId="77777777" w:rsidR="00F62B2D" w:rsidRPr="00D63B51" w:rsidRDefault="00F62B2D" w:rsidP="00F62B2D">
            <w:pPr>
              <w:pStyle w:val="ListParagraph"/>
              <w:numPr>
                <w:ilvl w:val="0"/>
                <w:numId w:val="11"/>
              </w:numPr>
              <w:spacing w:before="60" w:after="60"/>
              <w:contextualSpacing w:val="0"/>
              <w:rPr>
                <w:sz w:val="22"/>
                <w:szCs w:val="22"/>
              </w:rPr>
            </w:pPr>
            <w:r w:rsidRPr="00D63B51">
              <w:rPr>
                <w:color w:val="auto"/>
                <w:sz w:val="22"/>
                <w:szCs w:val="22"/>
              </w:rPr>
              <w:t xml:space="preserve">Automated deadline monitoring. </w:t>
            </w:r>
          </w:p>
          <w:p w14:paraId="2D50ADFF" w14:textId="77777777" w:rsidR="00F62B2D" w:rsidRPr="00D63B51" w:rsidRDefault="00F62B2D" w:rsidP="00F62B2D">
            <w:pPr>
              <w:pStyle w:val="ListParagraph"/>
              <w:numPr>
                <w:ilvl w:val="0"/>
                <w:numId w:val="11"/>
              </w:numPr>
              <w:spacing w:before="60" w:after="60"/>
              <w:contextualSpacing w:val="0"/>
              <w:rPr>
                <w:sz w:val="22"/>
                <w:szCs w:val="22"/>
              </w:rPr>
            </w:pPr>
            <w:r w:rsidRPr="00D63B51">
              <w:rPr>
                <w:color w:val="auto"/>
                <w:sz w:val="22"/>
                <w:szCs w:val="22"/>
              </w:rPr>
              <w:t xml:space="preserve">Submissions and libraries searchable by word, source, date, and other attributes. </w:t>
            </w:r>
          </w:p>
          <w:p w14:paraId="0B2FC91C" w14:textId="77777777" w:rsidR="00F62B2D" w:rsidRPr="00D63B51" w:rsidRDefault="00F62B2D" w:rsidP="00F62B2D">
            <w:pPr>
              <w:pStyle w:val="ListParagraph"/>
              <w:numPr>
                <w:ilvl w:val="0"/>
                <w:numId w:val="11"/>
              </w:numPr>
              <w:spacing w:before="60" w:after="60"/>
              <w:contextualSpacing w:val="0"/>
              <w:rPr>
                <w:sz w:val="22"/>
                <w:szCs w:val="22"/>
              </w:rPr>
            </w:pPr>
            <w:r w:rsidRPr="00D63B51">
              <w:rPr>
                <w:sz w:val="22"/>
                <w:szCs w:val="22"/>
              </w:rPr>
              <w:t>Increased process visibility and transparency through use of system audit logs.</w:t>
            </w:r>
          </w:p>
          <w:p w14:paraId="4342F6DC" w14:textId="77777777" w:rsidR="00F62B2D" w:rsidRPr="00D63B51" w:rsidRDefault="00F62B2D" w:rsidP="00F62B2D">
            <w:pPr>
              <w:pStyle w:val="ListParagraph"/>
              <w:numPr>
                <w:ilvl w:val="0"/>
                <w:numId w:val="11"/>
              </w:numPr>
              <w:spacing w:before="60" w:after="60"/>
              <w:contextualSpacing w:val="0"/>
              <w:rPr>
                <w:sz w:val="22"/>
                <w:szCs w:val="22"/>
              </w:rPr>
            </w:pPr>
            <w:r w:rsidRPr="00D63B51">
              <w:rPr>
                <w:sz w:val="22"/>
                <w:szCs w:val="22"/>
              </w:rPr>
              <w:t>Eliminate duplicate forms and document uploads.</w:t>
            </w:r>
          </w:p>
        </w:tc>
        <w:tc>
          <w:tcPr>
            <w:tcW w:w="2610" w:type="dxa"/>
            <w:tcBorders>
              <w:bottom w:val="single" w:sz="2" w:space="0" w:color="auto"/>
            </w:tcBorders>
            <w:vAlign w:val="center"/>
          </w:tcPr>
          <w:p w14:paraId="7B053EE5" w14:textId="77777777" w:rsidR="00F62B2D" w:rsidRPr="00D63B51" w:rsidRDefault="00F62B2D" w:rsidP="00F62B2D">
            <w:pPr>
              <w:pStyle w:val="ListParagraph"/>
              <w:numPr>
                <w:ilvl w:val="0"/>
                <w:numId w:val="12"/>
              </w:numPr>
              <w:spacing w:before="60" w:after="60"/>
              <w:contextualSpacing w:val="0"/>
              <w:rPr>
                <w:sz w:val="22"/>
                <w:szCs w:val="22"/>
              </w:rPr>
            </w:pPr>
            <w:r w:rsidRPr="00D63B51">
              <w:rPr>
                <w:sz w:val="22"/>
                <w:szCs w:val="22"/>
              </w:rPr>
              <w:t xml:space="preserve">Monitoring trial status and outcomes. </w:t>
            </w:r>
          </w:p>
          <w:p w14:paraId="134AC364" w14:textId="77777777" w:rsidR="00F62B2D" w:rsidRPr="00D63B51" w:rsidRDefault="00F62B2D" w:rsidP="00F62B2D">
            <w:pPr>
              <w:pStyle w:val="ListParagraph"/>
              <w:numPr>
                <w:ilvl w:val="0"/>
                <w:numId w:val="12"/>
              </w:numPr>
              <w:spacing w:before="60" w:after="60"/>
              <w:contextualSpacing w:val="0"/>
              <w:rPr>
                <w:sz w:val="22"/>
                <w:szCs w:val="22"/>
              </w:rPr>
            </w:pPr>
            <w:r w:rsidRPr="00D63B51">
              <w:rPr>
                <w:sz w:val="22"/>
                <w:szCs w:val="22"/>
              </w:rPr>
              <w:t xml:space="preserve">Reporting trial outcomes. </w:t>
            </w:r>
          </w:p>
          <w:p w14:paraId="363691E5" w14:textId="77777777" w:rsidR="00F62B2D" w:rsidRPr="00D63B51" w:rsidRDefault="00F62B2D" w:rsidP="00F62B2D">
            <w:pPr>
              <w:pStyle w:val="ListParagraph"/>
              <w:numPr>
                <w:ilvl w:val="0"/>
                <w:numId w:val="12"/>
              </w:numPr>
              <w:spacing w:before="60" w:after="60"/>
              <w:contextualSpacing w:val="0"/>
              <w:rPr>
                <w:sz w:val="22"/>
                <w:szCs w:val="22"/>
              </w:rPr>
            </w:pPr>
            <w:r w:rsidRPr="00D63B51">
              <w:rPr>
                <w:sz w:val="22"/>
                <w:szCs w:val="22"/>
              </w:rPr>
              <w:t xml:space="preserve">Tracking and reporting on trial outcomes factual, liability, and damages findings. </w:t>
            </w:r>
          </w:p>
        </w:tc>
        <w:tc>
          <w:tcPr>
            <w:tcW w:w="4950" w:type="dxa"/>
            <w:tcBorders>
              <w:bottom w:val="single" w:sz="2" w:space="0" w:color="auto"/>
            </w:tcBorders>
            <w:vAlign w:val="center"/>
            <w:hideMark/>
          </w:tcPr>
          <w:p w14:paraId="6687CB5E" w14:textId="77777777" w:rsidR="00F62B2D" w:rsidRPr="00D63B51" w:rsidRDefault="00F62B2D" w:rsidP="00F62B2D">
            <w:pPr>
              <w:pStyle w:val="ListParagraph"/>
              <w:numPr>
                <w:ilvl w:val="0"/>
                <w:numId w:val="13"/>
              </w:numPr>
              <w:spacing w:beforeLines="60" w:before="144" w:afterLines="60" w:after="144"/>
              <w:contextualSpacing w:val="0"/>
              <w:rPr>
                <w:sz w:val="22"/>
                <w:szCs w:val="22"/>
              </w:rPr>
            </w:pPr>
            <w:r w:rsidRPr="00D63B51">
              <w:rPr>
                <w:sz w:val="22"/>
                <w:szCs w:val="22"/>
              </w:rPr>
              <w:t>Shared information and reporting on numbers of cases.</w:t>
            </w:r>
          </w:p>
          <w:p w14:paraId="0291B270" w14:textId="77777777" w:rsidR="00F62B2D" w:rsidRPr="00D63B51" w:rsidRDefault="00F62B2D" w:rsidP="00F62B2D">
            <w:pPr>
              <w:pStyle w:val="ListParagraph"/>
              <w:numPr>
                <w:ilvl w:val="0"/>
                <w:numId w:val="13"/>
              </w:numPr>
              <w:spacing w:beforeLines="60" w:before="144" w:afterLines="60" w:after="144"/>
              <w:contextualSpacing w:val="0"/>
              <w:rPr>
                <w:sz w:val="22"/>
                <w:szCs w:val="22"/>
              </w:rPr>
            </w:pPr>
            <w:r w:rsidRPr="00D63B51">
              <w:rPr>
                <w:sz w:val="22"/>
                <w:szCs w:val="22"/>
              </w:rPr>
              <w:t xml:space="preserve">Shared information and reporting on trial outcomes and other attributes affecting case value. </w:t>
            </w:r>
          </w:p>
          <w:p w14:paraId="2A772BA2" w14:textId="77777777" w:rsidR="00F62B2D" w:rsidRPr="00D63B51" w:rsidRDefault="00F62B2D" w:rsidP="00F62B2D">
            <w:pPr>
              <w:pStyle w:val="ListParagraph"/>
              <w:numPr>
                <w:ilvl w:val="0"/>
                <w:numId w:val="13"/>
              </w:numPr>
              <w:spacing w:beforeLines="60" w:before="144" w:afterLines="60" w:after="144"/>
              <w:contextualSpacing w:val="0"/>
              <w:rPr>
                <w:sz w:val="22"/>
                <w:szCs w:val="22"/>
              </w:rPr>
            </w:pPr>
            <w:r w:rsidRPr="00D63B51">
              <w:rPr>
                <w:sz w:val="22"/>
                <w:szCs w:val="22"/>
              </w:rPr>
              <w:t xml:space="preserve">Transfer of data and records to claims administration lessens need for claim forms and new submissions. </w:t>
            </w:r>
          </w:p>
          <w:p w14:paraId="38D1C17E" w14:textId="77777777" w:rsidR="00F62B2D" w:rsidRPr="00D63B51" w:rsidRDefault="00F62B2D" w:rsidP="00F62B2D">
            <w:pPr>
              <w:pStyle w:val="ListParagraph"/>
              <w:numPr>
                <w:ilvl w:val="0"/>
                <w:numId w:val="13"/>
              </w:numPr>
              <w:spacing w:beforeLines="60" w:before="144" w:afterLines="60" w:after="144"/>
              <w:contextualSpacing w:val="0"/>
              <w:rPr>
                <w:sz w:val="22"/>
                <w:szCs w:val="22"/>
              </w:rPr>
            </w:pPr>
            <w:r w:rsidRPr="00D63B51">
              <w:rPr>
                <w:sz w:val="22"/>
                <w:szCs w:val="22"/>
              </w:rPr>
              <w:t xml:space="preserve">Plaintiff data permits accurate tracking of participation percentages in settlement program. </w:t>
            </w:r>
          </w:p>
          <w:p w14:paraId="61F8CEDF" w14:textId="77777777" w:rsidR="00F62B2D" w:rsidRPr="00D63B51" w:rsidRDefault="00F62B2D" w:rsidP="00F62B2D">
            <w:pPr>
              <w:pStyle w:val="ListParagraph"/>
              <w:numPr>
                <w:ilvl w:val="0"/>
                <w:numId w:val="13"/>
              </w:numPr>
              <w:spacing w:beforeLines="60" w:before="144" w:afterLines="60" w:after="144"/>
              <w:contextualSpacing w:val="0"/>
              <w:rPr>
                <w:sz w:val="22"/>
                <w:szCs w:val="22"/>
              </w:rPr>
            </w:pPr>
            <w:r w:rsidRPr="00D63B51">
              <w:rPr>
                <w:sz w:val="22"/>
                <w:szCs w:val="22"/>
              </w:rPr>
              <w:t>Tracking and reporting on cases remanded to transferor courts.</w:t>
            </w:r>
          </w:p>
          <w:p w14:paraId="21252186" w14:textId="77777777" w:rsidR="00F62B2D" w:rsidRPr="00D63B51" w:rsidRDefault="00F62B2D" w:rsidP="00F62B2D">
            <w:pPr>
              <w:pStyle w:val="ListParagraph"/>
              <w:numPr>
                <w:ilvl w:val="0"/>
                <w:numId w:val="13"/>
              </w:numPr>
              <w:spacing w:beforeLines="60" w:before="144" w:afterLines="60" w:after="144"/>
              <w:contextualSpacing w:val="0"/>
              <w:rPr>
                <w:sz w:val="22"/>
                <w:szCs w:val="22"/>
              </w:rPr>
            </w:pPr>
            <w:r w:rsidRPr="00D63B51">
              <w:rPr>
                <w:color w:val="auto"/>
                <w:sz w:val="22"/>
                <w:szCs w:val="22"/>
              </w:rPr>
              <w:t>Users only need to keep track of one set of login credentials throughout the life of the case.</w:t>
            </w:r>
          </w:p>
        </w:tc>
      </w:tr>
    </w:tbl>
    <w:p w14:paraId="61EA644E" w14:textId="77777777" w:rsidR="00F62B2D" w:rsidRPr="00D63B51" w:rsidRDefault="00F62B2D" w:rsidP="00F62B2D">
      <w:pPr>
        <w:jc w:val="both"/>
        <w:rPr>
          <w:bCs/>
        </w:rPr>
      </w:pPr>
    </w:p>
    <w:p w14:paraId="7816F3E7" w14:textId="77777777" w:rsidR="00F62B2D" w:rsidRPr="00D63B51" w:rsidRDefault="00F62B2D" w:rsidP="00F62B2D">
      <w:pPr>
        <w:jc w:val="both"/>
        <w:rPr>
          <w:bCs/>
        </w:rPr>
      </w:pPr>
    </w:p>
    <w:p w14:paraId="2397D084" w14:textId="77777777" w:rsidR="00F62B2D" w:rsidRPr="00D63B51" w:rsidRDefault="00F62B2D" w:rsidP="00F62B2D">
      <w:pPr>
        <w:ind w:left="720" w:right="720"/>
        <w:jc w:val="both"/>
        <w:rPr>
          <w:rFonts w:eastAsia="Times New Roman" w:cs="Times New Roman"/>
        </w:rPr>
      </w:pPr>
      <w:r w:rsidRPr="00D63B51">
        <w:rPr>
          <w:b/>
          <w:bCs/>
        </w:rPr>
        <w:t xml:space="preserve">Best Practice </w:t>
      </w:r>
      <w:r w:rsidRPr="00D63B51">
        <w:rPr>
          <w:rFonts w:cs="Times New Roman"/>
          <w:b/>
          <w:bCs/>
        </w:rPr>
        <w:t>MDL-§ 7</w:t>
      </w:r>
      <w:r w:rsidRPr="00D63B51">
        <w:rPr>
          <w:b/>
          <w:bCs/>
        </w:rPr>
        <w:t>(b)(ii)</w:t>
      </w:r>
      <w:r w:rsidRPr="00D63B51">
        <w:rPr>
          <w:rFonts w:ascii="Times New Roman Bold" w:eastAsia="Calibri" w:hAnsi="Times New Roman Bold" w:cs="Times New Roman"/>
          <w:b/>
          <w:bCs/>
          <w:smallCaps/>
        </w:rPr>
        <w:t>:</w:t>
      </w:r>
      <w:r w:rsidRPr="00D63B51">
        <w:rPr>
          <w:color w:val="auto"/>
        </w:rPr>
        <w:t xml:space="preserve"> At the initial-management conference, the parties, or the court on its own, should raise the possibility of employing a dynamic, online central-exchange platform in an MDL, even though not mentioned in Rule 16.1</w:t>
      </w:r>
      <w:r w:rsidRPr="00D63B51">
        <w:t xml:space="preserve">. </w:t>
      </w:r>
      <w:r w:rsidRPr="00D63B51">
        <w:rPr>
          <w:rFonts w:eastAsia="Times New Roman" w:cs="Times New Roman"/>
        </w:rPr>
        <w:t>Permanent No. MDL-</w:t>
      </w:r>
      <w:r w:rsidRPr="00D63B51">
        <w:rPr>
          <w:rFonts w:cs="Times New Roman"/>
          <w:b/>
          <w:color w:val="auto"/>
        </w:rPr>
        <w:t xml:space="preserve">§ </w:t>
      </w:r>
      <w:r w:rsidRPr="00D63B51">
        <w:rPr>
          <w:rFonts w:eastAsia="Times New Roman" w:cs="Times New Roman"/>
        </w:rPr>
        <w:t>3(a).</w:t>
      </w:r>
    </w:p>
    <w:p w14:paraId="12272B80" w14:textId="77777777" w:rsidR="00F62B2D" w:rsidRPr="00D63B51" w:rsidRDefault="00F62B2D" w:rsidP="00F62B2D">
      <w:pPr>
        <w:ind w:left="720" w:right="720"/>
        <w:jc w:val="both"/>
        <w:rPr>
          <w:b/>
          <w:smallCaps/>
          <w:color w:val="auto"/>
        </w:rPr>
      </w:pPr>
    </w:p>
    <w:p w14:paraId="03BC9549" w14:textId="77777777" w:rsidR="00F62B2D" w:rsidRPr="00D63B51" w:rsidRDefault="00F62B2D" w:rsidP="00F62B2D">
      <w:pPr>
        <w:spacing w:line="360" w:lineRule="auto"/>
        <w:ind w:left="-720" w:firstLine="720"/>
        <w:jc w:val="both"/>
      </w:pPr>
      <w:r w:rsidRPr="00D63B51">
        <w:rPr>
          <w:rFonts w:eastAsia="Calibri" w:cs="Times New Roman"/>
        </w:rPr>
        <w:t xml:space="preserve">An online </w:t>
      </w:r>
      <w:r w:rsidRPr="00D63B51">
        <w:rPr>
          <w:rFonts w:ascii="TimesNewRomanPSMT" w:hAnsi="TimesNewRomanPSMT" w:cs="TimesNewRomanPSMT"/>
          <w:color w:val="auto"/>
        </w:rPr>
        <w:t>central-exchange</w:t>
      </w:r>
      <w:r w:rsidRPr="00D63B51">
        <w:rPr>
          <w:rFonts w:eastAsia="Calibri" w:cs="Times New Roman"/>
        </w:rPr>
        <w:t xml:space="preserve"> platform must be operational before case information or discovery is exchanged to ensure that the parties and court have access to the appropriate data and documents at the earliest stages of the MDL.  Accordingly, the parties must promptly take steps to prioritize the considerationand implementation of a central-exchange platform.</w:t>
      </w:r>
    </w:p>
    <w:p w14:paraId="74B7C571" w14:textId="77777777" w:rsidR="00F62B2D" w:rsidRPr="00D63B51" w:rsidRDefault="00F62B2D" w:rsidP="00F62B2D">
      <w:pPr>
        <w:spacing w:line="360" w:lineRule="auto"/>
        <w:ind w:left="-720" w:firstLine="720"/>
        <w:jc w:val="both"/>
      </w:pPr>
      <w:r w:rsidRPr="00D63B51">
        <w:rPr>
          <w:rFonts w:eastAsia="Calibri" w:cs="Times New Roman"/>
        </w:rPr>
        <w:t xml:space="preserve">In advance of the initial-management conference, the parties should begin preliminary discussions about whether </w:t>
      </w:r>
      <w:r w:rsidRPr="00D63B51">
        <w:t xml:space="preserve">a central-exchange platform should be deployed and its functions.  </w:t>
      </w:r>
      <w:r w:rsidRPr="00D63B51">
        <w:rPr>
          <w:bCs/>
          <w:iCs/>
        </w:rPr>
        <w:t xml:space="preserve">Typically, at least one attorney for each party would participate in the discussions to address functionality and service-provider options.  The attorney should have sufficient experience and substantive expertise to negotiate meaningfully and should consult technical support as needed.  There are multiple service providers with relevant experience, and the parties should solicit and review proposals from agreed-upon vendors.  </w:t>
      </w:r>
    </w:p>
    <w:p w14:paraId="491E7B88" w14:textId="77777777" w:rsidR="00F62B2D" w:rsidRPr="00D63B51" w:rsidRDefault="00F62B2D" w:rsidP="00F62B2D">
      <w:pPr>
        <w:spacing w:line="360" w:lineRule="auto"/>
        <w:ind w:left="-720" w:firstLine="720"/>
        <w:jc w:val="both"/>
      </w:pPr>
      <w:r w:rsidRPr="00D63B51">
        <w:rPr>
          <w:rFonts w:eastAsia="Calibri" w:cs="Times New Roman"/>
        </w:rPr>
        <w:lastRenderedPageBreak/>
        <w:t xml:space="preserve">Addressing the topic of a central-exchange platform at the initial-management conference provides the parties and court an opportunity at the earliest possible point of an MDL to formally act on deploying a </w:t>
      </w:r>
      <w:r w:rsidRPr="00D63B51">
        <w:rPr>
          <w:rFonts w:ascii="TimesNewRomanPSMT" w:hAnsi="TimesNewRomanPSMT" w:cs="TimesNewRomanPSMT"/>
          <w:color w:val="auto"/>
        </w:rPr>
        <w:t>central-exchange</w:t>
      </w:r>
      <w:r w:rsidRPr="00D63B51">
        <w:rPr>
          <w:rFonts w:eastAsia="Calibri" w:cs="Times New Roman"/>
        </w:rPr>
        <w:t xml:space="preserve"> platform to streamline issues, facilitate the progress of cases to resolution, and promote the just and efficient conduct of the MDL. </w:t>
      </w:r>
    </w:p>
    <w:p w14:paraId="3175F76F" w14:textId="77777777" w:rsidR="00F62B2D" w:rsidRPr="00D63B51" w:rsidRDefault="00F62B2D" w:rsidP="00F62B2D">
      <w:pPr>
        <w:jc w:val="both"/>
        <w:rPr>
          <w:bCs/>
        </w:rPr>
      </w:pPr>
    </w:p>
    <w:p w14:paraId="15A22DCD" w14:textId="77777777" w:rsidR="00F62B2D" w:rsidRPr="00D63B51" w:rsidRDefault="00F62B2D" w:rsidP="00F62B2D">
      <w:pPr>
        <w:ind w:left="720" w:right="720"/>
        <w:jc w:val="both"/>
      </w:pPr>
      <w:r w:rsidRPr="00D63B51">
        <w:rPr>
          <w:b/>
          <w:bCs/>
        </w:rPr>
        <w:t xml:space="preserve">Best Practice </w:t>
      </w:r>
      <w:r w:rsidRPr="00D63B51">
        <w:rPr>
          <w:rFonts w:cs="Times New Roman"/>
          <w:b/>
          <w:bCs/>
        </w:rPr>
        <w:t>MDL-§ 7</w:t>
      </w:r>
      <w:r w:rsidRPr="00D63B51">
        <w:rPr>
          <w:b/>
          <w:bCs/>
        </w:rPr>
        <w:t>(b)(iii)</w:t>
      </w:r>
      <w:r w:rsidRPr="00D63B51">
        <w:rPr>
          <w:rFonts w:ascii="Times New Roman Bold" w:eastAsia="Calibri" w:hAnsi="Times New Roman Bold" w:cs="Times New Roman"/>
          <w:b/>
          <w:bCs/>
          <w:smallCaps/>
        </w:rPr>
        <w:t>:</w:t>
      </w:r>
      <w:r w:rsidRPr="00D63B51">
        <w:rPr>
          <w:rFonts w:ascii="Times New Roman Bold" w:eastAsia="Calibri" w:hAnsi="Times New Roman Bold" w:cs="Times New Roman"/>
          <w:b/>
          <w:bCs/>
          <w:smallCaps/>
          <w:sz w:val="28"/>
          <w:szCs w:val="28"/>
        </w:rPr>
        <w:t xml:space="preserve"> </w:t>
      </w:r>
      <w:r w:rsidRPr="00D63B51">
        <w:t xml:space="preserve">On the parties’ recommendation, the court should consider issuing an order as soon as practicable that: (1) mandates the use of a central-exchange platform by all parties in the MDL; (2) sets out clear rules regarding access to information by the parties using the platform; (3) establishes a mechanism for parties to claw back inadvertently disclosed information; and (4) clarifies which information in the platform is privileged from disclosure. </w:t>
      </w:r>
      <w:r w:rsidRPr="00D63B51">
        <w:rPr>
          <w:rFonts w:eastAsia="Times New Roman" w:cs="Times New Roman"/>
        </w:rPr>
        <w:t>Permanent No. MDL-</w:t>
      </w:r>
      <w:r w:rsidRPr="00D63B51">
        <w:rPr>
          <w:rFonts w:cs="Times New Roman"/>
          <w:b/>
          <w:color w:val="auto"/>
        </w:rPr>
        <w:t xml:space="preserve">§ </w:t>
      </w:r>
      <w:r w:rsidRPr="00D63B51">
        <w:rPr>
          <w:rFonts w:eastAsia="Times New Roman" w:cs="Times New Roman"/>
        </w:rPr>
        <w:t xml:space="preserve">3(b). </w:t>
      </w:r>
    </w:p>
    <w:p w14:paraId="09C3C819" w14:textId="77777777" w:rsidR="00F62B2D" w:rsidRPr="00D63B51" w:rsidRDefault="00F62B2D" w:rsidP="00F62B2D">
      <w:pPr>
        <w:ind w:left="-720"/>
        <w:jc w:val="both"/>
      </w:pPr>
    </w:p>
    <w:p w14:paraId="36E02A85" w14:textId="77777777" w:rsidR="00F62B2D" w:rsidRPr="00D63B51" w:rsidRDefault="00F62B2D" w:rsidP="00F62B2D">
      <w:pPr>
        <w:spacing w:line="360" w:lineRule="auto"/>
        <w:ind w:left="-720" w:firstLine="720"/>
        <w:jc w:val="both"/>
      </w:pPr>
      <w:r w:rsidRPr="00D63B51">
        <w:t>A central-exchange platform is most effective when all parties in an MDL are required to use it, and a court order is the best means to effectuate its use.  If the court approves the parties’ recommendation to deploy a central-exchange platform, it should issue an order as soon as practicable appointing an administrator of the central-exchange platform and setting out the intended purposes, including party access, use, goals, and general benefits of the platform (</w:t>
      </w:r>
      <w:r w:rsidRPr="00D63B51">
        <w:rPr>
          <w:i/>
          <w:iCs/>
        </w:rPr>
        <w:t>e.g</w:t>
      </w:r>
      <w:r w:rsidRPr="00D63B51">
        <w:t xml:space="preserve">., any reports, metrics, or deliverables). The order should set clear expectations for the parties and provide guidance on how the platform will streamline collection and distribution of data, as well as facilitate progress towards resolution. </w:t>
      </w:r>
    </w:p>
    <w:p w14:paraId="50CBF613" w14:textId="77777777" w:rsidR="00F62B2D" w:rsidRPr="00D63B51" w:rsidRDefault="00F62B2D" w:rsidP="00F62B2D">
      <w:pPr>
        <w:spacing w:line="360" w:lineRule="auto"/>
        <w:ind w:left="-720" w:firstLine="720"/>
        <w:jc w:val="both"/>
      </w:pPr>
      <w:r w:rsidRPr="00D63B51">
        <w:t>The court should ensure that all parties and intended platform users have a clear understanding of any applicable rules or expectations for use of the platform, including how and when the parties will be able to enter or access data, as well as what data each party or user will be able to access (and associated timing of such access). The order should outline data privacy and security considerations for the parties in the selection of the appropriate platform in order to prevent unauthorized access or inadvertent disclosure of data. The court also should consider providing clear rules regarding platform vendor-security requirements, management of privileged information (including confidentiality of data and permitted disclosure through the use of a protective order), claw-back provisions for inadvertent disclosures, retention policies, and responsibilities regarding ongoing administration and maintenance.</w:t>
      </w:r>
    </w:p>
    <w:p w14:paraId="3BAC14DD" w14:textId="77777777" w:rsidR="00F62B2D" w:rsidRPr="00D63B51" w:rsidRDefault="00F62B2D" w:rsidP="00F62B2D">
      <w:pPr>
        <w:jc w:val="both"/>
      </w:pPr>
    </w:p>
    <w:p w14:paraId="53A93395" w14:textId="77777777" w:rsidR="00F62B2D" w:rsidRPr="00D63B51" w:rsidRDefault="00F62B2D" w:rsidP="00F62B2D">
      <w:pPr>
        <w:ind w:left="720" w:right="720"/>
        <w:jc w:val="both"/>
        <w:rPr>
          <w:iCs/>
        </w:rPr>
      </w:pPr>
      <w:r w:rsidRPr="00D63B51">
        <w:rPr>
          <w:b/>
          <w:bCs/>
        </w:rPr>
        <w:t xml:space="preserve">Best Practice </w:t>
      </w:r>
      <w:r w:rsidRPr="00D63B51">
        <w:rPr>
          <w:rFonts w:cs="Times New Roman"/>
          <w:b/>
          <w:bCs/>
        </w:rPr>
        <w:t>MDL-§ 7</w:t>
      </w:r>
      <w:r w:rsidRPr="00D63B51">
        <w:rPr>
          <w:b/>
          <w:bCs/>
        </w:rPr>
        <w:t>(b)(iv)</w:t>
      </w:r>
      <w:r w:rsidRPr="00D63B51">
        <w:rPr>
          <w:rFonts w:ascii="Times New Roman Bold" w:eastAsia="Calibri" w:hAnsi="Times New Roman Bold" w:cs="Times New Roman"/>
          <w:b/>
          <w:bCs/>
          <w:smallCaps/>
        </w:rPr>
        <w:t>:</w:t>
      </w:r>
      <w:r w:rsidRPr="00D63B51">
        <w:rPr>
          <w:rFonts w:ascii="Times New Roman Bold" w:eastAsia="Calibri" w:hAnsi="Times New Roman Bold" w:cs="Times New Roman"/>
          <w:b/>
          <w:bCs/>
          <w:smallCaps/>
          <w:sz w:val="28"/>
          <w:szCs w:val="28"/>
        </w:rPr>
        <w:t xml:space="preserve"> </w:t>
      </w:r>
      <w:r w:rsidRPr="00D63B51">
        <w:rPr>
          <w:rFonts w:eastAsia="Calibri" w:cs="Times New Roman"/>
          <w:bCs/>
          <w:iCs/>
        </w:rPr>
        <w:t xml:space="preserve">The parties should ensure that the central-exchange platform includes adequate directions and programming, defining who may access and use the system and to what extent. </w:t>
      </w:r>
      <w:r w:rsidRPr="00D63B51">
        <w:rPr>
          <w:rFonts w:eastAsia="Times New Roman" w:cs="Times New Roman"/>
        </w:rPr>
        <w:t>Permanent No. MDL-</w:t>
      </w:r>
      <w:r w:rsidRPr="00D63B51">
        <w:rPr>
          <w:rFonts w:cs="Times New Roman"/>
          <w:b/>
          <w:color w:val="auto"/>
        </w:rPr>
        <w:t xml:space="preserve">§ </w:t>
      </w:r>
      <w:r w:rsidRPr="00D63B51">
        <w:rPr>
          <w:rFonts w:eastAsia="Times New Roman" w:cs="Times New Roman"/>
        </w:rPr>
        <w:t>3(c).</w:t>
      </w:r>
    </w:p>
    <w:p w14:paraId="1D2CB80B" w14:textId="77777777" w:rsidR="00F62B2D" w:rsidRPr="00D63B51" w:rsidRDefault="00F62B2D" w:rsidP="00F62B2D">
      <w:pPr>
        <w:jc w:val="both"/>
      </w:pPr>
    </w:p>
    <w:p w14:paraId="579D3A76" w14:textId="77777777" w:rsidR="00F62B2D" w:rsidRPr="00D63B51" w:rsidRDefault="00F62B2D" w:rsidP="00F62B2D">
      <w:pPr>
        <w:spacing w:line="360" w:lineRule="auto"/>
        <w:ind w:left="-720" w:firstLine="720"/>
        <w:jc w:val="both"/>
      </w:pPr>
      <w:r w:rsidRPr="00D63B51">
        <w:t xml:space="preserve">Because a centralized system is used by all parties to the litigation, it is an efficient method to transmit important updates, alerts, notices, and other litigation-related notifications.  But safeguards must </w:t>
      </w:r>
      <w:r w:rsidRPr="00D63B51">
        <w:lastRenderedPageBreak/>
        <w:t xml:space="preserve">be implemented ensuring the integrity of the system. These systems can also be designed to allow certain information to be limited to smaller groups of litigants. Figure A4 lists the different ways a centralized system can be used to communicate with interested parties. </w:t>
      </w:r>
    </w:p>
    <w:p w14:paraId="45D8B11C" w14:textId="77777777" w:rsidR="00F62B2D" w:rsidRPr="00D63B51" w:rsidRDefault="00F62B2D" w:rsidP="00F62B2D"/>
    <w:tbl>
      <w:tblPr>
        <w:tblStyle w:val="TableGrid"/>
        <w:tblW w:w="11695" w:type="dxa"/>
        <w:jc w:val="center"/>
        <w:tblLayout w:type="fixed"/>
        <w:tblLook w:val="04A0" w:firstRow="1" w:lastRow="0" w:firstColumn="1" w:lastColumn="0" w:noHBand="0" w:noVBand="1"/>
      </w:tblPr>
      <w:tblGrid>
        <w:gridCol w:w="2245"/>
        <w:gridCol w:w="2880"/>
        <w:gridCol w:w="2700"/>
        <w:gridCol w:w="3870"/>
      </w:tblGrid>
      <w:tr w:rsidR="00F62B2D" w:rsidRPr="00D63B51" w14:paraId="459655C3" w14:textId="77777777" w:rsidTr="00CA548F">
        <w:trPr>
          <w:trHeight w:val="638"/>
          <w:tblHeader/>
          <w:jc w:val="center"/>
        </w:trPr>
        <w:tc>
          <w:tcPr>
            <w:tcW w:w="2245" w:type="dxa"/>
            <w:shd w:val="clear" w:color="auto" w:fill="83CAEB" w:themeFill="accent1" w:themeFillTint="66"/>
            <w:vAlign w:val="center"/>
          </w:tcPr>
          <w:p w14:paraId="250F5CC2" w14:textId="77777777" w:rsidR="00F62B2D" w:rsidRPr="00D63B51" w:rsidRDefault="00F62B2D" w:rsidP="00CA548F">
            <w:pPr>
              <w:spacing w:before="120" w:after="120"/>
              <w:jc w:val="center"/>
              <w:rPr>
                <w:rFonts w:ascii="Times New Roman Bold" w:hAnsi="Times New Roman Bold"/>
                <w:b/>
                <w:bCs/>
                <w:smallCaps/>
                <w:sz w:val="28"/>
                <w:szCs w:val="28"/>
              </w:rPr>
            </w:pPr>
            <w:r w:rsidRPr="00D63B51">
              <w:rPr>
                <w:rFonts w:ascii="Times New Roman Bold" w:hAnsi="Times New Roman Bold"/>
                <w:b/>
                <w:bCs/>
                <w:smallCaps/>
                <w:sz w:val="28"/>
                <w:szCs w:val="28"/>
              </w:rPr>
              <w:t>FIGURE A4</w:t>
            </w:r>
          </w:p>
        </w:tc>
        <w:tc>
          <w:tcPr>
            <w:tcW w:w="9450" w:type="dxa"/>
            <w:gridSpan w:val="3"/>
            <w:shd w:val="clear" w:color="auto" w:fill="83CAEB" w:themeFill="accent1" w:themeFillTint="66"/>
            <w:vAlign w:val="center"/>
          </w:tcPr>
          <w:p w14:paraId="5966534B" w14:textId="77777777" w:rsidR="00F62B2D" w:rsidRPr="00D63B51" w:rsidRDefault="00F62B2D" w:rsidP="00CA548F">
            <w:pPr>
              <w:jc w:val="center"/>
              <w:rPr>
                <w:rFonts w:ascii="Times New Roman Bold" w:hAnsi="Times New Roman Bold"/>
                <w:b/>
                <w:bCs/>
                <w:smallCaps/>
                <w:sz w:val="28"/>
                <w:szCs w:val="28"/>
              </w:rPr>
            </w:pPr>
            <w:r w:rsidRPr="00D63B51">
              <w:rPr>
                <w:rFonts w:ascii="Times New Roman Bold" w:hAnsi="Times New Roman Bold"/>
                <w:b/>
                <w:bCs/>
                <w:caps/>
              </w:rPr>
              <w:t xml:space="preserve"> Communications and Permissions</w:t>
            </w:r>
          </w:p>
        </w:tc>
      </w:tr>
      <w:tr w:rsidR="00F62B2D" w:rsidRPr="00D63B51" w14:paraId="43F63F99" w14:textId="77777777" w:rsidTr="00CA548F">
        <w:trPr>
          <w:trHeight w:val="170"/>
          <w:tblHeader/>
          <w:jc w:val="center"/>
        </w:trPr>
        <w:tc>
          <w:tcPr>
            <w:tcW w:w="11695" w:type="dxa"/>
            <w:gridSpan w:val="4"/>
            <w:shd w:val="clear" w:color="auto" w:fill="83CAEB" w:themeFill="accent1" w:themeFillTint="66"/>
            <w:noWrap/>
            <w:vAlign w:val="center"/>
            <w:hideMark/>
          </w:tcPr>
          <w:p w14:paraId="3364FACC" w14:textId="77777777" w:rsidR="00F62B2D" w:rsidRPr="00D63B51" w:rsidRDefault="00F62B2D" w:rsidP="00CA548F">
            <w:pPr>
              <w:jc w:val="center"/>
              <w:rPr>
                <w:b/>
                <w:bCs/>
              </w:rPr>
            </w:pPr>
            <w:r w:rsidRPr="00D63B51">
              <w:rPr>
                <w:b/>
                <w:bCs/>
              </w:rPr>
              <w:t>MDL PHASES</w:t>
            </w:r>
          </w:p>
        </w:tc>
      </w:tr>
      <w:tr w:rsidR="00F62B2D" w:rsidRPr="00D63B51" w14:paraId="40FC295A" w14:textId="77777777" w:rsidTr="00CA548F">
        <w:trPr>
          <w:trHeight w:val="332"/>
          <w:tblHeader/>
          <w:jc w:val="center"/>
        </w:trPr>
        <w:tc>
          <w:tcPr>
            <w:tcW w:w="5125" w:type="dxa"/>
            <w:gridSpan w:val="2"/>
            <w:shd w:val="clear" w:color="auto" w:fill="C1E4F5" w:themeFill="accent1" w:themeFillTint="33"/>
            <w:vAlign w:val="center"/>
            <w:hideMark/>
          </w:tcPr>
          <w:p w14:paraId="58F2A21A" w14:textId="77777777" w:rsidR="00F62B2D" w:rsidRPr="00D63B51" w:rsidRDefault="00F62B2D" w:rsidP="00CA548F">
            <w:pPr>
              <w:jc w:val="center"/>
              <w:rPr>
                <w:b/>
                <w:bCs/>
              </w:rPr>
            </w:pPr>
            <w:r w:rsidRPr="00D63B51">
              <w:rPr>
                <w:b/>
                <w:bCs/>
              </w:rPr>
              <w:t>Pretrial</w:t>
            </w:r>
          </w:p>
        </w:tc>
        <w:tc>
          <w:tcPr>
            <w:tcW w:w="2700" w:type="dxa"/>
            <w:shd w:val="clear" w:color="auto" w:fill="C1E4F5" w:themeFill="accent1" w:themeFillTint="33"/>
            <w:vAlign w:val="center"/>
          </w:tcPr>
          <w:p w14:paraId="6F41B142" w14:textId="77777777" w:rsidR="00F62B2D" w:rsidRPr="00D63B51" w:rsidRDefault="00F62B2D" w:rsidP="00CA548F">
            <w:pPr>
              <w:jc w:val="center"/>
              <w:rPr>
                <w:b/>
                <w:bCs/>
              </w:rPr>
            </w:pPr>
            <w:r w:rsidRPr="00D63B51">
              <w:rPr>
                <w:b/>
                <w:bCs/>
              </w:rPr>
              <w:t>Trial</w:t>
            </w:r>
          </w:p>
        </w:tc>
        <w:tc>
          <w:tcPr>
            <w:tcW w:w="3870" w:type="dxa"/>
            <w:shd w:val="clear" w:color="auto" w:fill="C1E4F5" w:themeFill="accent1" w:themeFillTint="33"/>
            <w:vAlign w:val="center"/>
            <w:hideMark/>
          </w:tcPr>
          <w:p w14:paraId="463A2DCF" w14:textId="77777777" w:rsidR="00F62B2D" w:rsidRPr="00D63B51" w:rsidRDefault="00F62B2D" w:rsidP="00CA548F">
            <w:pPr>
              <w:jc w:val="center"/>
              <w:rPr>
                <w:b/>
                <w:bCs/>
              </w:rPr>
            </w:pPr>
            <w:r w:rsidRPr="00D63B51">
              <w:rPr>
                <w:b/>
                <w:bCs/>
              </w:rPr>
              <w:t>MDL Resolution</w:t>
            </w:r>
          </w:p>
        </w:tc>
      </w:tr>
      <w:tr w:rsidR="00F62B2D" w:rsidRPr="00D63B51" w14:paraId="6C6E3932" w14:textId="77777777" w:rsidTr="00CA548F">
        <w:trPr>
          <w:trHeight w:val="1800"/>
          <w:jc w:val="center"/>
        </w:trPr>
        <w:tc>
          <w:tcPr>
            <w:tcW w:w="5125" w:type="dxa"/>
            <w:gridSpan w:val="2"/>
            <w:vAlign w:val="center"/>
            <w:hideMark/>
          </w:tcPr>
          <w:p w14:paraId="24CB42A8" w14:textId="77777777" w:rsidR="00F62B2D" w:rsidRPr="00D63B51" w:rsidRDefault="00F62B2D" w:rsidP="00F62B2D">
            <w:pPr>
              <w:pStyle w:val="ListParagraph"/>
              <w:numPr>
                <w:ilvl w:val="0"/>
                <w:numId w:val="8"/>
              </w:numPr>
              <w:spacing w:beforeLines="60" w:before="144" w:afterLines="60" w:after="144"/>
              <w:contextualSpacing w:val="0"/>
              <w:rPr>
                <w:sz w:val="22"/>
                <w:szCs w:val="22"/>
              </w:rPr>
            </w:pPr>
            <w:r w:rsidRPr="00D63B51">
              <w:rPr>
                <w:sz w:val="22"/>
                <w:szCs w:val="22"/>
              </w:rPr>
              <w:t>Enrollment of firms involved in MDL for ease of communication.</w:t>
            </w:r>
          </w:p>
          <w:p w14:paraId="24C8DC28" w14:textId="77777777" w:rsidR="00F62B2D" w:rsidRPr="00D63B51" w:rsidRDefault="00F62B2D" w:rsidP="00F62B2D">
            <w:pPr>
              <w:pStyle w:val="ListParagraph"/>
              <w:numPr>
                <w:ilvl w:val="0"/>
                <w:numId w:val="8"/>
              </w:numPr>
              <w:spacing w:beforeLines="60" w:before="144" w:afterLines="60" w:after="144"/>
              <w:contextualSpacing w:val="0"/>
              <w:rPr>
                <w:sz w:val="22"/>
                <w:szCs w:val="22"/>
              </w:rPr>
            </w:pPr>
            <w:r w:rsidRPr="00D63B51">
              <w:rPr>
                <w:sz w:val="22"/>
                <w:szCs w:val="22"/>
              </w:rPr>
              <w:t xml:space="preserve">Secure login credentials to enable role-based access and customizable private </w:t>
            </w:r>
            <w:r w:rsidRPr="00D63B51">
              <w:rPr>
                <w:rFonts w:cs="Times New Roman"/>
                <w:sz w:val="22"/>
                <w:szCs w:val="22"/>
              </w:rPr>
              <w:t xml:space="preserve">workspaces for users. </w:t>
            </w:r>
          </w:p>
          <w:p w14:paraId="48B2BC0E" w14:textId="77777777" w:rsidR="00F62B2D" w:rsidRPr="00D63B51" w:rsidRDefault="00F62B2D" w:rsidP="00F62B2D">
            <w:pPr>
              <w:pStyle w:val="ListParagraph"/>
              <w:numPr>
                <w:ilvl w:val="0"/>
                <w:numId w:val="8"/>
              </w:numPr>
              <w:spacing w:beforeLines="60" w:before="144" w:afterLines="60" w:after="144"/>
              <w:contextualSpacing w:val="0"/>
              <w:rPr>
                <w:sz w:val="22"/>
                <w:szCs w:val="22"/>
              </w:rPr>
            </w:pPr>
            <w:r w:rsidRPr="00D63B51">
              <w:rPr>
                <w:sz w:val="22"/>
                <w:szCs w:val="22"/>
              </w:rPr>
              <w:t>Access and exchange platform for Lead Plaintiffs’ Counsel, Committees, Defense Counsel, Special Master(s), mediators, and the court.</w:t>
            </w:r>
          </w:p>
          <w:p w14:paraId="0BE5308B" w14:textId="77777777" w:rsidR="00F62B2D" w:rsidRPr="00D63B51" w:rsidRDefault="00F62B2D" w:rsidP="00F62B2D">
            <w:pPr>
              <w:pStyle w:val="ListParagraph"/>
              <w:numPr>
                <w:ilvl w:val="0"/>
                <w:numId w:val="8"/>
              </w:numPr>
              <w:spacing w:beforeLines="60" w:before="144" w:afterLines="60" w:after="144"/>
              <w:contextualSpacing w:val="0"/>
              <w:rPr>
                <w:sz w:val="22"/>
                <w:szCs w:val="22"/>
              </w:rPr>
            </w:pPr>
            <w:r w:rsidRPr="00D63B51">
              <w:rPr>
                <w:sz w:val="22"/>
                <w:szCs w:val="22"/>
              </w:rPr>
              <w:t xml:space="preserve">Exchange of alerts, notices, updates, and reports. </w:t>
            </w:r>
          </w:p>
          <w:p w14:paraId="7283F499" w14:textId="77777777" w:rsidR="00F62B2D" w:rsidRPr="00D63B51" w:rsidRDefault="00F62B2D" w:rsidP="00F62B2D">
            <w:pPr>
              <w:pStyle w:val="ListParagraph"/>
              <w:numPr>
                <w:ilvl w:val="0"/>
                <w:numId w:val="8"/>
              </w:numPr>
              <w:spacing w:beforeLines="60" w:before="144" w:afterLines="60" w:after="144"/>
              <w:contextualSpacing w:val="0"/>
              <w:rPr>
                <w:sz w:val="22"/>
                <w:szCs w:val="22"/>
              </w:rPr>
            </w:pPr>
            <w:r w:rsidRPr="00D63B51">
              <w:rPr>
                <w:sz w:val="22"/>
                <w:szCs w:val="22"/>
              </w:rPr>
              <w:t xml:space="preserve">Vehicle for federal-state coordination. </w:t>
            </w:r>
          </w:p>
        </w:tc>
        <w:tc>
          <w:tcPr>
            <w:tcW w:w="2700" w:type="dxa"/>
            <w:vAlign w:val="center"/>
          </w:tcPr>
          <w:p w14:paraId="4B4B82F3" w14:textId="77777777" w:rsidR="00F62B2D" w:rsidRPr="00D63B51" w:rsidRDefault="00F62B2D" w:rsidP="00F62B2D">
            <w:pPr>
              <w:pStyle w:val="ListParagraph"/>
              <w:numPr>
                <w:ilvl w:val="0"/>
                <w:numId w:val="9"/>
              </w:numPr>
              <w:spacing w:beforeLines="60" w:before="144" w:afterLines="60" w:after="144"/>
              <w:contextualSpacing w:val="0"/>
              <w:rPr>
                <w:sz w:val="22"/>
                <w:szCs w:val="22"/>
              </w:rPr>
            </w:pPr>
            <w:r w:rsidRPr="00D63B51">
              <w:rPr>
                <w:sz w:val="22"/>
                <w:szCs w:val="22"/>
              </w:rPr>
              <w:t>Enables trial counsel to easily access records stored in the system.</w:t>
            </w:r>
          </w:p>
          <w:p w14:paraId="2AEB7760" w14:textId="77777777" w:rsidR="00F62B2D" w:rsidRPr="00D63B51" w:rsidRDefault="00F62B2D" w:rsidP="00F62B2D">
            <w:pPr>
              <w:pStyle w:val="ListParagraph"/>
              <w:numPr>
                <w:ilvl w:val="0"/>
                <w:numId w:val="9"/>
              </w:numPr>
              <w:spacing w:beforeLines="60" w:before="144" w:afterLines="60" w:after="144"/>
              <w:contextualSpacing w:val="0"/>
              <w:rPr>
                <w:sz w:val="22"/>
                <w:szCs w:val="22"/>
              </w:rPr>
            </w:pPr>
            <w:r w:rsidRPr="00D63B51">
              <w:rPr>
                <w:sz w:val="22"/>
                <w:szCs w:val="22"/>
              </w:rPr>
              <w:t>Allows court to review exhibits and rule on exhibit Motions.</w:t>
            </w:r>
          </w:p>
          <w:p w14:paraId="264F6236" w14:textId="77777777" w:rsidR="00F62B2D" w:rsidRPr="00D63B51" w:rsidRDefault="00F62B2D" w:rsidP="00F62B2D">
            <w:pPr>
              <w:pStyle w:val="ListParagraph"/>
              <w:numPr>
                <w:ilvl w:val="0"/>
                <w:numId w:val="9"/>
              </w:numPr>
              <w:spacing w:beforeLines="60" w:before="144" w:afterLines="60" w:after="144"/>
              <w:contextualSpacing w:val="0"/>
              <w:rPr>
                <w:sz w:val="22"/>
                <w:szCs w:val="22"/>
              </w:rPr>
            </w:pPr>
            <w:r w:rsidRPr="00D63B51">
              <w:rPr>
                <w:sz w:val="22"/>
                <w:szCs w:val="22"/>
              </w:rPr>
              <w:t>Allows plaintiff leadership access to all cases for trial purposes.</w:t>
            </w:r>
          </w:p>
        </w:tc>
        <w:tc>
          <w:tcPr>
            <w:tcW w:w="3870" w:type="dxa"/>
            <w:vAlign w:val="center"/>
            <w:hideMark/>
          </w:tcPr>
          <w:p w14:paraId="4E777E45" w14:textId="77777777" w:rsidR="00F62B2D" w:rsidRPr="00D63B51" w:rsidRDefault="00F62B2D" w:rsidP="00F62B2D">
            <w:pPr>
              <w:pStyle w:val="ListParagraph"/>
              <w:numPr>
                <w:ilvl w:val="0"/>
                <w:numId w:val="10"/>
              </w:numPr>
              <w:spacing w:before="60" w:after="60"/>
              <w:contextualSpacing w:val="0"/>
              <w:rPr>
                <w:sz w:val="22"/>
                <w:szCs w:val="22"/>
              </w:rPr>
            </w:pPr>
            <w:r w:rsidRPr="00D63B51">
              <w:rPr>
                <w:sz w:val="22"/>
                <w:szCs w:val="22"/>
              </w:rPr>
              <w:t>Mediators or Special Master granted access to certain information for settlement negotiations.</w:t>
            </w:r>
          </w:p>
          <w:p w14:paraId="5933EFF0" w14:textId="77777777" w:rsidR="00F62B2D" w:rsidRPr="00D63B51" w:rsidRDefault="00F62B2D" w:rsidP="00F62B2D">
            <w:pPr>
              <w:pStyle w:val="ListParagraph"/>
              <w:numPr>
                <w:ilvl w:val="0"/>
                <w:numId w:val="10"/>
              </w:numPr>
              <w:spacing w:before="60" w:after="60"/>
              <w:contextualSpacing w:val="0"/>
              <w:rPr>
                <w:sz w:val="22"/>
                <w:szCs w:val="22"/>
              </w:rPr>
            </w:pPr>
            <w:r w:rsidRPr="00D63B51">
              <w:rPr>
                <w:sz w:val="22"/>
                <w:szCs w:val="22"/>
              </w:rPr>
              <w:t>Claims Administrator can be provided with all data collected prior to settlement.</w:t>
            </w:r>
          </w:p>
          <w:p w14:paraId="38889FFB" w14:textId="77777777" w:rsidR="00F62B2D" w:rsidRPr="00D63B51" w:rsidRDefault="00F62B2D" w:rsidP="00F62B2D">
            <w:pPr>
              <w:pStyle w:val="ListParagraph"/>
              <w:numPr>
                <w:ilvl w:val="0"/>
                <w:numId w:val="10"/>
              </w:numPr>
              <w:spacing w:before="60" w:after="60"/>
              <w:contextualSpacing w:val="0"/>
              <w:rPr>
                <w:sz w:val="22"/>
                <w:szCs w:val="22"/>
              </w:rPr>
            </w:pPr>
            <w:r w:rsidRPr="00D63B51">
              <w:rPr>
                <w:sz w:val="22"/>
                <w:szCs w:val="22"/>
              </w:rPr>
              <w:t>Remanded cases can be accessed by local counsel or co-counsel.</w:t>
            </w:r>
          </w:p>
        </w:tc>
      </w:tr>
    </w:tbl>
    <w:p w14:paraId="5B952B46" w14:textId="77777777" w:rsidR="00F62B2D" w:rsidRPr="00D63B51" w:rsidRDefault="00F62B2D" w:rsidP="00F62B2D"/>
    <w:p w14:paraId="04A9FCDE" w14:textId="77777777" w:rsidR="00F62B2D" w:rsidRPr="00D63B51" w:rsidRDefault="00F62B2D" w:rsidP="00F62B2D">
      <w:pPr>
        <w:jc w:val="both"/>
        <w:rPr>
          <w:bCs/>
        </w:rPr>
      </w:pPr>
    </w:p>
    <w:p w14:paraId="08567B5C" w14:textId="77777777" w:rsidR="00F62B2D" w:rsidRPr="00D63B51" w:rsidRDefault="00F62B2D" w:rsidP="00F62B2D">
      <w:pPr>
        <w:ind w:left="720" w:right="720"/>
        <w:jc w:val="both"/>
      </w:pPr>
      <w:r w:rsidRPr="00D63B51">
        <w:rPr>
          <w:b/>
          <w:bCs/>
        </w:rPr>
        <w:t xml:space="preserve">Best Practice </w:t>
      </w:r>
      <w:r w:rsidRPr="00D63B51">
        <w:rPr>
          <w:rFonts w:cs="Times New Roman"/>
          <w:b/>
          <w:bCs/>
        </w:rPr>
        <w:t>MDL-§ 7</w:t>
      </w:r>
      <w:r w:rsidRPr="00D63B51">
        <w:rPr>
          <w:b/>
          <w:bCs/>
        </w:rPr>
        <w:t>(b)(v)</w:t>
      </w:r>
      <w:r w:rsidRPr="00D63B51">
        <w:rPr>
          <w:rFonts w:ascii="Times New Roman Bold" w:eastAsia="Calibri" w:hAnsi="Times New Roman Bold" w:cs="Times New Roman"/>
          <w:b/>
          <w:bCs/>
          <w:smallCaps/>
        </w:rPr>
        <w:t>:</w:t>
      </w:r>
      <w:r w:rsidRPr="00D63B51">
        <w:rPr>
          <w:rFonts w:ascii="Times New Roman Bold" w:eastAsia="Calibri" w:hAnsi="Times New Roman Bold" w:cs="Times New Roman"/>
          <w:b/>
          <w:bCs/>
          <w:smallCaps/>
          <w:sz w:val="28"/>
          <w:szCs w:val="28"/>
        </w:rPr>
        <w:t xml:space="preserve"> </w:t>
      </w:r>
      <w:r w:rsidRPr="00D63B51">
        <w:t xml:space="preserve">The parties, with the court’s approval, should determine the responsibility and arrangements for paying the cost of the central-exchange platform in light of the nature of the litigation and the functions adopted.  </w:t>
      </w:r>
      <w:r w:rsidRPr="00D63B51">
        <w:rPr>
          <w:rFonts w:eastAsia="Times New Roman" w:cs="Times New Roman"/>
        </w:rPr>
        <w:t>Permanent No. MDL-</w:t>
      </w:r>
      <w:r w:rsidRPr="00D63B51">
        <w:rPr>
          <w:rFonts w:cs="Times New Roman"/>
          <w:b/>
          <w:color w:val="auto"/>
        </w:rPr>
        <w:t xml:space="preserve">§ </w:t>
      </w:r>
      <w:r w:rsidRPr="00D63B51">
        <w:rPr>
          <w:rFonts w:eastAsia="Times New Roman" w:cs="Times New Roman"/>
        </w:rPr>
        <w:t>3(d).</w:t>
      </w:r>
      <w:r w:rsidRPr="00D63B51">
        <w:t xml:space="preserve"> </w:t>
      </w:r>
    </w:p>
    <w:p w14:paraId="78C7406D" w14:textId="77777777" w:rsidR="00F62B2D" w:rsidRPr="00D63B51" w:rsidRDefault="00F62B2D" w:rsidP="00F62B2D">
      <w:pPr>
        <w:jc w:val="both"/>
      </w:pPr>
    </w:p>
    <w:p w14:paraId="0EFF84CB" w14:textId="77777777" w:rsidR="00F62B2D" w:rsidRPr="00D63B51" w:rsidRDefault="00F62B2D" w:rsidP="00F62B2D">
      <w:pPr>
        <w:spacing w:line="360" w:lineRule="auto"/>
        <w:ind w:left="-720" w:firstLine="720"/>
        <w:jc w:val="both"/>
        <w:rPr>
          <w:rFonts w:cs="Times New Roman"/>
          <w:bCs/>
          <w:color w:val="auto"/>
        </w:rPr>
      </w:pPr>
      <w:r w:rsidRPr="00D63B51">
        <w:rPr>
          <w:rFonts w:eastAsia="Calibri" w:cs="Times New Roman"/>
          <w:bCs/>
          <w:iCs/>
        </w:rPr>
        <w:t xml:space="preserve">In the majority of proceedings, the cost of the creation and maintenance of the </w:t>
      </w:r>
      <w:r w:rsidRPr="00D63B51">
        <w:rPr>
          <w:rFonts w:ascii="TimesNewRomanPSMT" w:hAnsi="TimesNewRomanPSMT" w:cs="TimesNewRomanPSMT"/>
          <w:color w:val="auto"/>
        </w:rPr>
        <w:t>central-exchange</w:t>
      </w:r>
      <w:r w:rsidRPr="00D63B51">
        <w:rPr>
          <w:rFonts w:eastAsia="Calibri" w:cs="Times New Roman"/>
          <w:bCs/>
          <w:iCs/>
        </w:rPr>
        <w:t xml:space="preserve"> platform will be shared equally by plaintiffs and defendants, because both sides (and the court) will benefit from the system.  But there will be situations when only one side will need or use a feature, warranting allocation of the expense in proportion to the degree of use by each side, as well as instances when one side bears the expense of custom functions it requests only for its use. The parties should discuss cost allocation during the meet and confer described in Permanent No. </w:t>
      </w:r>
      <w:r w:rsidRPr="00D63B51">
        <w:rPr>
          <w:rFonts w:eastAsia="Times New Roman" w:cs="Times New Roman"/>
        </w:rPr>
        <w:t>MDL-</w:t>
      </w:r>
      <w:r w:rsidRPr="00D63B51">
        <w:rPr>
          <w:rFonts w:cs="Times New Roman"/>
          <w:color w:val="auto"/>
        </w:rPr>
        <w:t>§ 14(b)</w:t>
      </w:r>
      <w:r w:rsidRPr="00D63B51">
        <w:rPr>
          <w:rFonts w:eastAsia="Calibri" w:cs="Times New Roman"/>
          <w:bCs/>
          <w:iCs/>
        </w:rPr>
        <w:t>.</w:t>
      </w:r>
      <w:r w:rsidRPr="00D63B51">
        <w:rPr>
          <w:rFonts w:cs="Times New Roman"/>
          <w:bCs/>
          <w:color w:val="auto"/>
        </w:rPr>
        <w:t xml:space="preserve">  </w:t>
      </w:r>
    </w:p>
    <w:p w14:paraId="7B962880" w14:textId="77777777" w:rsidR="00F62B2D" w:rsidRPr="00D63B51" w:rsidRDefault="00F62B2D" w:rsidP="00F62B2D">
      <w:pPr>
        <w:pStyle w:val="NoSpacing"/>
        <w:ind w:left="720" w:right="720"/>
        <w:jc w:val="both"/>
        <w:rPr>
          <w:b/>
          <w:bCs/>
        </w:rPr>
      </w:pPr>
    </w:p>
    <w:p w14:paraId="4A9C9EA6" w14:textId="77777777" w:rsidR="00F62B2D" w:rsidRPr="00D63B51" w:rsidRDefault="00F62B2D" w:rsidP="00F62B2D">
      <w:pPr>
        <w:pStyle w:val="NoSpacing"/>
        <w:ind w:left="720" w:right="720"/>
        <w:jc w:val="both"/>
      </w:pPr>
      <w:r w:rsidRPr="00D63B51">
        <w:rPr>
          <w:b/>
          <w:bCs/>
        </w:rPr>
        <w:t xml:space="preserve">Best Practice </w:t>
      </w:r>
      <w:r w:rsidRPr="00D63B51">
        <w:rPr>
          <w:rFonts w:cs="Times New Roman"/>
          <w:b/>
          <w:bCs/>
          <w:szCs w:val="24"/>
        </w:rPr>
        <w:t>MDL-§ 7</w:t>
      </w:r>
      <w:r w:rsidRPr="00D63B51">
        <w:rPr>
          <w:b/>
          <w:bCs/>
        </w:rPr>
        <w:t>(c)</w:t>
      </w:r>
      <w:r w:rsidRPr="00D63B51">
        <w:rPr>
          <w:rFonts w:ascii="Times New Roman Bold" w:eastAsia="Calibri" w:hAnsi="Times New Roman Bold" w:cs="Times New Roman"/>
          <w:b/>
          <w:bCs/>
          <w:smallCaps/>
        </w:rPr>
        <w:t>:</w:t>
      </w:r>
      <w:r w:rsidRPr="00D63B51">
        <w:rPr>
          <w:rFonts w:ascii="Times New Roman Bold" w:eastAsia="Calibri" w:hAnsi="Times New Roman Bold" w:cs="Times New Roman"/>
          <w:b/>
          <w:bCs/>
          <w:smallCaps/>
          <w:sz w:val="28"/>
          <w:szCs w:val="28"/>
        </w:rPr>
        <w:t xml:space="preserve"> </w:t>
      </w:r>
      <w:r w:rsidRPr="00D63B51">
        <w:rPr>
          <w:rFonts w:cs="Times New Roman"/>
          <w:szCs w:val="24"/>
        </w:rPr>
        <w:t xml:space="preserve">Unless the court orders otherwise, </w:t>
      </w:r>
      <w:r w:rsidRPr="00D63B51">
        <w:t xml:space="preserve">the parties must </w:t>
      </w:r>
      <w:r w:rsidRPr="00D63B51">
        <w:rPr>
          <w:rFonts w:cs="Times New Roman"/>
          <w:szCs w:val="24"/>
        </w:rPr>
        <w:t xml:space="preserve">address their views on and suggest </w:t>
      </w:r>
      <w:r w:rsidRPr="00D63B51">
        <w:t xml:space="preserve">procedures regarding </w:t>
      </w:r>
      <w:r w:rsidRPr="00D63B51">
        <w:rPr>
          <w:rFonts w:cs="Times New Roman"/>
          <w:szCs w:val="24"/>
        </w:rPr>
        <w:t>any limits on activity by nonleadership counsel</w:t>
      </w:r>
      <w:r w:rsidRPr="00D63B51">
        <w:t xml:space="preserve"> in the report to the court.  Permanent No. </w:t>
      </w:r>
      <w:r w:rsidRPr="00D63B51">
        <w:rPr>
          <w:rFonts w:cs="Times New Roman"/>
          <w:szCs w:val="24"/>
        </w:rPr>
        <w:t>MDL-§ 14</w:t>
      </w:r>
      <w:r w:rsidRPr="00D63B51">
        <w:t xml:space="preserve"> (c).</w:t>
      </w:r>
    </w:p>
    <w:p w14:paraId="757F32B9" w14:textId="77777777" w:rsidR="00F62B2D" w:rsidRPr="00D63B51" w:rsidRDefault="00F62B2D" w:rsidP="00F62B2D">
      <w:pPr>
        <w:pStyle w:val="NoSpacing"/>
        <w:ind w:left="720" w:right="720"/>
        <w:jc w:val="both"/>
        <w:rPr>
          <w:rFonts w:cs="Times New Roman"/>
          <w:szCs w:val="24"/>
        </w:rPr>
      </w:pPr>
    </w:p>
    <w:p w14:paraId="2BC9DD0B" w14:textId="77777777" w:rsidR="00F62B2D" w:rsidRPr="00D63B51" w:rsidRDefault="00F62B2D" w:rsidP="00F62B2D">
      <w:pPr>
        <w:spacing w:line="360" w:lineRule="auto"/>
        <w:ind w:firstLine="720"/>
        <w:jc w:val="both"/>
        <w:rPr>
          <w:rFonts w:cs="Times New Roman"/>
        </w:rPr>
      </w:pPr>
      <w:r w:rsidRPr="00D63B51">
        <w:rPr>
          <w:rFonts w:cs="Times New Roman"/>
        </w:rPr>
        <w:t xml:space="preserve">Under Rule 16.1(b)(2)(A)(vi), the parties must address in their report to the court “any limits on activity by nonleadership counsel.”  Transferee courts commonly direct lead counsel to </w:t>
      </w:r>
      <w:r w:rsidRPr="00D63B51">
        <w:rPr>
          <w:rFonts w:cs="Times New Roman"/>
        </w:rPr>
        <w:lastRenderedPageBreak/>
        <w:t xml:space="preserve">establish processes that build consensus among nonleadership counsel as to key decisions that lead to settlement as well as to identify potential conflicts and disagreements early on between nonleadership counsel and lead counsel. The court should consider a reappointment process for lead counsel, </w:t>
      </w:r>
      <w:r w:rsidRPr="00D63B51">
        <w:rPr>
          <w:rFonts w:cs="Times New Roman"/>
          <w:i/>
          <w:iCs/>
        </w:rPr>
        <w:t>e.g</w:t>
      </w:r>
      <w:r w:rsidRPr="00D63B51">
        <w:rPr>
          <w:rFonts w:cs="Times New Roman"/>
        </w:rPr>
        <w:t>., annual reappointments, as a means of discovering serious conflicts, if any, between lead and nonleadership counsel. As part of the reappointment process, lead counsel should report on their exercise of MDL obligations, including communication with nonleadership counsel, and the court should invite comment from nonleadership counsel on the performance of lead counsel.</w:t>
      </w:r>
    </w:p>
    <w:p w14:paraId="7A31AFF5" w14:textId="77777777" w:rsidR="00F62B2D" w:rsidRPr="00D63B51" w:rsidRDefault="00F62B2D" w:rsidP="00F62B2D">
      <w:pPr>
        <w:pStyle w:val="NoSpacing"/>
        <w:ind w:left="720" w:right="720"/>
        <w:jc w:val="both"/>
      </w:pPr>
      <w:r w:rsidRPr="00D63B51">
        <w:rPr>
          <w:rFonts w:cs="Times New Roman"/>
          <w:b/>
          <w:bCs/>
          <w:szCs w:val="24"/>
        </w:rPr>
        <w:t>Best Practice MDL-§ 7(d):</w:t>
      </w:r>
      <w:r w:rsidRPr="00D63B51">
        <w:rPr>
          <w:rFonts w:cs="Times New Roman"/>
          <w:szCs w:val="24"/>
        </w:rPr>
        <w:t xml:space="preserve"> Unless the court orders otherwise, </w:t>
      </w:r>
      <w:r w:rsidRPr="00D63B51">
        <w:t xml:space="preserve">the parties must </w:t>
      </w:r>
      <w:r w:rsidRPr="00D63B51">
        <w:rPr>
          <w:rFonts w:cs="Times New Roman"/>
          <w:szCs w:val="24"/>
        </w:rPr>
        <w:t xml:space="preserve">address their views on and suggest </w:t>
      </w:r>
      <w:r w:rsidRPr="00D63B51">
        <w:t xml:space="preserve">procedures regarding whether and when to </w:t>
      </w:r>
      <w:r w:rsidRPr="00D63B51">
        <w:rPr>
          <w:rFonts w:cs="Times New Roman"/>
          <w:szCs w:val="24"/>
        </w:rPr>
        <w:t>establish a common-benefit fund in the report to the court.</w:t>
      </w:r>
      <w:r w:rsidRPr="00D63B51">
        <w:t xml:space="preserve"> Permanent No. </w:t>
      </w:r>
      <w:r w:rsidRPr="00D63B51">
        <w:rPr>
          <w:rFonts w:cs="Times New Roman"/>
          <w:szCs w:val="24"/>
        </w:rPr>
        <w:t>MDL-§ 14</w:t>
      </w:r>
      <w:r w:rsidRPr="00D63B51">
        <w:t>(d).</w:t>
      </w:r>
    </w:p>
    <w:p w14:paraId="5F383659" w14:textId="77777777" w:rsidR="00F62B2D" w:rsidRPr="00D63B51" w:rsidRDefault="00F62B2D" w:rsidP="00F62B2D">
      <w:pPr>
        <w:pStyle w:val="NoSpacing"/>
        <w:ind w:left="720" w:right="720"/>
        <w:jc w:val="both"/>
        <w:rPr>
          <w:rFonts w:cs="Times New Roman"/>
          <w:szCs w:val="24"/>
        </w:rPr>
      </w:pPr>
    </w:p>
    <w:p w14:paraId="0A89E75A" w14:textId="77777777" w:rsidR="00F62B2D" w:rsidRPr="00D63B51" w:rsidRDefault="00F62B2D" w:rsidP="00F62B2D">
      <w:pPr>
        <w:spacing w:line="360" w:lineRule="auto"/>
        <w:ind w:firstLine="720"/>
        <w:jc w:val="both"/>
        <w:rPr>
          <w:rFonts w:cs="Times New Roman"/>
        </w:rPr>
      </w:pPr>
      <w:r w:rsidRPr="00D63B51">
        <w:rPr>
          <w:rFonts w:cs="Times New Roman"/>
        </w:rPr>
        <w:t>Under Rule 16.1(b)(2)(A)(vii), the parties must address “whether and when to establish a means for compensating leadership counsel.”</w:t>
      </w:r>
      <w:r w:rsidRPr="00D63B51">
        <w:rPr>
          <w:rStyle w:val="FootnoteReference"/>
          <w:rFonts w:cs="Times New Roman"/>
        </w:rPr>
        <w:footnoteReference w:id="79"/>
      </w:r>
      <w:r w:rsidRPr="00D63B51">
        <w:rPr>
          <w:rFonts w:cs="Times New Roman"/>
        </w:rPr>
        <w:t xml:space="preserve">  Mass-tort MDL courts routinely enter an order early in the litigation establishing a common-benefit fund that eventually compensates lawyers from anticipated settlement amounts for work done for the common benefit as well as reimburses leadership counsel for significant expenses incurred for common-benefit work, </w:t>
      </w:r>
      <w:r w:rsidRPr="00D63B51">
        <w:rPr>
          <w:rFonts w:cs="Times New Roman"/>
          <w:i/>
          <w:iCs/>
        </w:rPr>
        <w:t>e.g</w:t>
      </w:r>
      <w:r w:rsidRPr="00D63B51">
        <w:rPr>
          <w:rFonts w:cs="Times New Roman"/>
        </w:rPr>
        <w:t>., expert witnesses, that is paid promptly from monies funded by contributions from leadership counsel.</w:t>
      </w:r>
      <w:r w:rsidRPr="00D63B51">
        <w:rPr>
          <w:rStyle w:val="FootnoteReference"/>
          <w:rFonts w:cs="Times New Roman"/>
        </w:rPr>
        <w:footnoteReference w:id="80"/>
      </w:r>
      <w:r w:rsidRPr="00D63B51">
        <w:rPr>
          <w:rFonts w:cs="Times New Roman"/>
        </w:rPr>
        <w:t xml:space="preserve">  Under protocols approved by the court, lawyers who consent to the arrangement are assessed an amount payable from their contingency fee based on a certain percentage of anticipated future settlement amounts to pay for common-benefit work (</w:t>
      </w:r>
      <w:r w:rsidRPr="00D63B51">
        <w:rPr>
          <w:rFonts w:cs="Times New Roman"/>
          <w:i/>
          <w:iCs/>
        </w:rPr>
        <w:t>e.g.,</w:t>
      </w:r>
      <w:r w:rsidRPr="00D63B51">
        <w:rPr>
          <w:rFonts w:cs="Times New Roman"/>
        </w:rPr>
        <w:t xml:space="preserve"> general-liability discovery, </w:t>
      </w:r>
      <w:r w:rsidRPr="00D63B51">
        <w:rPr>
          <w:rFonts w:cs="Times New Roman"/>
          <w:i/>
          <w:iCs/>
        </w:rPr>
        <w:t>etc</w:t>
      </w:r>
      <w:r w:rsidRPr="00D63B51">
        <w:rPr>
          <w:rFonts w:cs="Times New Roman"/>
        </w:rPr>
        <w:t xml:space="preserve">.). The proceeds of the fund are distributed at the end of the litigation from settlement amounts.  </w:t>
      </w:r>
    </w:p>
    <w:p w14:paraId="677D1433" w14:textId="77777777" w:rsidR="00F62B2D" w:rsidRPr="00D63B51" w:rsidRDefault="00F62B2D" w:rsidP="00F62B2D">
      <w:pPr>
        <w:spacing w:line="360" w:lineRule="auto"/>
        <w:ind w:firstLine="720"/>
        <w:jc w:val="both"/>
        <w:rPr>
          <w:rFonts w:cs="Times New Roman"/>
        </w:rPr>
      </w:pPr>
      <w:r w:rsidRPr="00D63B51">
        <w:rPr>
          <w:rFonts w:cs="Times New Roman"/>
        </w:rPr>
        <w:lastRenderedPageBreak/>
        <w:t>Transferee courts in mass-tort MDLs may issue an order early in the litigation, which establishes limits on the fund and its funding.</w:t>
      </w:r>
      <w:r w:rsidRPr="00D63B51">
        <w:rPr>
          <w:rStyle w:val="FootnoteReference"/>
          <w:rFonts w:cs="Times New Roman"/>
        </w:rPr>
        <w:footnoteReference w:id="81"/>
      </w:r>
      <w:r w:rsidRPr="00D63B51">
        <w:rPr>
          <w:rFonts w:cs="Times New Roman"/>
        </w:rPr>
        <w:t xml:space="preserve"> It is critical that any common-benefit fund be transparent and clearly explained to all counsel in the MDL. </w:t>
      </w:r>
    </w:p>
    <w:p w14:paraId="447CE4AF" w14:textId="27EE4E84" w:rsidR="00F62B2D" w:rsidRPr="00D63B51" w:rsidRDefault="00F62B2D" w:rsidP="00F62B2D">
      <w:pPr>
        <w:spacing w:line="360" w:lineRule="auto"/>
        <w:ind w:firstLine="720"/>
        <w:jc w:val="both"/>
        <w:rPr>
          <w:rFonts w:cs="Times New Roman"/>
        </w:rPr>
      </w:pPr>
      <w:r w:rsidRPr="00D63B51">
        <w:rPr>
          <w:rFonts w:cs="Times New Roman"/>
        </w:rPr>
        <w:t>The extent of common-benefit work is difficult to estimate at the outset of an MDL. Courts that have set a fixed percentage of anticipated settlements immediately for compensation, not infrequently increase the percentage in the course of the litigation to account for higher expenses, which can surprise lawyers who are assessed the increased charges. Other courts have deferred fixing the percentage until the expenses are actually incurred, advising the parties periodically of the expected percentage and any adjustments. A 10% common-</w:t>
      </w:r>
      <w:r w:rsidR="005C0D4D" w:rsidRPr="00D63B51">
        <w:rPr>
          <w:rFonts w:cs="Times New Roman"/>
        </w:rPr>
        <w:t>benefit fee</w:t>
      </w:r>
      <w:r w:rsidRPr="00D63B51">
        <w:rPr>
          <w:rFonts w:cs="Times New Roman"/>
        </w:rPr>
        <w:t xml:space="preserve"> and expense percentage has been assessed in recent mass-tort MDLs.</w:t>
      </w:r>
      <w:r w:rsidRPr="00D63B51">
        <w:rPr>
          <w:rStyle w:val="FootnoteReference"/>
          <w:rFonts w:cs="Times New Roman"/>
        </w:rPr>
        <w:footnoteReference w:id="82"/>
      </w:r>
      <w:r w:rsidRPr="00D63B51">
        <w:rPr>
          <w:rFonts w:cs="Times New Roman"/>
        </w:rPr>
        <w:t xml:space="preserve"> </w:t>
      </w:r>
    </w:p>
    <w:p w14:paraId="065DE698" w14:textId="77777777" w:rsidR="00F62B2D" w:rsidRPr="00D63B51" w:rsidRDefault="00F62B2D" w:rsidP="00F62B2D">
      <w:pPr>
        <w:spacing w:line="360" w:lineRule="auto"/>
        <w:ind w:firstLine="720"/>
        <w:jc w:val="both"/>
        <w:rPr>
          <w:rFonts w:cs="Times New Roman"/>
        </w:rPr>
      </w:pPr>
      <w:r w:rsidRPr="00D63B51">
        <w:rPr>
          <w:rFonts w:cs="Times New Roman"/>
        </w:rPr>
        <w:t xml:space="preserve">It is important that all parties be informed of a common-benefit assessment and potential increases at an early date, because lawyers begin performing work for the common benefit immediately. The transferee judge typically adopts a lodestar-reporting method and delineates compensable responsibilities, including expenses incurred by leadership counsel, determines the method of compensation, specifies what records to maintain, provides guidelines for allowable fees and expenses, and requires counsel to contemporaneously submit detailed reports of their work. </w:t>
      </w:r>
    </w:p>
    <w:p w14:paraId="5B64009A" w14:textId="03E0B732" w:rsidR="00F62B2D" w:rsidRPr="00D63B51" w:rsidRDefault="00F62B2D" w:rsidP="00F62B2D">
      <w:pPr>
        <w:spacing w:line="360" w:lineRule="auto"/>
        <w:ind w:firstLine="720"/>
        <w:jc w:val="both"/>
        <w:rPr>
          <w:rFonts w:cs="Times New Roman"/>
        </w:rPr>
      </w:pPr>
      <w:r w:rsidRPr="00D63B51">
        <w:rPr>
          <w:rFonts w:cs="Times New Roman"/>
        </w:rPr>
        <w:t xml:space="preserve">Although the court should defer issuing an order fixing the “final” percentage for the common-benefit fund until it appoints leadership counsel and gets their input, it should not “defer entering a specific order relating to </w:t>
      </w:r>
      <w:r w:rsidR="009E18D2" w:rsidRPr="00D63B51">
        <w:rPr>
          <w:rFonts w:cs="Times New Roman"/>
        </w:rPr>
        <w:t xml:space="preserve">a </w:t>
      </w:r>
      <w:r w:rsidRPr="00D63B51">
        <w:rPr>
          <w:rFonts w:cs="Times New Roman"/>
        </w:rPr>
        <w:t>common benefit and expenses until well into the proceedings” as suggested in the Committee Note to Rule 16.1.</w:t>
      </w:r>
      <w:r w:rsidRPr="00D63B51">
        <w:rPr>
          <w:rStyle w:val="FootnoteReference"/>
          <w:rFonts w:cs="Times New Roman"/>
        </w:rPr>
        <w:footnoteReference w:id="83"/>
      </w:r>
      <w:r w:rsidRPr="00D63B51">
        <w:rPr>
          <w:rFonts w:cs="Times New Roman"/>
        </w:rPr>
        <w:t xml:space="preserve">   Leadership is incurring substantial expenses, often in the tens of millions of dollars, early in the litigation.</w:t>
      </w:r>
      <w:r w:rsidRPr="00D63B51">
        <w:rPr>
          <w:rStyle w:val="FootnoteReference"/>
          <w:rFonts w:cs="Times New Roman"/>
        </w:rPr>
        <w:footnoteReference w:id="84"/>
      </w:r>
      <w:r w:rsidRPr="00D63B51">
        <w:rPr>
          <w:rFonts w:cs="Times New Roman"/>
        </w:rPr>
        <w:t xml:space="preserve">  It is unfair for leadership to pay </w:t>
      </w:r>
      <w:r w:rsidRPr="00D63B51">
        <w:rPr>
          <w:rFonts w:cs="Times New Roman"/>
        </w:rPr>
        <w:lastRenderedPageBreak/>
        <w:t xml:space="preserve">such large amounts of money without official recognition that compensation based on anticipated settlement amounts will be approved by the court. More importantly, absent early court-approved criteria for compensation, contentious disputes about eligible work have arisen when distributions from the fund are made and compensable work performed months or years before the court order is challenged. </w:t>
      </w:r>
    </w:p>
    <w:p w14:paraId="2677F44E" w14:textId="77777777" w:rsidR="00F62B2D" w:rsidRPr="00D63B51" w:rsidRDefault="00F62B2D" w:rsidP="00F62B2D">
      <w:pPr>
        <w:spacing w:line="360" w:lineRule="auto"/>
        <w:ind w:firstLine="720"/>
        <w:jc w:val="both"/>
        <w:rPr>
          <w:rFonts w:cs="Times New Roman"/>
        </w:rPr>
      </w:pPr>
      <w:r w:rsidRPr="00D63B51">
        <w:rPr>
          <w:rFonts w:cs="Times New Roman"/>
        </w:rPr>
        <w:t>Courts have imposed a common-benefit assessment on lawyers in state-court actions related to the MDL on consent of the lawyers and sometimes more controversially without the state-court lawyers’ consent.</w:t>
      </w:r>
      <w:r w:rsidRPr="00D63B51">
        <w:rPr>
          <w:rStyle w:val="FootnoteReference"/>
          <w:rFonts w:cs="Times New Roman"/>
        </w:rPr>
        <w:footnoteReference w:id="85"/>
      </w:r>
      <w:r w:rsidRPr="00D63B51">
        <w:rPr>
          <w:rFonts w:cs="Times New Roman"/>
        </w:rPr>
        <w:t xml:space="preserve">   </w:t>
      </w:r>
    </w:p>
    <w:p w14:paraId="62E41E70" w14:textId="77777777" w:rsidR="00F62B2D" w:rsidRPr="00D63B51" w:rsidRDefault="00F62B2D" w:rsidP="00F62B2D">
      <w:pPr>
        <w:pStyle w:val="NoSpacing"/>
        <w:ind w:left="720" w:right="720"/>
        <w:jc w:val="both"/>
      </w:pPr>
      <w:r w:rsidRPr="00D63B51">
        <w:rPr>
          <w:rFonts w:cs="Times New Roman"/>
          <w:b/>
          <w:bCs/>
          <w:szCs w:val="24"/>
        </w:rPr>
        <w:t>Best Practice MDL-§ 7(e):</w:t>
      </w:r>
      <w:r w:rsidRPr="00D63B51">
        <w:rPr>
          <w:rFonts w:cs="Times New Roman"/>
          <w:szCs w:val="24"/>
        </w:rPr>
        <w:t xml:space="preserve"> Unless the court orders otherwise, </w:t>
      </w:r>
      <w:r w:rsidRPr="00D63B51">
        <w:t xml:space="preserve">the parties must </w:t>
      </w:r>
      <w:r w:rsidRPr="00D63B51">
        <w:rPr>
          <w:rFonts w:cs="Times New Roman"/>
          <w:szCs w:val="24"/>
        </w:rPr>
        <w:t xml:space="preserve">address their views on and suggest </w:t>
      </w:r>
      <w:r w:rsidRPr="00D63B51">
        <w:t>procedures regarding</w:t>
      </w:r>
      <w:r w:rsidRPr="00D63B51">
        <w:rPr>
          <w:rFonts w:cs="Times New Roman"/>
          <w:szCs w:val="24"/>
        </w:rPr>
        <w:t xml:space="preserve"> a schedule for additional case-management conferences in the report to the court. </w:t>
      </w:r>
      <w:r w:rsidRPr="00D63B51">
        <w:t xml:space="preserve"> Permanent No. </w:t>
      </w:r>
      <w:r w:rsidRPr="00D63B51">
        <w:rPr>
          <w:rFonts w:cs="Times New Roman"/>
          <w:szCs w:val="24"/>
        </w:rPr>
        <w:t>MDL-§ 14</w:t>
      </w:r>
      <w:r w:rsidRPr="00D63B51">
        <w:t xml:space="preserve">(e). </w:t>
      </w:r>
    </w:p>
    <w:p w14:paraId="6470A12D" w14:textId="77777777" w:rsidR="00F62B2D" w:rsidRPr="00D63B51" w:rsidRDefault="00F62B2D" w:rsidP="00F62B2D">
      <w:pPr>
        <w:pStyle w:val="NoSpacing"/>
        <w:ind w:left="720" w:right="720"/>
        <w:jc w:val="both"/>
        <w:rPr>
          <w:rFonts w:cs="Times New Roman"/>
          <w:szCs w:val="24"/>
        </w:rPr>
      </w:pPr>
    </w:p>
    <w:p w14:paraId="4FE42A2A" w14:textId="77777777" w:rsidR="00F62B2D" w:rsidRPr="00D63B51" w:rsidRDefault="00F62B2D" w:rsidP="00F62B2D">
      <w:pPr>
        <w:spacing w:line="360" w:lineRule="auto"/>
        <w:ind w:firstLine="720"/>
        <w:jc w:val="both"/>
        <w:rPr>
          <w:rFonts w:cs="Times New Roman"/>
        </w:rPr>
      </w:pPr>
      <w:r w:rsidRPr="00D63B51">
        <w:rPr>
          <w:rFonts w:cs="Times New Roman"/>
        </w:rPr>
        <w:t xml:space="preserve">Under Rule 16.1(b)(2)(C), the parties must address in their report to the court “a schedule for additional management conferences with the court.”  All courts hold regularly scheduled conferences in mass-tort MDLs, which may be more frequent at the start of the MDL, </w:t>
      </w:r>
      <w:r w:rsidRPr="00D63B51">
        <w:rPr>
          <w:rFonts w:cs="Times New Roman"/>
          <w:i/>
          <w:iCs/>
        </w:rPr>
        <w:t>e.g.,</w:t>
      </w:r>
      <w:r w:rsidRPr="00D63B51">
        <w:rPr>
          <w:rFonts w:cs="Times New Roman"/>
        </w:rPr>
        <w:t xml:space="preserve"> biweekly, and less frequent as the litigation matures, </w:t>
      </w:r>
      <w:r w:rsidRPr="00D63B51">
        <w:rPr>
          <w:rFonts w:cs="Times New Roman"/>
          <w:i/>
          <w:iCs/>
        </w:rPr>
        <w:t>e.g.,</w:t>
      </w:r>
      <w:r w:rsidRPr="00D63B51">
        <w:rPr>
          <w:rFonts w:cs="Times New Roman"/>
        </w:rPr>
        <w:t xml:space="preserve"> monthly.  Parties have provided input to the court on the frequency of such conferences as well as on the mode, whether in person or remote. Although remotely held conferences are becoming more routine, they come at a cost, diminishing opportunities to develop personal relations that so often leaven contentious dialogue.  The courts typically provide an online transcript of the conference accessible to the parties. </w:t>
      </w:r>
    </w:p>
    <w:p w14:paraId="7F327FE5" w14:textId="77777777" w:rsidR="00F62B2D" w:rsidRPr="00D63B51" w:rsidRDefault="00F62B2D" w:rsidP="00F62B2D">
      <w:pPr>
        <w:spacing w:line="360" w:lineRule="auto"/>
        <w:ind w:firstLine="720"/>
        <w:jc w:val="both"/>
        <w:rPr>
          <w:rFonts w:cs="Times New Roman"/>
        </w:rPr>
      </w:pPr>
      <w:r w:rsidRPr="00D63B51">
        <w:rPr>
          <w:rFonts w:cs="Times New Roman"/>
        </w:rPr>
        <w:t xml:space="preserve">Later in the MDL, a court may consider inviting defendants’ clients in appropriate circumstances to attend a conference so that the client can become better informed about the status of the MDL and manage unrealistic expectations. </w:t>
      </w:r>
    </w:p>
    <w:p w14:paraId="4F6170F2" w14:textId="77777777" w:rsidR="00F62B2D" w:rsidRPr="00D63B51" w:rsidRDefault="00F62B2D" w:rsidP="00F62B2D">
      <w:pPr>
        <w:pStyle w:val="NoSpacing"/>
        <w:ind w:left="720" w:right="720"/>
        <w:jc w:val="both"/>
      </w:pPr>
      <w:bookmarkStart w:id="19" w:name="_Hlk165830309"/>
      <w:r w:rsidRPr="00D63B51">
        <w:rPr>
          <w:rFonts w:cs="Times New Roman"/>
          <w:b/>
          <w:bCs/>
          <w:szCs w:val="24"/>
        </w:rPr>
        <w:t>Best Practice MDL-§ 7(f):</w:t>
      </w:r>
      <w:r w:rsidRPr="00D63B51">
        <w:rPr>
          <w:rFonts w:cs="Times New Roman"/>
          <w:szCs w:val="24"/>
        </w:rPr>
        <w:t xml:space="preserve"> Unless the court orders otherwise, </w:t>
      </w:r>
      <w:r w:rsidRPr="00D63B51">
        <w:t xml:space="preserve">the parties must </w:t>
      </w:r>
      <w:r w:rsidRPr="00D63B51">
        <w:rPr>
          <w:rFonts w:cs="Times New Roman"/>
          <w:szCs w:val="24"/>
        </w:rPr>
        <w:t xml:space="preserve">address their views on and suggest </w:t>
      </w:r>
      <w:r w:rsidRPr="00D63B51">
        <w:t xml:space="preserve">procedures </w:t>
      </w:r>
      <w:r w:rsidRPr="00D63B51">
        <w:rPr>
          <w:rFonts w:cs="Times New Roman"/>
          <w:szCs w:val="24"/>
        </w:rPr>
        <w:t xml:space="preserve">to manage direct filings of new actions in the MDL proceedings in the report to the court. </w:t>
      </w:r>
      <w:r w:rsidRPr="00D63B51">
        <w:t xml:space="preserve"> Permanent No. </w:t>
      </w:r>
      <w:r w:rsidRPr="00D63B51">
        <w:rPr>
          <w:rFonts w:cs="Times New Roman"/>
          <w:szCs w:val="24"/>
        </w:rPr>
        <w:t>MDL-§ 14</w:t>
      </w:r>
      <w:r w:rsidRPr="00D63B51">
        <w:t xml:space="preserve">(f). </w:t>
      </w:r>
      <w:bookmarkEnd w:id="19"/>
    </w:p>
    <w:p w14:paraId="6836DE63" w14:textId="77777777" w:rsidR="00F62B2D" w:rsidRPr="00D63B51" w:rsidRDefault="00F62B2D" w:rsidP="00F62B2D">
      <w:pPr>
        <w:pStyle w:val="NoSpacing"/>
        <w:ind w:left="720" w:right="720"/>
        <w:jc w:val="both"/>
        <w:rPr>
          <w:rFonts w:cs="Times New Roman"/>
          <w:szCs w:val="24"/>
        </w:rPr>
      </w:pPr>
    </w:p>
    <w:p w14:paraId="1BFE5A14" w14:textId="77777777" w:rsidR="00F62B2D" w:rsidRPr="00D63B51" w:rsidRDefault="00F62B2D" w:rsidP="00F62B2D">
      <w:pPr>
        <w:spacing w:line="360" w:lineRule="auto"/>
        <w:ind w:firstLine="720"/>
        <w:jc w:val="both"/>
        <w:rPr>
          <w:rFonts w:cs="Times New Roman"/>
        </w:rPr>
      </w:pPr>
      <w:r w:rsidRPr="00D63B51">
        <w:rPr>
          <w:rFonts w:cs="Times New Roman"/>
        </w:rPr>
        <w:t xml:space="preserve">Under Rule 16.1(b)(2)(D), the parties must address in their report to the court “how to manage the filing of new actions in the MDL proceedings.” Tag-along actions are filed after the </w:t>
      </w:r>
      <w:r w:rsidRPr="00D63B51">
        <w:rPr>
          <w:rFonts w:cs="Times New Roman"/>
        </w:rPr>
        <w:lastRenderedPageBreak/>
        <w:t>originally filed actions are centralized in mass-tort MDLs.</w:t>
      </w:r>
      <w:r w:rsidRPr="00D63B51">
        <w:rPr>
          <w:rStyle w:val="FootnoteReference"/>
          <w:rFonts w:cs="Times New Roman"/>
        </w:rPr>
        <w:footnoteReference w:id="86"/>
      </w:r>
      <w:r w:rsidRPr="00D63B51">
        <w:rPr>
          <w:rFonts w:cs="Times New Roman"/>
        </w:rPr>
        <w:t xml:space="preserve">  Most courts establish procedures that allow a party outside the district to directly file an action in the transferee district without waiving any rights it would have had if it filed the action in the transferor district.  If the tag-along action is filed outside the transferee district, the JPML transfers it, incurring additional costs and delay. The court should consider requiring payment of the filing fee for individual tag-along actions directly filed in the MDL and deny requests to aggregate actions for filing-fee purposes.</w:t>
      </w:r>
    </w:p>
    <w:p w14:paraId="07D26A24" w14:textId="77777777" w:rsidR="00F62B2D" w:rsidRPr="00D63B51" w:rsidRDefault="00F62B2D" w:rsidP="00F62B2D">
      <w:pPr>
        <w:spacing w:line="360" w:lineRule="auto"/>
        <w:ind w:firstLine="720"/>
        <w:jc w:val="both"/>
        <w:rPr>
          <w:rFonts w:cs="Times New Roman"/>
        </w:rPr>
      </w:pPr>
      <w:r w:rsidRPr="00D63B51">
        <w:rPr>
          <w:rFonts w:cs="Times New Roman"/>
        </w:rPr>
        <w:t>Some mass-tort MDL courts have issued a census or registry order, establishing an inactive or administrative docket to register potential tag-along actions, which the defendant sometimes agrees to toll the running of statutes of limitation, and deferring their consideration until the parties are ready to proceed with them for a finite period of time.  These orders can provide useful information on the potential scope of the MDL, the number of filings, the number and variety of injuries claimed, plaintiff jurisdictions, and the number and variety of plaintiff law firms.  Such actions are not included on the active docket, but the option can enable the improvident filing of cases.</w:t>
      </w:r>
      <w:r w:rsidRPr="00D63B51">
        <w:rPr>
          <w:rStyle w:val="FootnoteReference"/>
          <w:rFonts w:cs="Times New Roman"/>
        </w:rPr>
        <w:footnoteReference w:id="87"/>
      </w:r>
      <w:r w:rsidRPr="00D63B51">
        <w:rPr>
          <w:rFonts w:cs="Times New Roman"/>
          <w:i/>
          <w:iCs/>
        </w:rPr>
        <w:t xml:space="preserve"> </w:t>
      </w:r>
      <w:r w:rsidRPr="00D63B51">
        <w:rPr>
          <w:rFonts w:cs="Times New Roman"/>
        </w:rPr>
        <w:t>The defendant should consider declining to indefinitely toll the running of the statute of limitations and set a finite period, to prevent a deluge of otherwise unsupportable claims.</w:t>
      </w:r>
      <w:r w:rsidRPr="00D63B51">
        <w:rPr>
          <w:rStyle w:val="FootnoteReference"/>
          <w:rFonts w:cs="Times New Roman"/>
        </w:rPr>
        <w:footnoteReference w:id="88"/>
      </w:r>
      <w:r w:rsidRPr="00D63B51">
        <w:rPr>
          <w:rFonts w:cs="Times New Roman"/>
        </w:rPr>
        <w:t xml:space="preserve">  </w:t>
      </w:r>
    </w:p>
    <w:p w14:paraId="2E3E9563" w14:textId="77777777" w:rsidR="00F62B2D" w:rsidRPr="00D63B51" w:rsidRDefault="00F62B2D" w:rsidP="00F62B2D">
      <w:pPr>
        <w:spacing w:line="360" w:lineRule="auto"/>
        <w:ind w:firstLine="720"/>
        <w:jc w:val="both"/>
        <w:rPr>
          <w:rFonts w:cs="Times New Roman"/>
          <w:b/>
          <w:bCs/>
        </w:rPr>
      </w:pPr>
      <w:r w:rsidRPr="00D63B51">
        <w:rPr>
          <w:rFonts w:cs="Times New Roman"/>
        </w:rPr>
        <w:t xml:space="preserve">Transferee courts can face scores of motions at the MDL’s outset to remand based on the absence of federal subject-matter jurisdiction.  Early identification of the specific grounds for remand can facilitate consideration and resolution of actions raising similar remand issues. The parties can reconfigure the central-exchange information platform to group similar actions to aid </w:t>
      </w:r>
      <w:r w:rsidRPr="00D63B51">
        <w:rPr>
          <w:rFonts w:cs="Times New Roman"/>
        </w:rPr>
        <w:lastRenderedPageBreak/>
        <w:t>the transferee judge or a designated magistrate judge or a special master rule on pending remand motions for lack of subject-matter jurisdiction in a reasonable amount of time.</w:t>
      </w:r>
      <w:r w:rsidRPr="00D63B51">
        <w:rPr>
          <w:rStyle w:val="FootnoteReference"/>
          <w:rFonts w:cs="Times New Roman"/>
        </w:rPr>
        <w:t xml:space="preserve"> </w:t>
      </w:r>
      <w:r w:rsidRPr="00D63B51">
        <w:rPr>
          <w:rStyle w:val="FootnoteReference"/>
          <w:rFonts w:cs="Times New Roman"/>
        </w:rPr>
        <w:footnoteReference w:id="89"/>
      </w:r>
      <w:r w:rsidRPr="00D63B51">
        <w:rPr>
          <w:rFonts w:cs="Times New Roman"/>
        </w:rPr>
        <w:t xml:space="preserve">   </w:t>
      </w:r>
    </w:p>
    <w:p w14:paraId="31F5B42F" w14:textId="77777777" w:rsidR="00F62B2D" w:rsidRPr="00D63B51" w:rsidRDefault="00F62B2D" w:rsidP="00F62B2D">
      <w:pPr>
        <w:ind w:left="720" w:right="720"/>
        <w:jc w:val="both"/>
        <w:rPr>
          <w:rFonts w:cs="Times New Roman"/>
        </w:rPr>
      </w:pPr>
      <w:r w:rsidRPr="00D63B51">
        <w:rPr>
          <w:rFonts w:cs="Times New Roman"/>
          <w:b/>
          <w:bCs/>
        </w:rPr>
        <w:t>Best Practice MDL-§ 7(g):</w:t>
      </w:r>
      <w:r w:rsidRPr="00D63B51">
        <w:rPr>
          <w:rFonts w:cs="Times New Roman"/>
        </w:rPr>
        <w:t xml:space="preserve"> Unless the court orders otherwise, the parties must address their views on whether related actions have been filed or are expected to be filed in other courts and suggest possible methods for coordinating with them in the report to the court.  Permanent No. MDL-§ 14(g).</w:t>
      </w:r>
    </w:p>
    <w:p w14:paraId="3A0E31E9" w14:textId="77777777" w:rsidR="00F62B2D" w:rsidRPr="00D63B51" w:rsidRDefault="00F62B2D" w:rsidP="00F62B2D">
      <w:pPr>
        <w:ind w:left="720" w:right="720" w:firstLine="720"/>
        <w:jc w:val="both"/>
        <w:rPr>
          <w:rFonts w:cs="Times New Roman"/>
        </w:rPr>
      </w:pPr>
    </w:p>
    <w:p w14:paraId="4D9D9262" w14:textId="77777777" w:rsidR="00F62B2D" w:rsidRPr="00D63B51" w:rsidRDefault="00F62B2D" w:rsidP="00F62B2D">
      <w:pPr>
        <w:spacing w:line="360" w:lineRule="auto"/>
        <w:ind w:firstLine="720"/>
        <w:jc w:val="both"/>
        <w:rPr>
          <w:rFonts w:cs="Times New Roman"/>
        </w:rPr>
      </w:pPr>
      <w:r w:rsidRPr="00D63B51">
        <w:rPr>
          <w:rFonts w:cs="Times New Roman"/>
        </w:rPr>
        <w:t xml:space="preserve">Under Rule 16.1(b)(2)(E), the parties must address in their report to the court “whether related actions have been filed or are expected to be filed in other courts, and whether to consider possible methods for coordinating with them.”  Effective coordination between federal and state courts in an MDL proceeding promotes cooperation in scheduling hearings, conducting and completing discovery, facilitates efficient distribution of and access to discovery work product, avoids inconsistent federal and state rulings on discovery and privilege issues, if possible, and fosters communication and cooperation among litigants and courts that may facilitate just and less expensive resolutions.  </w:t>
      </w:r>
    </w:p>
    <w:p w14:paraId="3105922B" w14:textId="77777777" w:rsidR="00F62B2D" w:rsidRPr="00D63B51" w:rsidRDefault="00F62B2D" w:rsidP="00F62B2D">
      <w:pPr>
        <w:spacing w:line="360" w:lineRule="auto"/>
        <w:ind w:firstLine="720"/>
        <w:jc w:val="both"/>
        <w:rPr>
          <w:rFonts w:cs="Times New Roman"/>
        </w:rPr>
      </w:pPr>
      <w:r w:rsidRPr="00D63B51">
        <w:rPr>
          <w:rFonts w:cs="Times New Roman"/>
        </w:rPr>
        <w:t>Procedures for counsel to report on the existence, status, and progress of related state-court actions can facilitate effective coordination between federal and state courts in an MDL.</w:t>
      </w:r>
      <w:r w:rsidRPr="00D63B51">
        <w:rPr>
          <w:rStyle w:val="FootnoteReference"/>
          <w:rFonts w:cs="Times New Roman"/>
        </w:rPr>
        <w:footnoteReference w:id="90"/>
      </w:r>
      <w:r w:rsidRPr="00D63B51">
        <w:rPr>
          <w:rFonts w:cs="Times New Roman"/>
        </w:rPr>
        <w:t xml:space="preserve">   The court may consider appointing liaison counsel to coordinate the reports.  Extensive guidance on federal-state court cooperation can be found in the </w:t>
      </w:r>
      <w:r w:rsidRPr="00D63B51">
        <w:rPr>
          <w:rFonts w:cs="Times New Roman"/>
          <w:smallCaps/>
        </w:rPr>
        <w:t>Guidelines and Best Practices for Large and Mass-Tort MDLs</w:t>
      </w:r>
      <w:r w:rsidRPr="00D63B51">
        <w:rPr>
          <w:rFonts w:cs="Times New Roman"/>
        </w:rPr>
        <w:t>.</w:t>
      </w:r>
      <w:r w:rsidRPr="00D63B51">
        <w:rPr>
          <w:rStyle w:val="FootnoteReference"/>
          <w:rFonts w:cs="Times New Roman"/>
        </w:rPr>
        <w:footnoteReference w:id="91"/>
      </w:r>
      <w:r w:rsidRPr="00D63B51">
        <w:rPr>
          <w:rFonts w:cs="Times New Roman"/>
        </w:rPr>
        <w:t xml:space="preserve"> </w:t>
      </w:r>
    </w:p>
    <w:p w14:paraId="3DC549EC" w14:textId="422B8FA4" w:rsidR="00F62B2D" w:rsidRPr="00D63B51" w:rsidRDefault="00F62B2D" w:rsidP="00A32A42">
      <w:pPr>
        <w:pStyle w:val="NoSpacing"/>
        <w:jc w:val="both"/>
        <w:rPr>
          <w:rFonts w:cs="Times New Roman"/>
          <w:szCs w:val="24"/>
        </w:rPr>
      </w:pPr>
      <w:bookmarkStart w:id="20" w:name="_Hlk166076184"/>
      <w:r w:rsidRPr="00D63B51">
        <w:rPr>
          <w:b/>
          <w:bCs/>
          <w:u w:val="single"/>
        </w:rPr>
        <w:t xml:space="preserve">GUIDELINE </w:t>
      </w:r>
      <w:r w:rsidRPr="00D63B51">
        <w:rPr>
          <w:rFonts w:cs="Times New Roman"/>
          <w:b/>
          <w:bCs/>
          <w:szCs w:val="24"/>
          <w:u w:val="single"/>
        </w:rPr>
        <w:t>MDL-§ 8</w:t>
      </w:r>
      <w:r w:rsidRPr="00D63B51">
        <w:rPr>
          <w:rFonts w:cs="Times New Roman"/>
          <w:b/>
          <w:bCs/>
          <w:szCs w:val="24"/>
        </w:rPr>
        <w:t xml:space="preserve">: </w:t>
      </w:r>
      <w:r w:rsidR="00B45F9E" w:rsidRPr="00D63B51">
        <w:rPr>
          <w:rFonts w:cs="Times New Roman"/>
          <w:b/>
          <w:bCs/>
          <w:szCs w:val="24"/>
        </w:rPr>
        <w:t xml:space="preserve">  </w:t>
      </w:r>
      <w:r w:rsidR="00B45F9E" w:rsidRPr="00D63B51">
        <w:rPr>
          <w:rFonts w:cs="Times New Roman"/>
          <w:szCs w:val="24"/>
        </w:rPr>
        <w:t xml:space="preserve">Rule 16.1(b)(3) </w:t>
      </w:r>
      <w:r w:rsidR="00B45F9E" w:rsidRPr="00D63B51">
        <w:t xml:space="preserve">enumerates agenda topics that parties must address their </w:t>
      </w:r>
      <w:r w:rsidR="00B45F9E" w:rsidRPr="00D63B51">
        <w:rPr>
          <w:i/>
          <w:iCs/>
        </w:rPr>
        <w:t>initial</w:t>
      </w:r>
      <w:r w:rsidR="00B45F9E" w:rsidRPr="00D63B51">
        <w:t xml:space="preserve"> views on in the report at the initial-management</w:t>
      </w:r>
      <w:r w:rsidRPr="00D63B51">
        <w:t xml:space="preserve"> conference.  Permanent No. </w:t>
      </w:r>
      <w:r w:rsidRPr="00D63B51">
        <w:rPr>
          <w:rFonts w:cs="Times New Roman"/>
          <w:szCs w:val="24"/>
        </w:rPr>
        <w:t>MDL-§ 15.</w:t>
      </w:r>
    </w:p>
    <w:p w14:paraId="54B1B574" w14:textId="77777777" w:rsidR="00F62B2D" w:rsidRPr="00D63B51" w:rsidRDefault="00F62B2D" w:rsidP="00F62B2D">
      <w:pPr>
        <w:pStyle w:val="NoSpacing"/>
        <w:ind w:left="720" w:right="720"/>
        <w:jc w:val="both"/>
        <w:rPr>
          <w:rFonts w:cs="Times New Roman"/>
          <w:szCs w:val="24"/>
        </w:rPr>
      </w:pPr>
    </w:p>
    <w:bookmarkEnd w:id="20"/>
    <w:p w14:paraId="408B115C" w14:textId="77777777" w:rsidR="00F62B2D" w:rsidRPr="00D63B51" w:rsidRDefault="00F62B2D" w:rsidP="00F62B2D">
      <w:pPr>
        <w:spacing w:line="360" w:lineRule="auto"/>
        <w:ind w:firstLine="720"/>
        <w:jc w:val="both"/>
      </w:pPr>
      <w:r w:rsidRPr="00D63B51">
        <w:rPr>
          <w:rFonts w:cs="Times New Roman"/>
        </w:rPr>
        <w:t>The parties need only provide their preliminary, initial views on matters, including suggesting procedures, identified in Rule 16.1(b)(3) because court action “may be premature before leadership counsel is appointed, if that is to occur.”</w:t>
      </w:r>
      <w:r w:rsidRPr="00D63B51">
        <w:rPr>
          <w:rStyle w:val="FootnoteReference"/>
          <w:rFonts w:cs="Times New Roman"/>
        </w:rPr>
        <w:footnoteReference w:id="92"/>
      </w:r>
      <w:r w:rsidRPr="00D63B51">
        <w:rPr>
          <w:rFonts w:cs="Times New Roman"/>
        </w:rPr>
        <w:t xml:space="preserve"> Many case-management decisions are finalized only after the leadership counsel has been appointed, but many MDL courts have nevertheless sought input from counsel early in the litigation on such issues to begin planning </w:t>
      </w:r>
      <w:r w:rsidRPr="00D63B51">
        <w:rPr>
          <w:rFonts w:cs="Times New Roman"/>
        </w:rPr>
        <w:lastRenderedPageBreak/>
        <w:t xml:space="preserve">management. The rule also provides experienced MDL practitioners an opportunity to suggest alternatives to conventional practices and procedures early in the litigation, which can have a huge impact, for example, managing discovery and the filing of actions that have no evidentiary basis for their claims, </w:t>
      </w:r>
      <w:r w:rsidRPr="00D63B51">
        <w:rPr>
          <w:rFonts w:cs="Times New Roman"/>
          <w:i/>
          <w:iCs/>
        </w:rPr>
        <w:t>e.g</w:t>
      </w:r>
      <w:r w:rsidRPr="00D63B51">
        <w:rPr>
          <w:rFonts w:cs="Times New Roman"/>
        </w:rPr>
        <w:t>., Best Practice Permanent No. MDL-§ 6(c) addressing discovery and Best Practice MDL-§ 15(d) addressing resolution procedures.</w:t>
      </w:r>
    </w:p>
    <w:p w14:paraId="3225D7AE" w14:textId="77777777" w:rsidR="00F62B2D" w:rsidRPr="00D63B51" w:rsidRDefault="00F62B2D" w:rsidP="00F62B2D">
      <w:pPr>
        <w:pStyle w:val="NoSpacing"/>
        <w:ind w:left="720" w:right="720"/>
        <w:jc w:val="both"/>
      </w:pPr>
      <w:r w:rsidRPr="00D63B51">
        <w:rPr>
          <w:b/>
          <w:bCs/>
        </w:rPr>
        <w:t xml:space="preserve">Best Practice </w:t>
      </w:r>
      <w:r w:rsidRPr="00D63B51">
        <w:rPr>
          <w:rFonts w:cs="Times New Roman"/>
          <w:b/>
          <w:bCs/>
          <w:szCs w:val="24"/>
        </w:rPr>
        <w:t>MDL-§ 8</w:t>
      </w:r>
      <w:r w:rsidRPr="00D63B51">
        <w:rPr>
          <w:b/>
          <w:bCs/>
        </w:rPr>
        <w:t>(a):</w:t>
      </w:r>
      <w:r w:rsidRPr="00D63B51">
        <w:t xml:space="preserve"> </w:t>
      </w:r>
      <w:r w:rsidRPr="00D63B51">
        <w:rPr>
          <w:rFonts w:cs="Times New Roman"/>
          <w:szCs w:val="24"/>
        </w:rPr>
        <w:t xml:space="preserve">Unless the court orders otherwise, </w:t>
      </w:r>
      <w:r w:rsidRPr="00D63B51">
        <w:t xml:space="preserve">the parties must </w:t>
      </w:r>
      <w:r w:rsidRPr="00D63B51">
        <w:rPr>
          <w:rFonts w:cs="Times New Roman"/>
          <w:szCs w:val="24"/>
        </w:rPr>
        <w:t xml:space="preserve">address their initial views on and suggest </w:t>
      </w:r>
      <w:r w:rsidRPr="00D63B51">
        <w:t xml:space="preserve">procedures regarding whether consolidated pleadings should be prepared. Permanent No. </w:t>
      </w:r>
      <w:r w:rsidRPr="00D63B51">
        <w:rPr>
          <w:rFonts w:cs="Times New Roman"/>
          <w:szCs w:val="24"/>
        </w:rPr>
        <w:t>MDL-§ 15</w:t>
      </w:r>
      <w:r w:rsidRPr="00D63B51">
        <w:t>(a).</w:t>
      </w:r>
    </w:p>
    <w:p w14:paraId="70CFFF35" w14:textId="77777777" w:rsidR="00F62B2D" w:rsidRPr="00D63B51" w:rsidRDefault="00F62B2D" w:rsidP="00F62B2D">
      <w:pPr>
        <w:pStyle w:val="NoSpacing"/>
        <w:ind w:left="720" w:right="720"/>
        <w:jc w:val="both"/>
      </w:pPr>
    </w:p>
    <w:p w14:paraId="767E7BA7" w14:textId="77777777" w:rsidR="00F62B2D" w:rsidRPr="00D63B51" w:rsidRDefault="00F62B2D" w:rsidP="00F62B2D">
      <w:pPr>
        <w:spacing w:line="360" w:lineRule="auto"/>
        <w:ind w:firstLine="720"/>
        <w:jc w:val="both"/>
        <w:rPr>
          <w:rFonts w:cs="Times New Roman"/>
        </w:rPr>
      </w:pPr>
      <w:r w:rsidRPr="00D63B51">
        <w:rPr>
          <w:rFonts w:cs="Times New Roman"/>
        </w:rPr>
        <w:t xml:space="preserve">Under Rule 16.1(b)(3)(A), </w:t>
      </w:r>
      <w:bookmarkStart w:id="21" w:name="_Hlk143869516"/>
      <w:r w:rsidRPr="00D63B51">
        <w:rPr>
          <w:rFonts w:cs="Times New Roman"/>
        </w:rPr>
        <w:t xml:space="preserve">the parties must address in their report to the court </w:t>
      </w:r>
      <w:bookmarkEnd w:id="21"/>
      <w:r w:rsidRPr="00D63B51">
        <w:rPr>
          <w:rFonts w:cs="Times New Roman"/>
        </w:rPr>
        <w:t>whether consolidated pleadings should be prepared to account for multiple actions included in the MDL proceedings. Courts have directed the parties to agree on and prepare a master long-form complaint. Individual actions are filed using a master short-form complaint, which incorporates by reference all the allegations contained in the long-form complaint as ordered by the court.</w:t>
      </w:r>
      <w:r w:rsidRPr="00D63B51">
        <w:rPr>
          <w:rStyle w:val="FootnoteReference"/>
          <w:rFonts w:cs="Times New Roman"/>
        </w:rPr>
        <w:footnoteReference w:id="93"/>
      </w:r>
      <w:r w:rsidRPr="00D63B51">
        <w:rPr>
          <w:rFonts w:cs="Times New Roman"/>
        </w:rPr>
        <w:t xml:space="preserve"> In addressing this topic, the parties should provide the court with information about the purpose and effect of the master complaint.</w:t>
      </w:r>
      <w:r w:rsidRPr="00D63B51">
        <w:rPr>
          <w:rStyle w:val="FootnoteReference"/>
          <w:rFonts w:cs="Times New Roman"/>
        </w:rPr>
        <w:footnoteReference w:id="94"/>
      </w:r>
    </w:p>
    <w:p w14:paraId="6D5AA8FB" w14:textId="77777777" w:rsidR="00F62B2D" w:rsidRPr="00D63B51" w:rsidRDefault="00F62B2D" w:rsidP="00F62B2D">
      <w:pPr>
        <w:spacing w:line="360" w:lineRule="auto"/>
        <w:ind w:firstLine="720"/>
        <w:jc w:val="both"/>
        <w:rPr>
          <w:rFonts w:cs="Times New Roman"/>
        </w:rPr>
      </w:pPr>
      <w:r w:rsidRPr="00D63B51">
        <w:rPr>
          <w:rFonts w:cs="Times New Roman"/>
        </w:rPr>
        <w:t xml:space="preserve">Transferee courts typically establish a master-docket-case file designating a specific name of the MDL. Pleadings applicable to all actions are identified as such, while pleadings applicable to fewer than all cases must also include the docket number for the specific case. The courts usually require the parties to provide and update corporate disclosure statements so that the judge can determine any potential conflict issues. </w:t>
      </w:r>
    </w:p>
    <w:p w14:paraId="4A119401" w14:textId="77777777" w:rsidR="00F62B2D" w:rsidRPr="00D63B51" w:rsidRDefault="00F62B2D" w:rsidP="00F62B2D">
      <w:pPr>
        <w:spacing w:line="360" w:lineRule="auto"/>
        <w:ind w:firstLine="720"/>
        <w:jc w:val="both"/>
        <w:rPr>
          <w:rFonts w:cs="Times New Roman"/>
        </w:rPr>
      </w:pPr>
      <w:r w:rsidRPr="00D63B51">
        <w:rPr>
          <w:rFonts w:cs="Times New Roman"/>
          <w:i/>
          <w:iCs/>
        </w:rPr>
        <w:t>Lexicon</w:t>
      </w:r>
      <w:r w:rsidRPr="00D63B51">
        <w:rPr>
          <w:rFonts w:cs="Times New Roman"/>
        </w:rPr>
        <w:t xml:space="preserve"> waivers are necessary for the transferee judge to handle bellwether trials of actions directly filed from other districts.  An MDL that consists of personal-injury claims in individual actions as well as class actions involving contract claims present challenging case-management </w:t>
      </w:r>
      <w:r w:rsidRPr="00D63B51">
        <w:rPr>
          <w:rFonts w:cs="Times New Roman"/>
        </w:rPr>
        <w:lastRenderedPageBreak/>
        <w:t xml:space="preserve">issues, including devising different approaches to discovery to resolve class-certification issues and appointing lawyers to class-leadership positions. </w:t>
      </w:r>
    </w:p>
    <w:p w14:paraId="1F67B6B8" w14:textId="77777777" w:rsidR="00F62B2D" w:rsidRPr="00D63B51" w:rsidRDefault="00F62B2D" w:rsidP="00F62B2D">
      <w:pPr>
        <w:spacing w:line="360" w:lineRule="auto"/>
        <w:ind w:firstLine="720"/>
        <w:jc w:val="both"/>
        <w:rPr>
          <w:rFonts w:cs="Times New Roman"/>
        </w:rPr>
      </w:pPr>
      <w:r w:rsidRPr="00D63B51">
        <w:rPr>
          <w:rFonts w:cs="Times New Roman"/>
        </w:rPr>
        <w:t xml:space="preserve">Cases proceeding under Rule 23 included in an MDL may require a consolidated complaint that supersedes individual class-action complaints within the class or classes defined in the consolidated complaint. Thus, the consolidated complaint in a class action serves the critical purpose of aggregating all the class’s claims into a single pleading that has legal and preclusive effect for the class through judgment.  The parties should alert the judge to potential problems managing them.  </w:t>
      </w:r>
    </w:p>
    <w:p w14:paraId="233C481D" w14:textId="273F909C" w:rsidR="00C126B3" w:rsidRPr="00D63B51" w:rsidRDefault="00C126B3" w:rsidP="00C126B3">
      <w:pPr>
        <w:pStyle w:val="NoSpacing"/>
        <w:ind w:left="720" w:right="720"/>
        <w:jc w:val="both"/>
      </w:pPr>
      <w:bookmarkStart w:id="22" w:name="_Hlk143951368"/>
      <w:r w:rsidRPr="00D63B51">
        <w:rPr>
          <w:rFonts w:cs="Times New Roman"/>
          <w:b/>
          <w:bCs/>
          <w:szCs w:val="24"/>
        </w:rPr>
        <w:t xml:space="preserve">Best Practice MDL-§ </w:t>
      </w:r>
      <w:r w:rsidR="00232E38" w:rsidRPr="00D63B51">
        <w:rPr>
          <w:rFonts w:cs="Times New Roman"/>
          <w:b/>
          <w:bCs/>
          <w:szCs w:val="24"/>
        </w:rPr>
        <w:t>8</w:t>
      </w:r>
      <w:r w:rsidRPr="00D63B51">
        <w:rPr>
          <w:rFonts w:cs="Times New Roman"/>
          <w:b/>
          <w:bCs/>
          <w:szCs w:val="24"/>
        </w:rPr>
        <w:t>(</w:t>
      </w:r>
      <w:r w:rsidR="00232E38" w:rsidRPr="00D63B51">
        <w:rPr>
          <w:rFonts w:cs="Times New Roman"/>
          <w:b/>
          <w:bCs/>
          <w:szCs w:val="24"/>
        </w:rPr>
        <w:t>a</w:t>
      </w:r>
      <w:r w:rsidRPr="00D63B51">
        <w:rPr>
          <w:rFonts w:cs="Times New Roman"/>
          <w:b/>
          <w:bCs/>
          <w:szCs w:val="24"/>
        </w:rPr>
        <w:t>)</w:t>
      </w:r>
      <w:r w:rsidR="00232E38" w:rsidRPr="00D63B51">
        <w:rPr>
          <w:rFonts w:cs="Times New Roman"/>
          <w:b/>
          <w:bCs/>
          <w:szCs w:val="24"/>
        </w:rPr>
        <w:t>(i)</w:t>
      </w:r>
      <w:r w:rsidRPr="00D63B51">
        <w:rPr>
          <w:rFonts w:cs="Times New Roman"/>
          <w:b/>
          <w:bCs/>
          <w:szCs w:val="24"/>
        </w:rPr>
        <w:t>:</w:t>
      </w:r>
      <w:r w:rsidRPr="00D63B51">
        <w:rPr>
          <w:rFonts w:cs="Times New Roman"/>
          <w:szCs w:val="24"/>
        </w:rPr>
        <w:t xml:space="preserve"> </w:t>
      </w:r>
      <w:bookmarkEnd w:id="22"/>
      <w:r w:rsidRPr="00D63B51">
        <w:t xml:space="preserve">The court should direct the parties to submit a “position statement” that states their initial understanding of the facts involved in the litigation and the critical factual and legal issues separately from the initial-management conference report. Permanent No. </w:t>
      </w:r>
      <w:r w:rsidRPr="00D63B51">
        <w:rPr>
          <w:rFonts w:cs="Times New Roman"/>
          <w:szCs w:val="24"/>
        </w:rPr>
        <w:t>MDL-§ 15</w:t>
      </w:r>
      <w:r w:rsidRPr="00D63B51">
        <w:t>(f).</w:t>
      </w:r>
    </w:p>
    <w:p w14:paraId="5AA75401" w14:textId="77777777" w:rsidR="00C126B3" w:rsidRPr="00D63B51" w:rsidRDefault="00C126B3" w:rsidP="00C126B3">
      <w:pPr>
        <w:pStyle w:val="NoSpacing"/>
        <w:ind w:right="720"/>
        <w:jc w:val="both"/>
      </w:pPr>
    </w:p>
    <w:p w14:paraId="604E918A" w14:textId="4632306C" w:rsidR="00C126B3" w:rsidRPr="00D63B51" w:rsidRDefault="00C126B3" w:rsidP="00C126B3">
      <w:pPr>
        <w:spacing w:line="360" w:lineRule="auto"/>
        <w:ind w:firstLine="720"/>
        <w:jc w:val="both"/>
        <w:rPr>
          <w:rFonts w:cs="Times New Roman"/>
        </w:rPr>
      </w:pPr>
      <w:r w:rsidRPr="00D63B51">
        <w:rPr>
          <w:rFonts w:cs="Times New Roman"/>
        </w:rPr>
        <w:t>Although Rule 16.1(b)(3)(G) requires the parties to address “the principal factual and legal issues likely to be presented in the MDL proceedings” in their report, the court should direct the parties to provide the information in a separate submission, which is not part of the public record. The usefulness of the position statements would be severely undermined if the statements could be used against a party later in the proceeding.</w:t>
      </w:r>
      <w:r w:rsidRPr="00D63B51">
        <w:rPr>
          <w:rStyle w:val="FootnoteReference"/>
          <w:rFonts w:cs="Times New Roman"/>
        </w:rPr>
        <w:footnoteReference w:id="95"/>
      </w:r>
      <w:r w:rsidRPr="00D63B51">
        <w:rPr>
          <w:rFonts w:cs="Times New Roman"/>
        </w:rPr>
        <w:t xml:space="preserve">  It would effectively eliminate frank discussions and create unwarranted confusion and wasted efforts on producing watered-down position statements that have little use.  Consistent with long-standing practices of transferee judges in mass-tort MDLs, the court should make clear that these position statements will not be filed and entered in the docket, will not be binding, will not waive claims or defenses, and may not be offered in evidence against a party in later proceedings.</w:t>
      </w:r>
      <w:r w:rsidRPr="00D63B51">
        <w:rPr>
          <w:rStyle w:val="FootnoteReference"/>
          <w:rFonts w:cs="Times New Roman"/>
        </w:rPr>
        <w:footnoteReference w:id="96"/>
      </w:r>
    </w:p>
    <w:p w14:paraId="310B8D66" w14:textId="4132398B" w:rsidR="00C126B3" w:rsidRPr="00D63B51" w:rsidRDefault="00C126B3" w:rsidP="00C126B3">
      <w:pPr>
        <w:spacing w:line="360" w:lineRule="auto"/>
        <w:ind w:firstLine="720"/>
        <w:jc w:val="both"/>
        <w:rPr>
          <w:rFonts w:cs="Times New Roman"/>
        </w:rPr>
      </w:pPr>
      <w:r w:rsidRPr="00D63B51">
        <w:rPr>
          <w:rFonts w:cs="Times New Roman"/>
        </w:rPr>
        <w:t xml:space="preserve">Most mass-tort MDL courts have required the parties to submit a position statement for each side of not more than three pages indicating their preliminary understanding of the facts </w:t>
      </w:r>
      <w:r w:rsidRPr="00D63B51">
        <w:rPr>
          <w:rFonts w:cs="Times New Roman"/>
        </w:rPr>
        <w:lastRenderedPageBreak/>
        <w:t>involved in the litigation and the critical factual and legal issues.</w:t>
      </w:r>
      <w:r w:rsidRPr="00D63B51">
        <w:rPr>
          <w:rStyle w:val="FootnoteReference"/>
          <w:rFonts w:cs="Times New Roman"/>
        </w:rPr>
        <w:footnoteReference w:id="97"/>
      </w:r>
      <w:r w:rsidRPr="00D63B51">
        <w:rPr>
          <w:rFonts w:cs="Times New Roman"/>
        </w:rPr>
        <w:t xml:space="preserve">  The parties’ statements list all pending motions, as well as all related cases pending in state or federal court, together with their  current status, including any discovery taken to date, to the extent known.</w:t>
      </w:r>
      <w:r w:rsidRPr="00D63B51">
        <w:rPr>
          <w:rStyle w:val="FootnoteReference"/>
          <w:rFonts w:cs="Times New Roman"/>
        </w:rPr>
        <w:footnoteReference w:id="98"/>
      </w:r>
      <w:r w:rsidRPr="00D63B51">
        <w:rPr>
          <w:rFonts w:cs="Times New Roman"/>
        </w:rPr>
        <w:t xml:space="preserve"> The parties should be limited to one such submission for all plaintiffs and one submission for all defendants.</w:t>
      </w:r>
    </w:p>
    <w:p w14:paraId="68D967D7" w14:textId="77777777" w:rsidR="00F62B2D" w:rsidRPr="00D63B51" w:rsidRDefault="00F62B2D" w:rsidP="00F62B2D">
      <w:pPr>
        <w:pStyle w:val="NoSpacing"/>
        <w:ind w:left="720" w:right="720"/>
        <w:jc w:val="both"/>
      </w:pPr>
      <w:r w:rsidRPr="00D63B51">
        <w:rPr>
          <w:b/>
          <w:bCs/>
        </w:rPr>
        <w:t xml:space="preserve">Best Practice </w:t>
      </w:r>
      <w:r w:rsidRPr="00D63B51">
        <w:rPr>
          <w:rFonts w:cs="Times New Roman"/>
          <w:b/>
          <w:bCs/>
          <w:szCs w:val="24"/>
        </w:rPr>
        <w:t>MDL-§ 8</w:t>
      </w:r>
      <w:r w:rsidRPr="00D63B51">
        <w:rPr>
          <w:b/>
          <w:bCs/>
        </w:rPr>
        <w:t>(b):</w:t>
      </w:r>
      <w:r w:rsidRPr="00D63B51">
        <w:t xml:space="preserve"> The court and parties should develop a process as soon as practically possible that promptly and efficiently confirms the evidentiary basis of actions in a mass-tort MDL either at filing or, if specifically identified, after reasonable investigation or discovery.  Permanent No. </w:t>
      </w:r>
      <w:r w:rsidRPr="00D63B51">
        <w:rPr>
          <w:rFonts w:cs="Times New Roman"/>
          <w:szCs w:val="24"/>
        </w:rPr>
        <w:t>MDL-§ 15</w:t>
      </w:r>
      <w:r w:rsidRPr="00D63B51">
        <w:t>(b).</w:t>
      </w:r>
    </w:p>
    <w:p w14:paraId="77718961" w14:textId="77777777" w:rsidR="00F62B2D" w:rsidRPr="00D63B51" w:rsidRDefault="00F62B2D" w:rsidP="00F62B2D">
      <w:pPr>
        <w:pStyle w:val="NoSpacing"/>
        <w:ind w:left="720" w:right="720"/>
        <w:jc w:val="both"/>
      </w:pPr>
    </w:p>
    <w:p w14:paraId="59B04C1E" w14:textId="77777777" w:rsidR="00F62B2D" w:rsidRPr="00D63B51" w:rsidRDefault="00F62B2D" w:rsidP="00F62B2D">
      <w:pPr>
        <w:spacing w:line="360" w:lineRule="auto"/>
        <w:ind w:firstLine="720"/>
        <w:jc w:val="both"/>
        <w:rPr>
          <w:rFonts w:cs="Times New Roman"/>
        </w:rPr>
      </w:pPr>
      <w:r w:rsidRPr="00D63B51">
        <w:rPr>
          <w:rFonts w:cs="Times New Roman"/>
        </w:rPr>
        <w:t>Under Rule 16.1(b)(3)(B), unless the court orders otherwise, the parties must address in a written report their initial views on how and when the parties will exchange information about “factual bases for their claims and defenses.”  The parties and court need such information not only for case management relevant to selecting bellwether cases for trials, conducting settlement negotiations, and assessing the number and location of the plaintiffs involved, the levels of injury, the types of exposure, and other factors, but also to evaluate whether the claims have any evidentiary basis.</w:t>
      </w:r>
      <w:r w:rsidRPr="00D63B51">
        <w:rPr>
          <w:rStyle w:val="FootnoteReference"/>
          <w:rFonts w:cs="Times New Roman"/>
        </w:rPr>
        <w:footnoteReference w:id="99"/>
      </w:r>
      <w:r w:rsidRPr="00D63B51">
        <w:rPr>
          <w:rFonts w:cs="Times New Roman"/>
        </w:rPr>
        <w:t xml:space="preserve">  </w:t>
      </w:r>
    </w:p>
    <w:p w14:paraId="5B64FABB" w14:textId="77777777" w:rsidR="00F62B2D" w:rsidRPr="00D63B51" w:rsidRDefault="00F62B2D" w:rsidP="00F62B2D">
      <w:pPr>
        <w:spacing w:line="360" w:lineRule="auto"/>
        <w:ind w:firstLine="720"/>
        <w:jc w:val="both"/>
        <w:rPr>
          <w:rFonts w:cs="Times New Roman"/>
        </w:rPr>
      </w:pPr>
      <w:r w:rsidRPr="00D63B51">
        <w:rPr>
          <w:rFonts w:cs="Times New Roman"/>
        </w:rPr>
        <w:t xml:space="preserve">The court and plaintiff and defense lawyers share a joint responsibility to develop procedures as soon as practically possible that quickly and efficiently confirm the evidentiary basis of the key factual bases for claims asserted in actions filed in a mass-tort MDL and eliminate actions that have no evidentiary basis supporting them before they complicate resolutions of other actions, unnecessarily prolonging the life of the MDL and adversely affecting all </w:t>
      </w:r>
      <w:r w:rsidRPr="00D63B51">
        <w:rPr>
          <w:rFonts w:cs="Times New Roman"/>
        </w:rPr>
        <w:lastRenderedPageBreak/>
        <w:t>involved.</w:t>
      </w:r>
      <w:r w:rsidRPr="00D63B51">
        <w:rPr>
          <w:rStyle w:val="FootnoteReference"/>
          <w:rFonts w:cs="Times New Roman"/>
        </w:rPr>
        <w:footnoteReference w:id="100"/>
      </w:r>
      <w:r w:rsidRPr="00D63B51">
        <w:rPr>
          <w:rFonts w:cs="Times New Roman"/>
        </w:rPr>
        <w:t xml:space="preserve">  Electronic-information systems can help facilitate the process with the parties’ input defining the criteria of minimum evidence supporting claims and deadlines to transmit the evidence. </w:t>
      </w:r>
    </w:p>
    <w:p w14:paraId="4BF3BDFC" w14:textId="77777777" w:rsidR="00F62B2D" w:rsidRPr="00D63B51" w:rsidRDefault="00F62B2D" w:rsidP="00F62B2D">
      <w:pPr>
        <w:spacing w:line="360" w:lineRule="auto"/>
        <w:ind w:firstLine="720"/>
        <w:jc w:val="both"/>
        <w:rPr>
          <w:rFonts w:cs="Times New Roman"/>
        </w:rPr>
      </w:pPr>
      <w:r w:rsidRPr="00D63B51">
        <w:rPr>
          <w:rFonts w:cs="Times New Roman"/>
        </w:rPr>
        <w:t>The parties’ written report required under Rule 16.1(b)(3)(B) at the initial-management conference should propose a roadmap on how to promptly and efficiently confirm the evidentiary bases for their claims and defenses.</w:t>
      </w:r>
      <w:r w:rsidRPr="00D63B51">
        <w:rPr>
          <w:rStyle w:val="FootnoteReference"/>
          <w:rFonts w:cs="Times New Roman"/>
        </w:rPr>
        <w:footnoteReference w:id="101"/>
      </w:r>
      <w:r w:rsidRPr="00D63B51">
        <w:rPr>
          <w:rFonts w:cs="Times New Roman"/>
        </w:rPr>
        <w:t xml:space="preserve">  The details of the procedures can be developed after the court has appointed leadership counsel and are described in the following sections. </w:t>
      </w:r>
    </w:p>
    <w:p w14:paraId="60CC5585" w14:textId="0274F647" w:rsidR="00F62B2D" w:rsidRPr="00D63B51" w:rsidRDefault="009C473E" w:rsidP="00F62B2D">
      <w:pPr>
        <w:spacing w:line="360" w:lineRule="auto"/>
        <w:ind w:firstLine="720"/>
        <w:jc w:val="both"/>
        <w:rPr>
          <w:rFonts w:cs="Times New Roman"/>
        </w:rPr>
      </w:pPr>
      <w:r w:rsidRPr="00D63B51">
        <w:rPr>
          <w:rFonts w:cs="Times New Roman"/>
        </w:rPr>
        <w:t>FED. R. CIV. P.</w:t>
      </w:r>
      <w:r w:rsidR="00F62B2D" w:rsidRPr="00D63B51">
        <w:rPr>
          <w:rFonts w:cs="Times New Roman"/>
        </w:rPr>
        <w:t xml:space="preserve"> 11(b)(3) allows a plaintiff to file an action on a belief formed after reasonable inquiry even if the factual contentions may not have evidentiary support, but only “if specifically so identified, will likely have evidentiary support after a reasonable opportunity for further investigation or discovery.”</w:t>
      </w:r>
      <w:r w:rsidR="00F62B2D" w:rsidRPr="00D63B51">
        <w:rPr>
          <w:rStyle w:val="FootnoteReference"/>
          <w:rFonts w:cs="Times New Roman"/>
        </w:rPr>
        <w:t xml:space="preserve"> </w:t>
      </w:r>
      <w:r w:rsidR="00F62B2D" w:rsidRPr="00D63B51">
        <w:rPr>
          <w:rStyle w:val="FootnoteReference"/>
          <w:rFonts w:cs="Times New Roman"/>
        </w:rPr>
        <w:footnoteReference w:id="102"/>
      </w:r>
      <w:r w:rsidR="00F62B2D" w:rsidRPr="00D63B51">
        <w:rPr>
          <w:rFonts w:cs="Times New Roman"/>
        </w:rPr>
        <w:t xml:space="preserve">  The Committee Notes to </w:t>
      </w:r>
      <w:r w:rsidRPr="00D63B51">
        <w:rPr>
          <w:rFonts w:cs="Times New Roman"/>
        </w:rPr>
        <w:t>FED. R. CIV. P.</w:t>
      </w:r>
      <w:r w:rsidR="00F62B2D" w:rsidRPr="00D63B51">
        <w:rPr>
          <w:rFonts w:cs="Times New Roman"/>
        </w:rPr>
        <w:t xml:space="preserve"> 11 plainly explain what constitutes a “reasonable prefiling inquiry” sufficient to file an action, permit filing on “information and belief” that does not require evidence to support claims or defenses at filing, and entitle the plaintiff and defendant to conduct “reasonable post-filing investigation or discovery” to gather evidence, which they expect to find that supports their claims or defenses.</w:t>
      </w:r>
      <w:r w:rsidR="00F62B2D" w:rsidRPr="00D63B51">
        <w:rPr>
          <w:rStyle w:val="FootnoteReference"/>
          <w:rFonts w:cs="Times New Roman"/>
        </w:rPr>
        <w:footnoteReference w:id="103"/>
      </w:r>
      <w:r w:rsidR="00F62B2D" w:rsidRPr="00D63B51">
        <w:rPr>
          <w:rFonts w:cs="Times New Roman"/>
        </w:rPr>
        <w:t xml:space="preserve">  </w:t>
      </w:r>
    </w:p>
    <w:p w14:paraId="19F9BB84" w14:textId="77777777" w:rsidR="00F62B2D" w:rsidRPr="00D63B51" w:rsidRDefault="00F62B2D" w:rsidP="00F62B2D">
      <w:pPr>
        <w:spacing w:line="360" w:lineRule="auto"/>
        <w:ind w:firstLine="720"/>
        <w:jc w:val="both"/>
        <w:rPr>
          <w:rFonts w:cs="Times New Roman"/>
        </w:rPr>
      </w:pPr>
      <w:r w:rsidRPr="00D63B51">
        <w:rPr>
          <w:rFonts w:cs="Times New Roman"/>
        </w:rPr>
        <w:t>A mass-tort MDL can consist of thousands and tens of thousands of actions.  The plaintiffs’ expectations of finding evidence to support their claims may not be realized for a significant number of actions after further investigation or discovery.  Even a small percentage that have no evidentiary basis supporting their claims imposes substantial burdens on the system if not addressed promptly.</w:t>
      </w:r>
      <w:r w:rsidRPr="00D63B51">
        <w:rPr>
          <w:rStyle w:val="FootnoteReference"/>
          <w:rFonts w:cs="Times New Roman"/>
        </w:rPr>
        <w:footnoteReference w:id="104"/>
      </w:r>
      <w:r w:rsidRPr="00D63B51">
        <w:rPr>
          <w:rFonts w:cs="Times New Roman"/>
        </w:rPr>
        <w:t xml:space="preserve">  </w:t>
      </w:r>
    </w:p>
    <w:p w14:paraId="1C9B7585" w14:textId="77777777" w:rsidR="00F62B2D" w:rsidRPr="00D63B51" w:rsidRDefault="00F62B2D" w:rsidP="00F62B2D">
      <w:pPr>
        <w:spacing w:line="360" w:lineRule="auto"/>
        <w:ind w:firstLine="720"/>
        <w:jc w:val="both"/>
        <w:rPr>
          <w:rFonts w:cs="Times New Roman"/>
        </w:rPr>
      </w:pPr>
      <w:r w:rsidRPr="00D63B51">
        <w:rPr>
          <w:rFonts w:cs="Times New Roman"/>
        </w:rPr>
        <w:lastRenderedPageBreak/>
        <w:t>The tolerance for uncertainty in the evidentiary basis for the action at the time of filing “does not release litigants from the obligation to conduct an appropriate investigation into the facts that is reasonable under the circumstances; it is not a license to … make claims or present defenses without any factual basis or justification.”</w:t>
      </w:r>
      <w:r w:rsidRPr="00D63B51">
        <w:rPr>
          <w:rStyle w:val="FootnoteReference"/>
          <w:rFonts w:cs="Times New Roman"/>
        </w:rPr>
        <w:footnoteReference w:id="105"/>
      </w:r>
      <w:r w:rsidRPr="00D63B51">
        <w:rPr>
          <w:rFonts w:cs="Times New Roman"/>
        </w:rPr>
        <w:t xml:space="preserve">  Although the prefiling-inquiry standard is more stringent than the earlier Rule 11 “good-faith formula,”</w:t>
      </w:r>
      <w:r w:rsidRPr="00D63B51">
        <w:rPr>
          <w:rStyle w:val="FootnoteReference"/>
          <w:rFonts w:cs="Times New Roman"/>
        </w:rPr>
        <w:footnoteReference w:id="106"/>
      </w:r>
      <w:r w:rsidRPr="00D63B51">
        <w:rPr>
          <w:rFonts w:cs="Times New Roman"/>
        </w:rPr>
        <w:t xml:space="preserve">  satisfying the requirement is nonetheless modest. </w:t>
      </w:r>
    </w:p>
    <w:p w14:paraId="12F83C7F" w14:textId="77777777" w:rsidR="00F62B2D" w:rsidRPr="00D63B51" w:rsidRDefault="00F62B2D" w:rsidP="00F62B2D">
      <w:pPr>
        <w:spacing w:line="360" w:lineRule="auto"/>
        <w:ind w:firstLine="720"/>
        <w:jc w:val="both"/>
        <w:rPr>
          <w:rFonts w:cs="Times New Roman"/>
        </w:rPr>
      </w:pPr>
      <w:r w:rsidRPr="00D63B51">
        <w:rPr>
          <w:rFonts w:cs="Times New Roman"/>
        </w:rPr>
        <w:t>What constitutes “a reasonable inquiry may depend on such factors as how much time for investigation was available to the signer; whether he had to rely on a client for information as to the facts underlying the pleading, motion, or other paper; whether the pleading, motion, or other paper was based on a plausible view of the law; or whether he depended on forwarding counsel or another member of the bar.”</w:t>
      </w:r>
      <w:r w:rsidRPr="00D63B51">
        <w:rPr>
          <w:rStyle w:val="FootnoteReference"/>
          <w:rFonts w:cs="Times New Roman"/>
        </w:rPr>
        <w:footnoteReference w:id="107"/>
      </w:r>
      <w:r w:rsidRPr="00D63B51">
        <w:rPr>
          <w:rFonts w:cs="Times New Roman"/>
        </w:rPr>
        <w:t xml:space="preserve">  Many of these factors are typically present in every mass-tort MDL when the respective law firms are dealing with hundreds and thousands of individual clients.</w:t>
      </w:r>
      <w:r w:rsidRPr="00D63B51">
        <w:rPr>
          <w:rStyle w:val="FootnoteReference"/>
          <w:rFonts w:cs="Times New Roman"/>
        </w:rPr>
        <w:footnoteReference w:id="108"/>
      </w:r>
    </w:p>
    <w:p w14:paraId="58358B0F" w14:textId="3A3CB1C2" w:rsidR="00F62B2D" w:rsidRPr="00D63B51" w:rsidRDefault="009C473E" w:rsidP="00F62B2D">
      <w:pPr>
        <w:spacing w:line="360" w:lineRule="auto"/>
        <w:ind w:firstLine="720"/>
        <w:jc w:val="both"/>
        <w:rPr>
          <w:rFonts w:cs="Times New Roman"/>
        </w:rPr>
      </w:pPr>
      <w:r w:rsidRPr="00D63B51">
        <w:rPr>
          <w:rFonts w:cs="Times New Roman"/>
        </w:rPr>
        <w:t>FED. R. CIV. P.</w:t>
      </w:r>
      <w:r w:rsidR="00F62B2D" w:rsidRPr="00D63B51">
        <w:rPr>
          <w:rFonts w:cs="Times New Roman"/>
        </w:rPr>
        <w:t xml:space="preserve"> 11 “does not require a formal amendment to pleadings for which evidentiary support is not obtained after further investigation or discovery, but rather calls upon a litigant not thereafter to advocate such claims or defenses.”</w:t>
      </w:r>
      <w:r w:rsidR="00F62B2D" w:rsidRPr="00D63B51">
        <w:rPr>
          <w:rStyle w:val="FootnoteReference"/>
          <w:rFonts w:cs="Times New Roman"/>
        </w:rPr>
        <w:footnoteReference w:id="109"/>
      </w:r>
      <w:r w:rsidR="00F62B2D" w:rsidRPr="00D63B51">
        <w:rPr>
          <w:rFonts w:cs="Times New Roman"/>
        </w:rPr>
        <w:t xml:space="preserve"> But a party maintaining a complaint after learning that it has no evidentiary support is “advocating” the claim in violation of the rule.</w:t>
      </w:r>
    </w:p>
    <w:p w14:paraId="19249DC3" w14:textId="77777777" w:rsidR="00F62B2D" w:rsidRPr="00D63B51" w:rsidRDefault="00F62B2D" w:rsidP="00F62B2D">
      <w:pPr>
        <w:ind w:left="720" w:right="720"/>
        <w:jc w:val="both"/>
        <w:rPr>
          <w:rFonts w:cs="Times New Roman"/>
        </w:rPr>
      </w:pPr>
      <w:r w:rsidRPr="00D63B51">
        <w:rPr>
          <w:b/>
          <w:bCs/>
        </w:rPr>
        <w:t xml:space="preserve">Best Practice </w:t>
      </w:r>
      <w:r w:rsidRPr="00D63B51">
        <w:rPr>
          <w:rFonts w:cs="Times New Roman"/>
          <w:b/>
          <w:bCs/>
        </w:rPr>
        <w:t>MDL-§ 8(b)(i):</w:t>
      </w:r>
      <w:r w:rsidRPr="00D63B51">
        <w:rPr>
          <w:rFonts w:cs="Times New Roman"/>
          <w:b/>
        </w:rPr>
        <w:t xml:space="preserve"> </w:t>
      </w:r>
      <w:r w:rsidRPr="00D63B51">
        <w:rPr>
          <w:rFonts w:cs="Times New Roman"/>
        </w:rPr>
        <w:t>The parties and the court need information about the individual cases centralized in a mass-tort MDL as soon as practicable to assess the number and location of the plaintiffs involved, the levels of injury, the types of exposure, and other factors.  Permanent No. MDL-</w:t>
      </w:r>
      <w:r w:rsidRPr="00D63B51">
        <w:rPr>
          <w:rFonts w:cs="Times New Roman"/>
          <w:b/>
          <w:color w:val="auto"/>
        </w:rPr>
        <w:t xml:space="preserve">§ </w:t>
      </w:r>
      <w:r w:rsidRPr="00D63B51">
        <w:rPr>
          <w:rFonts w:cs="Times New Roman"/>
        </w:rPr>
        <w:t xml:space="preserve">1. </w:t>
      </w:r>
    </w:p>
    <w:p w14:paraId="2CC4F71E" w14:textId="77777777" w:rsidR="00F62B2D" w:rsidRPr="00D63B51" w:rsidRDefault="00F62B2D" w:rsidP="00F62B2D">
      <w:pPr>
        <w:jc w:val="both"/>
        <w:rPr>
          <w:rFonts w:cs="Times New Roman"/>
          <w:b/>
          <w:u w:val="single"/>
        </w:rPr>
      </w:pPr>
    </w:p>
    <w:p w14:paraId="1B48F2FF" w14:textId="77777777" w:rsidR="00F62B2D" w:rsidRPr="00D63B51" w:rsidRDefault="00F62B2D" w:rsidP="00F62B2D">
      <w:pPr>
        <w:spacing w:line="360" w:lineRule="auto"/>
        <w:jc w:val="both"/>
        <w:rPr>
          <w:rFonts w:cs="Times New Roman"/>
        </w:rPr>
      </w:pPr>
      <w:r w:rsidRPr="00D63B51">
        <w:rPr>
          <w:rFonts w:cs="Times New Roman"/>
        </w:rPr>
        <w:tab/>
        <w:t xml:space="preserve">The Federal Rules of Civil Procedure provide several procedural vehicles to discover information relevant in a case, including interrogatories and motions to produce.  But a mass-tort MDL presents unique challenges concerning case and claim management, claimant demographics, </w:t>
      </w:r>
      <w:r w:rsidRPr="00D63B51">
        <w:rPr>
          <w:rFonts w:cs="Times New Roman"/>
        </w:rPr>
        <w:lastRenderedPageBreak/>
        <w:t xml:space="preserve">anticipated claims, and alleged injuries, which require expedited attention to ascertain the universe of well-founded claims.  </w:t>
      </w:r>
    </w:p>
    <w:p w14:paraId="589EE3D9" w14:textId="77777777" w:rsidR="00F62B2D" w:rsidRPr="00D63B51" w:rsidRDefault="00F62B2D" w:rsidP="00F62B2D">
      <w:pPr>
        <w:spacing w:line="360" w:lineRule="auto"/>
        <w:ind w:firstLine="720"/>
        <w:jc w:val="both"/>
        <w:rPr>
          <w:rFonts w:cs="Times New Roman"/>
        </w:rPr>
      </w:pPr>
      <w:r w:rsidRPr="00D63B51">
        <w:rPr>
          <w:rFonts w:cs="Times New Roman"/>
        </w:rPr>
        <w:t xml:space="preserve">The information needed to prosecute an MDL efficiently and fairly can be viewed on a continuum.  Basic information about the universe of potential claimants and the lawyers representing them as well as information about the individual claimant’s exposure/use and injury is most helpful if available as soon as practicable.  Information about the plaintiff’s location, plaintiff’s health care providers, witnesses, where the injury occurred, and the extent of the exposure and injury can be gathered in later stages of the proceedings.   </w:t>
      </w:r>
    </w:p>
    <w:p w14:paraId="6297D30C" w14:textId="77777777" w:rsidR="00F62B2D" w:rsidRPr="00D63B51" w:rsidRDefault="00F62B2D" w:rsidP="00F62B2D">
      <w:pPr>
        <w:spacing w:line="360" w:lineRule="auto"/>
        <w:ind w:firstLine="720"/>
        <w:jc w:val="both"/>
        <w:rPr>
          <w:rFonts w:cs="Times New Roman"/>
        </w:rPr>
      </w:pPr>
      <w:r w:rsidRPr="00D63B51">
        <w:rPr>
          <w:rFonts w:cs="Times New Roman"/>
        </w:rPr>
        <w:t>Plaintiff Fact Sheets (“PFS”) are widely utilized in MDL litigation,</w:t>
      </w:r>
      <w:r w:rsidRPr="00D63B51">
        <w:rPr>
          <w:rStyle w:val="FootnoteReference"/>
          <w:rFonts w:cs="Times New Roman"/>
        </w:rPr>
        <w:footnoteReference w:id="110"/>
      </w:r>
      <w:r w:rsidRPr="00D63B51">
        <w:rPr>
          <w:rFonts w:cs="Times New Roman"/>
        </w:rPr>
        <w:t xml:space="preserve"> particularly in products liability and mass-tort MDLs.</w:t>
      </w:r>
      <w:r w:rsidRPr="00D63B51">
        <w:rPr>
          <w:rStyle w:val="FootnoteReference"/>
          <w:rFonts w:cs="Times New Roman"/>
        </w:rPr>
        <w:footnoteReference w:id="111"/>
      </w:r>
      <w:r w:rsidRPr="00D63B51">
        <w:rPr>
          <w:rFonts w:cs="Times New Roman"/>
        </w:rPr>
        <w:t xml:space="preserve"> They were developed to provide basic information quickly about individual claimants to facilitate vetting. Different forms of PFS, either “short” or “long,” have been used, either separately or together in an MDL. </w:t>
      </w:r>
    </w:p>
    <w:p w14:paraId="75885DAE" w14:textId="77777777" w:rsidR="00F62B2D" w:rsidRPr="00D63B51" w:rsidRDefault="00F62B2D" w:rsidP="00F62B2D">
      <w:pPr>
        <w:spacing w:line="360" w:lineRule="auto"/>
        <w:ind w:firstLine="720"/>
        <w:jc w:val="both"/>
        <w:rPr>
          <w:rFonts w:cs="Times New Roman"/>
        </w:rPr>
      </w:pPr>
      <w:r w:rsidRPr="00D63B51">
        <w:rPr>
          <w:rFonts w:cs="Times New Roman"/>
        </w:rPr>
        <w:t xml:space="preserve">A long PFS form can require detailed historical information about the plaintiff, along with detailed descriptions of factors that might be related to the plaintiff’s current condition and claims for future witnesses.  It can be similar to a very detailed set of initial interrogatories and is frequently – but not necessarily – signed and sworn to by the plaintiff.  The fact sheet is typically a compilation of agreed-upon information to be provided by plaintiff while general liability discovery is ongoing, followed by a defendant fact sheet, also with agreed-upon information.  The contents of fact sheets are routinely a negotiated information exchange among the parties.  </w:t>
      </w:r>
    </w:p>
    <w:p w14:paraId="0B7ED2C0" w14:textId="77777777" w:rsidR="00F62B2D" w:rsidRPr="00D63B51" w:rsidRDefault="00F62B2D" w:rsidP="00F62B2D">
      <w:pPr>
        <w:spacing w:line="360" w:lineRule="auto"/>
        <w:ind w:firstLine="720"/>
        <w:jc w:val="both"/>
        <w:rPr>
          <w:rFonts w:cs="Times New Roman"/>
        </w:rPr>
      </w:pPr>
      <w:r w:rsidRPr="00D63B51">
        <w:rPr>
          <w:rFonts w:cs="Times New Roman"/>
        </w:rPr>
        <w:t>Over time, PFS have taken on different purposes in different mass-tort MDLs and with every added purpose, responses for more detailed information have lengthened the document, which has added greater delay both in developing the form and responding to it.  Too often, the form adopts a version used in an earlier mass-tort MDL and adds another layer of questions.    Long delays,</w:t>
      </w:r>
      <w:r w:rsidRPr="00D63B51">
        <w:rPr>
          <w:rStyle w:val="FootnoteReference"/>
          <w:rFonts w:cs="Times New Roman"/>
        </w:rPr>
        <w:footnoteReference w:id="112"/>
      </w:r>
      <w:r w:rsidRPr="00D63B51">
        <w:rPr>
          <w:rFonts w:cs="Times New Roman"/>
        </w:rPr>
        <w:t xml:space="preserve"> failure to include evidence of exposure and injury (the most basic information required to vet cases),</w:t>
      </w:r>
      <w:r w:rsidRPr="00D63B51">
        <w:rPr>
          <w:rStyle w:val="FootnoteReference"/>
          <w:rFonts w:cs="Times New Roman"/>
        </w:rPr>
        <w:footnoteReference w:id="113"/>
      </w:r>
      <w:r w:rsidRPr="00D63B51">
        <w:rPr>
          <w:rFonts w:cs="Times New Roman"/>
        </w:rPr>
        <w:t xml:space="preserve"> and confusion caused by substituting it for more formal discovery have undercut its </w:t>
      </w:r>
      <w:r w:rsidRPr="00D63B51">
        <w:rPr>
          <w:rFonts w:cs="Times New Roman"/>
        </w:rPr>
        <w:lastRenderedPageBreak/>
        <w:t>usefulness in quickly identifying claims that warrant additional investigation.</w:t>
      </w:r>
      <w:r w:rsidRPr="00D63B51">
        <w:rPr>
          <w:rStyle w:val="FootnoteReference"/>
          <w:rFonts w:cs="Times New Roman"/>
        </w:rPr>
        <w:footnoteReference w:id="114"/>
      </w:r>
      <w:r w:rsidRPr="00D63B51">
        <w:rPr>
          <w:rFonts w:cs="Times New Roman"/>
        </w:rPr>
        <w:t xml:space="preserve">  As a result, the bench and bar have developed alternative procedural mechanisms to collect basic information more quickly.   The use of a short PFS form has been one response.</w:t>
      </w:r>
    </w:p>
    <w:p w14:paraId="1B67D104" w14:textId="77777777" w:rsidR="00F62B2D" w:rsidRPr="00D63B51" w:rsidRDefault="00F62B2D" w:rsidP="00F62B2D">
      <w:pPr>
        <w:spacing w:line="360" w:lineRule="auto"/>
        <w:ind w:firstLine="720"/>
        <w:rPr>
          <w:rFonts w:cs="Times New Roman"/>
        </w:rPr>
      </w:pPr>
      <w:r w:rsidRPr="00D63B51">
        <w:rPr>
          <w:rFonts w:cs="Times New Roman"/>
        </w:rPr>
        <w:t>“Census orders” and “registries” in MDLs are recent developments.  They have been adopted earlier in the MDL process to collect more targeted information than PFS.</w:t>
      </w:r>
      <w:r w:rsidRPr="00D63B51">
        <w:rPr>
          <w:rStyle w:val="FootnoteReference"/>
          <w:rFonts w:cs="Times New Roman"/>
        </w:rPr>
        <w:footnoteReference w:id="115"/>
      </w:r>
      <w:r w:rsidRPr="00D63B51">
        <w:rPr>
          <w:rFonts w:cs="Times New Roman"/>
        </w:rPr>
        <w:t xml:space="preserve">  Registries are typically used to gather the same basic census-order information about claimants but in unfiled cases, who are represented by lawyers representing claimants in cases filed in the MDL.   </w:t>
      </w:r>
    </w:p>
    <w:p w14:paraId="78CA41F1" w14:textId="77777777" w:rsidR="00F62B2D" w:rsidRPr="00D63B51" w:rsidRDefault="00F62B2D" w:rsidP="00F62B2D">
      <w:pPr>
        <w:spacing w:line="360" w:lineRule="auto"/>
        <w:ind w:firstLine="720"/>
        <w:jc w:val="both"/>
        <w:rPr>
          <w:rFonts w:cs="Times New Roman"/>
        </w:rPr>
      </w:pPr>
      <w:r w:rsidRPr="00D63B51">
        <w:rPr>
          <w:rFonts w:cs="Times New Roman"/>
        </w:rPr>
        <w:t>Census orders and registries are not designed to replace discovery tools, which may take various forms and are left to the discretion of the parties and the court, whether a fact sheet, registry, census order, or otherwise.  Instead, census orders and registries have the limited purpose of typically providing information about the number of claimants and the claimant’s exposure and injury to an allegedly defective product. They usually provide short, standardized forms that collect biographical information and counsel information, along with proof of exposure and injury claims, with appropriate supporting foundation documents related to exposure and injury completed by claimants or their counsel.</w:t>
      </w:r>
      <w:r w:rsidRPr="00D63B51">
        <w:rPr>
          <w:rStyle w:val="FootnoteReference"/>
          <w:rFonts w:cs="Times New Roman"/>
        </w:rPr>
        <w:footnoteReference w:id="116"/>
      </w:r>
      <w:r w:rsidRPr="00D63B51">
        <w:rPr>
          <w:rFonts w:cs="Times New Roman"/>
        </w:rPr>
        <w:t xml:space="preserve">  This early targeted limited discovery is a gatekeeping function to support the allegations of the complaint.  In cases where multiple defendants are involved, it might also include the identity of the defendant claimed to be at fault.  </w:t>
      </w:r>
    </w:p>
    <w:p w14:paraId="0250C34D" w14:textId="77777777" w:rsidR="00F62B2D" w:rsidRPr="00D63B51" w:rsidRDefault="00F62B2D" w:rsidP="00F62B2D">
      <w:pPr>
        <w:spacing w:line="360" w:lineRule="auto"/>
        <w:ind w:firstLine="720"/>
        <w:rPr>
          <w:rFonts w:cs="Times New Roman"/>
        </w:rPr>
      </w:pPr>
      <w:r w:rsidRPr="00D63B51">
        <w:rPr>
          <w:rFonts w:cs="Times New Roman"/>
        </w:rPr>
        <w:t xml:space="preserve">There is overlap among the various vehicles used to collect information, and there is little clarity in defining their scope and contents.  A “short form” fact sheet might mimic the information requested on a registry (or census), but the amount of information requested in a census order might vary and may ultimately amount to nothing more than a fact sheet by a different name, which can diminish its utility.  The key point is the utility of the information requested at the time it is to be provided.  If the parties determine it would be helpful in </w:t>
      </w:r>
      <w:r w:rsidRPr="00D63B51">
        <w:rPr>
          <w:rFonts w:cs="Times New Roman"/>
        </w:rPr>
        <w:lastRenderedPageBreak/>
        <w:t xml:space="preserve">understanding the scope of the litigation, including numbers, ages, diseases, and exposure of clients, they can devise an appropriate form to elicit that information and present it to the court for consideration.  </w:t>
      </w:r>
    </w:p>
    <w:p w14:paraId="6F61011D" w14:textId="6CADDDDE" w:rsidR="00F62B2D" w:rsidRPr="00D63B51" w:rsidRDefault="00F62B2D" w:rsidP="00F62B2D">
      <w:pPr>
        <w:pStyle w:val="ListParagraph"/>
        <w:ind w:right="720"/>
        <w:jc w:val="both"/>
        <w:rPr>
          <w:rFonts w:eastAsia="Times New Roman" w:cs="Times New Roman"/>
          <w:b/>
          <w:bCs/>
        </w:rPr>
      </w:pPr>
      <w:r w:rsidRPr="00D63B51">
        <w:rPr>
          <w:rFonts w:ascii="Times New Roman Bold" w:eastAsia="Times New Roman" w:hAnsi="Times New Roman Bold" w:cs="Times New Roman"/>
          <w:b/>
          <w:bCs/>
          <w:smallCaps/>
        </w:rPr>
        <w:t xml:space="preserve">Best Practice </w:t>
      </w:r>
      <w:r w:rsidRPr="00D63B51">
        <w:rPr>
          <w:rFonts w:cs="Times New Roman"/>
          <w:b/>
          <w:bCs/>
        </w:rPr>
        <w:t>MDL-§ 8(b)(i)(A):</w:t>
      </w:r>
      <w:r w:rsidRPr="00D63B51">
        <w:rPr>
          <w:rFonts w:eastAsia="Times New Roman" w:cs="Times New Roman"/>
          <w:b/>
          <w:bCs/>
        </w:rPr>
        <w:t xml:space="preserve"> </w:t>
      </w:r>
      <w:r w:rsidRPr="00D63B51">
        <w:rPr>
          <w:rFonts w:eastAsia="Times New Roman" w:cs="Times New Roman"/>
        </w:rPr>
        <w:t xml:space="preserve">As early as practicable following the creation of the MDL, the parties and court should address whether a census order or registry is appropriate. </w:t>
      </w:r>
      <w:bookmarkStart w:id="25" w:name="_Hlk101943088"/>
      <w:r w:rsidRPr="00D63B51">
        <w:rPr>
          <w:rFonts w:eastAsia="Times New Roman" w:cs="Times New Roman"/>
        </w:rPr>
        <w:t>Permanent No. MDL-</w:t>
      </w:r>
      <w:r w:rsidRPr="00D63B51">
        <w:rPr>
          <w:rFonts w:cs="Times New Roman"/>
          <w:b/>
          <w:color w:val="auto"/>
        </w:rPr>
        <w:t xml:space="preserve">§ </w:t>
      </w:r>
      <w:r w:rsidRPr="00D63B51">
        <w:rPr>
          <w:rFonts w:eastAsia="Times New Roman" w:cs="Times New Roman"/>
        </w:rPr>
        <w:t>1(a)</w:t>
      </w:r>
      <w:bookmarkEnd w:id="25"/>
      <w:r w:rsidRPr="00D63B51">
        <w:rPr>
          <w:rFonts w:eastAsia="Times New Roman" w:cs="Times New Roman"/>
        </w:rPr>
        <w:t>.</w:t>
      </w:r>
    </w:p>
    <w:p w14:paraId="7774B2D1" w14:textId="77777777" w:rsidR="00F62B2D" w:rsidRPr="00D63B51" w:rsidRDefault="00F62B2D" w:rsidP="00F62B2D">
      <w:pPr>
        <w:pStyle w:val="ListParagraph"/>
        <w:ind w:left="1080"/>
        <w:jc w:val="both"/>
        <w:rPr>
          <w:rFonts w:eastAsia="Times New Roman" w:cs="Times New Roman"/>
          <w:b/>
          <w:bCs/>
        </w:rPr>
      </w:pPr>
    </w:p>
    <w:p w14:paraId="52FCE174" w14:textId="77777777" w:rsidR="00F62B2D" w:rsidRPr="00D63B51" w:rsidRDefault="00F62B2D" w:rsidP="00F62B2D">
      <w:pPr>
        <w:spacing w:line="360" w:lineRule="auto"/>
        <w:ind w:firstLine="720"/>
        <w:jc w:val="both"/>
        <w:rPr>
          <w:rFonts w:cs="Times New Roman"/>
        </w:rPr>
      </w:pPr>
      <w:r w:rsidRPr="00D63B51">
        <w:rPr>
          <w:rFonts w:eastAsia="Times New Roman" w:cs="Times New Roman"/>
        </w:rPr>
        <w:t xml:space="preserve">As soon as practicable after the outset of every MDL—preferably at the initial case-management conference—the parties and court should assess the potential utility of a census order or a registry based on the nature and circumstances of the litigation.  Whether a census order or registry may be useful depends on the particular MDL.  </w:t>
      </w:r>
      <w:r w:rsidRPr="00D63B51">
        <w:rPr>
          <w:rFonts w:cs="Times New Roman"/>
        </w:rPr>
        <w:t xml:space="preserve">An early listing of cases – perhaps a registry coupled with a tolling agreement – may better inform the parties of the number of unfiled claims, but which should only be established with the parties’ consent. </w:t>
      </w:r>
      <w:r w:rsidRPr="00D63B51">
        <w:rPr>
          <w:rFonts w:eastAsia="Times New Roman" w:cs="Times New Roman"/>
        </w:rPr>
        <w:t>Rather than a one-size-fits-all rule for all MDLs, the question of a census order or registry is best approached with flexibility and should be evaluated on a MDL-by-MDL basis.</w:t>
      </w:r>
      <w:r w:rsidRPr="00D63B51">
        <w:rPr>
          <w:rFonts w:cs="Times New Roman"/>
        </w:rPr>
        <w:t xml:space="preserve"> Census orders potentially screen out unsupportable claims and provide data analytics to guide the litigation.  </w:t>
      </w:r>
    </w:p>
    <w:p w14:paraId="4A61FDC6" w14:textId="77777777" w:rsidR="00F62B2D" w:rsidRPr="00D63B51" w:rsidRDefault="00F62B2D" w:rsidP="00F62B2D">
      <w:pPr>
        <w:spacing w:line="360" w:lineRule="auto"/>
        <w:ind w:firstLine="720"/>
        <w:jc w:val="both"/>
        <w:rPr>
          <w:rFonts w:eastAsia="Times New Roman" w:cs="Times New Roman"/>
        </w:rPr>
      </w:pPr>
      <w:r w:rsidRPr="00D63B51">
        <w:rPr>
          <w:rFonts w:eastAsia="Times New Roman" w:cs="Times New Roman"/>
        </w:rPr>
        <w:t xml:space="preserve">As noted above, a census process is designed for limited purposes.  But the results of the census can serve a number of functions, including helping to more efficiently manage MDL litigation, assisting with early vetting of claims, selection of MDL leadership committees, gauging the scope of litigation, </w:t>
      </w:r>
      <w:r w:rsidRPr="00D63B51">
        <w:rPr>
          <w:rFonts w:cs="Times New Roman"/>
        </w:rPr>
        <w:t xml:space="preserve">avoiding multiplicity or duplicate filings, </w:t>
      </w:r>
      <w:r w:rsidRPr="00D63B51">
        <w:rPr>
          <w:rFonts w:eastAsia="Times New Roman" w:cs="Times New Roman"/>
        </w:rPr>
        <w:t>informing case management decisions, narrowing claims and defendants, and grouping cases into discovery, trial or mediation pools. In evaluating whether a census would be helpful in the context of a particular MDL for achieving any or all of the above aims, the following MDL characteristics may be relevant to consider:</w:t>
      </w:r>
    </w:p>
    <w:p w14:paraId="2C517E95" w14:textId="77777777" w:rsidR="00F62B2D" w:rsidRPr="00D63B51" w:rsidRDefault="00F62B2D" w:rsidP="00F62B2D">
      <w:pPr>
        <w:pStyle w:val="ListParagraph"/>
        <w:numPr>
          <w:ilvl w:val="0"/>
          <w:numId w:val="14"/>
        </w:numPr>
        <w:jc w:val="both"/>
        <w:rPr>
          <w:rFonts w:eastAsia="Times New Roman" w:cs="Times New Roman"/>
        </w:rPr>
      </w:pPr>
      <w:r w:rsidRPr="00D63B51">
        <w:rPr>
          <w:rFonts w:eastAsia="Times New Roman" w:cs="Times New Roman"/>
          <w:b/>
          <w:bCs/>
        </w:rPr>
        <w:t>Type of litigation</w:t>
      </w:r>
      <w:r w:rsidRPr="00D63B51">
        <w:rPr>
          <w:rFonts w:eastAsia="Times New Roman" w:cs="Times New Roman"/>
        </w:rPr>
        <w:t xml:space="preserve"> – Product liability/mass tort cases make up roughly 90% of all cases centralized in an MDL.</w:t>
      </w:r>
      <w:r w:rsidRPr="00D63B51">
        <w:rPr>
          <w:rStyle w:val="FootnoteReference"/>
          <w:rFonts w:eastAsia="Times New Roman" w:cs="Times New Roman"/>
        </w:rPr>
        <w:footnoteReference w:id="117"/>
      </w:r>
      <w:r w:rsidRPr="00D63B51">
        <w:rPr>
          <w:rFonts w:eastAsia="Times New Roman" w:cs="Times New Roman"/>
        </w:rPr>
        <w:t xml:space="preserve"> Implementing a census can be especially helpful in these MDLs for which determining early in the MDL process whether plaintiffs and claimants have an alleged injury or have been exposed to the product(s) at issue is vital to the parties and courts’ abilities to meaningfully tailor case management and discovery orders to the needs of the case, as well as for facilitating early vetting and early identification of the key factual, scientific and legal issues involved in the litigation.  On the other hand, exposure questions infrequently arise in medical-device MDLs, where solid documentation is readily available.  Nonetheless, census orders may make sense for use in other types of MDL litigation as well.</w:t>
      </w:r>
    </w:p>
    <w:p w14:paraId="4D71D1F3" w14:textId="77777777" w:rsidR="00F62B2D" w:rsidRPr="00D63B51" w:rsidRDefault="00F62B2D" w:rsidP="00F62B2D">
      <w:pPr>
        <w:pStyle w:val="ListParagraph"/>
        <w:numPr>
          <w:ilvl w:val="0"/>
          <w:numId w:val="14"/>
        </w:numPr>
        <w:jc w:val="both"/>
        <w:rPr>
          <w:rFonts w:eastAsia="Times New Roman" w:cs="Times New Roman"/>
        </w:rPr>
      </w:pPr>
      <w:r w:rsidRPr="00D63B51">
        <w:rPr>
          <w:rFonts w:eastAsia="Times New Roman" w:cs="Times New Roman"/>
          <w:b/>
          <w:bCs/>
        </w:rPr>
        <w:lastRenderedPageBreak/>
        <w:t>Size of the MDL</w:t>
      </w:r>
      <w:r w:rsidRPr="00D63B51">
        <w:rPr>
          <w:rFonts w:eastAsia="Times New Roman" w:cs="Times New Roman"/>
        </w:rPr>
        <w:t xml:space="preserve"> – Although a census may be appropriate regardless of the size of the MDL, it can be especially useful in early management of larger MDLs, including but not limited to so-called “mega” MDLs, where compiling data on important features of the litigation such as the number of filed claims/plaintiffs, number/variety of injuries claimed, plaintiff jurisdictions, number/variety of plaintiff firms, and number/variety of defendants may otherwise be difficult to achieve early on. </w:t>
      </w:r>
    </w:p>
    <w:p w14:paraId="22903D7B" w14:textId="77777777" w:rsidR="00F62B2D" w:rsidRPr="00D63B51" w:rsidRDefault="00F62B2D" w:rsidP="00F62B2D">
      <w:pPr>
        <w:pStyle w:val="ListParagraph"/>
        <w:numPr>
          <w:ilvl w:val="0"/>
          <w:numId w:val="14"/>
        </w:numPr>
        <w:jc w:val="both"/>
        <w:rPr>
          <w:rFonts w:eastAsia="Times New Roman" w:cs="Times New Roman"/>
        </w:rPr>
      </w:pPr>
      <w:r w:rsidRPr="00D63B51">
        <w:rPr>
          <w:rFonts w:eastAsia="Times New Roman" w:cs="Times New Roman"/>
          <w:b/>
          <w:bCs/>
        </w:rPr>
        <w:t>Variation of injuries claimed</w:t>
      </w:r>
      <w:r w:rsidRPr="00D63B51">
        <w:rPr>
          <w:rFonts w:eastAsia="Times New Roman" w:cs="Times New Roman"/>
        </w:rPr>
        <w:t xml:space="preserve"> – If there is more than one type or category of injury claimed in the litigation, a census can enable the parties and court to gain an early understanding of scope of injuries at issue in the litigation and number of claims for each type of injury as is necessary to be able to implement effective case management, settlement and discovery procedures.</w:t>
      </w:r>
    </w:p>
    <w:p w14:paraId="1293683C" w14:textId="77777777" w:rsidR="00F62B2D" w:rsidRPr="00D63B51" w:rsidRDefault="00F62B2D" w:rsidP="00F62B2D">
      <w:pPr>
        <w:pStyle w:val="ListParagraph"/>
        <w:numPr>
          <w:ilvl w:val="0"/>
          <w:numId w:val="14"/>
        </w:numPr>
        <w:jc w:val="both"/>
        <w:rPr>
          <w:rFonts w:eastAsia="Times New Roman" w:cs="Times New Roman"/>
        </w:rPr>
      </w:pPr>
      <w:r w:rsidRPr="00D63B51">
        <w:rPr>
          <w:rFonts w:eastAsia="Times New Roman" w:cs="Times New Roman"/>
          <w:b/>
          <w:bCs/>
        </w:rPr>
        <w:t>Variation of plaintiff jurisdictions</w:t>
      </w:r>
      <w:r w:rsidRPr="00D63B51">
        <w:rPr>
          <w:rFonts w:eastAsia="Times New Roman" w:cs="Times New Roman"/>
        </w:rPr>
        <w:t xml:space="preserve"> – A census order may be helpful to the parties and court in identifying and the different plaintiff jurisdictions at play in the litigation, which can be important for purposes of, inter alia, designing case management/discovery protocols and phasing, </w:t>
      </w:r>
      <w:r w:rsidRPr="00D63B51">
        <w:rPr>
          <w:rFonts w:eastAsia="Times New Roman" w:cs="Times New Roman"/>
          <w:i/>
          <w:iCs/>
        </w:rPr>
        <w:t>Lexecon</w:t>
      </w:r>
      <w:r w:rsidRPr="00D63B51">
        <w:rPr>
          <w:rFonts w:eastAsia="Times New Roman" w:cs="Times New Roman"/>
        </w:rPr>
        <w:t xml:space="preserve">-waiver protocol, as well as bellwether/trial/mediation pools. </w:t>
      </w:r>
    </w:p>
    <w:p w14:paraId="3C128363" w14:textId="77777777" w:rsidR="00F62B2D" w:rsidRPr="00D63B51" w:rsidRDefault="00F62B2D" w:rsidP="00F62B2D">
      <w:pPr>
        <w:pStyle w:val="ListParagraph"/>
        <w:numPr>
          <w:ilvl w:val="0"/>
          <w:numId w:val="14"/>
        </w:numPr>
        <w:jc w:val="both"/>
        <w:rPr>
          <w:rFonts w:eastAsia="Times New Roman" w:cs="Times New Roman"/>
        </w:rPr>
      </w:pPr>
      <w:r w:rsidRPr="00D63B51">
        <w:rPr>
          <w:rFonts w:eastAsia="Times New Roman" w:cs="Times New Roman"/>
          <w:b/>
          <w:bCs/>
        </w:rPr>
        <w:t>Variation of plaintiff and defendant firms</w:t>
      </w:r>
      <w:r w:rsidRPr="00D63B51">
        <w:rPr>
          <w:rFonts w:eastAsia="Times New Roman" w:cs="Times New Roman"/>
        </w:rPr>
        <w:t xml:space="preserve"> – As is often the case in MDLs, there may be dozens, even hundreds of different law firms representing the parties to an MDL litigation. This is especially so for plaintiffs.  An early census can provide much needed clarity for the parties and court as to both the number and identity of the different law firms/attorneys involved, and the number of plaintiffs represented by each firm/attorney.  This data can be extremely important to have as early as possible in the litigation as it may aid the court in selecting and structuring leadership committees and subcommittees, and may also be relevant to consider in connection with the implementation of other common MDL features, such as common benefit funds.</w:t>
      </w:r>
    </w:p>
    <w:p w14:paraId="2D4752A5" w14:textId="77777777" w:rsidR="00F62B2D" w:rsidRPr="00D63B51" w:rsidRDefault="00F62B2D" w:rsidP="00F62B2D">
      <w:pPr>
        <w:pStyle w:val="ListParagraph"/>
        <w:numPr>
          <w:ilvl w:val="0"/>
          <w:numId w:val="14"/>
        </w:numPr>
        <w:jc w:val="both"/>
        <w:rPr>
          <w:rFonts w:eastAsia="Times New Roman" w:cs="Times New Roman"/>
        </w:rPr>
      </w:pPr>
      <w:r w:rsidRPr="00D63B51">
        <w:rPr>
          <w:rFonts w:eastAsia="Times New Roman" w:cs="Times New Roman"/>
          <w:b/>
          <w:bCs/>
        </w:rPr>
        <w:t>Variation of defendants</w:t>
      </w:r>
      <w:r w:rsidRPr="00D63B51">
        <w:rPr>
          <w:rFonts w:eastAsia="Times New Roman" w:cs="Times New Roman"/>
        </w:rPr>
        <w:t xml:space="preserve"> – A census order may also be beneficial for MDLs with greater variety/number of named defendants as, again, having an earlier understanding of this information can be critical for the parties and court in determining the appropriate structure for moving the litigation forward.</w:t>
      </w:r>
    </w:p>
    <w:p w14:paraId="243A4A14" w14:textId="77777777" w:rsidR="00F62B2D" w:rsidRPr="00D63B51" w:rsidRDefault="00F62B2D" w:rsidP="00F62B2D">
      <w:pPr>
        <w:rPr>
          <w:rFonts w:cs="Times New Roman"/>
        </w:rPr>
      </w:pPr>
      <w:r w:rsidRPr="00D63B51">
        <w:rPr>
          <w:rFonts w:cs="Times New Roman"/>
        </w:rPr>
        <w:tab/>
      </w:r>
    </w:p>
    <w:p w14:paraId="6B389557" w14:textId="652579D8" w:rsidR="00F62B2D" w:rsidRPr="00D63B51" w:rsidRDefault="00F62B2D" w:rsidP="00F62B2D">
      <w:pPr>
        <w:ind w:left="720" w:right="720"/>
        <w:contextualSpacing/>
        <w:jc w:val="both"/>
        <w:rPr>
          <w:rFonts w:eastAsia="Times New Roman" w:cs="Times New Roman"/>
        </w:rPr>
      </w:pPr>
      <w:r w:rsidRPr="00D63B51">
        <w:rPr>
          <w:rFonts w:ascii="Times New Roman Bold" w:eastAsia="Times New Roman" w:hAnsi="Times New Roman Bold" w:cs="Times New Roman"/>
          <w:b/>
          <w:bCs/>
          <w:smallCaps/>
        </w:rPr>
        <w:t xml:space="preserve">Best Practice </w:t>
      </w:r>
      <w:r w:rsidRPr="00D63B51">
        <w:rPr>
          <w:rFonts w:cs="Times New Roman"/>
          <w:b/>
          <w:bCs/>
        </w:rPr>
        <w:t>MDL-§ 8(b)(i)(B):</w:t>
      </w:r>
      <w:r w:rsidRPr="00D63B51">
        <w:rPr>
          <w:rFonts w:eastAsia="Times New Roman" w:cs="Times New Roman"/>
          <w:b/>
          <w:bCs/>
        </w:rPr>
        <w:t xml:space="preserve"> </w:t>
      </w:r>
      <w:r w:rsidRPr="00D63B51">
        <w:rPr>
          <w:rFonts w:cs="Times New Roman"/>
          <w:bCs/>
        </w:rPr>
        <w:t>In a mass-tort MDL involving disputed claims of exposure and injury, t</w:t>
      </w:r>
      <w:r w:rsidRPr="00D63B51">
        <w:rPr>
          <w:rFonts w:cs="Times New Roman"/>
        </w:rPr>
        <w:t>he parties should recommend that the court enter an order requiring specific means to collect targeted limited information regarding proof of exposure (or use) to the product at issue and proof of the alleged injury at the earliest possible stages.</w:t>
      </w:r>
      <w:r w:rsidRPr="00D63B51">
        <w:rPr>
          <w:rFonts w:eastAsia="Times New Roman" w:cs="Times New Roman"/>
        </w:rPr>
        <w:t xml:space="preserve"> Permanent No. MDL-</w:t>
      </w:r>
      <w:r w:rsidRPr="00D63B51">
        <w:rPr>
          <w:rFonts w:cs="Times New Roman"/>
          <w:b/>
          <w:color w:val="auto"/>
        </w:rPr>
        <w:t xml:space="preserve">§ </w:t>
      </w:r>
      <w:r w:rsidRPr="00D63B51">
        <w:rPr>
          <w:rFonts w:eastAsia="Times New Roman" w:cs="Times New Roman"/>
        </w:rPr>
        <w:t xml:space="preserve">1(b). </w:t>
      </w:r>
    </w:p>
    <w:p w14:paraId="74C60DA8" w14:textId="77777777" w:rsidR="00F62B2D" w:rsidRPr="00D63B51" w:rsidRDefault="00F62B2D" w:rsidP="00F62B2D">
      <w:pPr>
        <w:ind w:left="720" w:right="720"/>
        <w:contextualSpacing/>
        <w:jc w:val="both"/>
        <w:rPr>
          <w:rFonts w:cs="Times New Roman"/>
        </w:rPr>
      </w:pPr>
    </w:p>
    <w:p w14:paraId="6D06EB54" w14:textId="77777777" w:rsidR="00F62B2D" w:rsidRPr="00D63B51" w:rsidRDefault="00F62B2D" w:rsidP="00F62B2D">
      <w:pPr>
        <w:spacing w:line="360" w:lineRule="auto"/>
        <w:ind w:firstLine="720"/>
        <w:jc w:val="both"/>
        <w:rPr>
          <w:rFonts w:cs="Times New Roman"/>
        </w:rPr>
      </w:pPr>
      <w:r w:rsidRPr="00D63B51">
        <w:rPr>
          <w:rFonts w:cs="Times New Roman"/>
        </w:rPr>
        <w:t>The MDL process can attract a variety of claims, including those which would not have been filed in the absence of coordinated litigation and oversight.</w:t>
      </w:r>
      <w:r w:rsidRPr="00D63B51">
        <w:rPr>
          <w:rStyle w:val="FootnoteReference"/>
          <w:rFonts w:cs="Times New Roman"/>
        </w:rPr>
        <w:footnoteReference w:id="118"/>
      </w:r>
      <w:r w:rsidRPr="00D63B51">
        <w:rPr>
          <w:rFonts w:cs="Times New Roman"/>
        </w:rPr>
        <w:t xml:space="preserve">  A proportion of claims within </w:t>
      </w:r>
      <w:r w:rsidRPr="00D63B51">
        <w:rPr>
          <w:rFonts w:cs="Times New Roman"/>
        </w:rPr>
        <w:lastRenderedPageBreak/>
        <w:t>large mass-tort MDLs can turn out to be improvidently filed and unsupportable,</w:t>
      </w:r>
      <w:r w:rsidRPr="00D63B51">
        <w:rPr>
          <w:rStyle w:val="FootnoteReference"/>
          <w:rFonts w:cs="Times New Roman"/>
        </w:rPr>
        <w:footnoteReference w:id="119"/>
      </w:r>
      <w:r w:rsidRPr="00D63B51">
        <w:rPr>
          <w:rFonts w:cs="Times New Roman"/>
        </w:rPr>
        <w:t xml:space="preserve"> and this number has reportedly constituted up to thirty to forty percent in several large MDLs.</w:t>
      </w:r>
      <w:r w:rsidRPr="00D63B51">
        <w:rPr>
          <w:rStyle w:val="FootnoteReference"/>
          <w:rFonts w:cs="Times New Roman"/>
        </w:rPr>
        <w:footnoteReference w:id="120"/>
      </w:r>
      <w:r w:rsidRPr="00D63B51">
        <w:rPr>
          <w:rFonts w:cs="Times New Roman"/>
        </w:rPr>
        <w:t xml:space="preserve">  </w:t>
      </w:r>
    </w:p>
    <w:p w14:paraId="3D7ED4C0" w14:textId="77777777" w:rsidR="00F62B2D" w:rsidRPr="00D63B51" w:rsidRDefault="00F62B2D" w:rsidP="00F62B2D">
      <w:pPr>
        <w:spacing w:line="360" w:lineRule="auto"/>
        <w:ind w:firstLine="720"/>
        <w:jc w:val="both"/>
        <w:rPr>
          <w:rFonts w:eastAsia="Times New Roman" w:cs="Times New Roman"/>
        </w:rPr>
      </w:pPr>
      <w:r w:rsidRPr="00D63B51">
        <w:rPr>
          <w:rFonts w:eastAsia="Times New Roman" w:cs="Times New Roman"/>
        </w:rPr>
        <w:t>The parties should confer prior to the initial case-management conference and be prepared to discuss with the court their positions on the specific means to collect targeted information, as well as a proposal(s) for the scope and timing of any such order.  The court should determine whether to order a census or a registry ideally at the conclusion of the initial case-management conference or as promptly as possible thereafter. If the court orders a census or a registry, the parties and court should also consider whether it would be helpful to form a team or subcommittee comprised of individuals with unique insights on how best to organize and implement data analytics from the census or registry.</w:t>
      </w:r>
      <w:r w:rsidRPr="00D63B51">
        <w:rPr>
          <w:rStyle w:val="FootnoteReference"/>
          <w:rFonts w:eastAsia="Times New Roman" w:cs="Times New Roman"/>
        </w:rPr>
        <w:footnoteReference w:id="121"/>
      </w:r>
      <w:r w:rsidRPr="00D63B51">
        <w:rPr>
          <w:rFonts w:eastAsia="Times New Roman" w:cs="Times New Roman"/>
        </w:rPr>
        <w:t xml:space="preserve"> </w:t>
      </w:r>
    </w:p>
    <w:p w14:paraId="45B49E7E" w14:textId="2707B8D8" w:rsidR="00F62B2D" w:rsidRPr="00D63B51" w:rsidRDefault="00F62B2D" w:rsidP="00F62B2D">
      <w:pPr>
        <w:ind w:left="720" w:right="720"/>
        <w:jc w:val="both"/>
        <w:rPr>
          <w:rFonts w:eastAsia="Times New Roman" w:cs="Times New Roman"/>
        </w:rPr>
      </w:pPr>
      <w:r w:rsidRPr="00D63B51">
        <w:rPr>
          <w:rFonts w:ascii="Times New Roman Bold" w:eastAsia="Times New Roman" w:hAnsi="Times New Roman Bold" w:cs="Times New Roman"/>
          <w:b/>
          <w:bCs/>
          <w:smallCaps/>
        </w:rPr>
        <w:t xml:space="preserve">Best Practice </w:t>
      </w:r>
      <w:r w:rsidRPr="00D63B51">
        <w:rPr>
          <w:rFonts w:cs="Times New Roman"/>
          <w:b/>
          <w:bCs/>
        </w:rPr>
        <w:t>MDL-§ 8(b)(i)(C):</w:t>
      </w:r>
      <w:r w:rsidRPr="00D63B51">
        <w:rPr>
          <w:rFonts w:eastAsia="Times New Roman" w:cs="Times New Roman"/>
          <w:b/>
          <w:bCs/>
        </w:rPr>
        <w:t xml:space="preserve"> </w:t>
      </w:r>
      <w:r w:rsidRPr="00D63B51">
        <w:rPr>
          <w:rFonts w:cs="Times New Roman"/>
        </w:rPr>
        <w:t xml:space="preserve">  No matter which instrument is selected, the parties should clearly define the purposes of the means of collecting the information, including its scope and contents. </w:t>
      </w:r>
      <w:r w:rsidRPr="00D63B51">
        <w:rPr>
          <w:rFonts w:eastAsia="Times New Roman" w:cs="Times New Roman"/>
        </w:rPr>
        <w:t>Permanent No. MDL-</w:t>
      </w:r>
      <w:r w:rsidRPr="00D63B51">
        <w:rPr>
          <w:rFonts w:cs="Times New Roman"/>
          <w:b/>
          <w:color w:val="auto"/>
        </w:rPr>
        <w:t xml:space="preserve">§ </w:t>
      </w:r>
      <w:r w:rsidRPr="00D63B51">
        <w:rPr>
          <w:rFonts w:eastAsia="Times New Roman" w:cs="Times New Roman"/>
        </w:rPr>
        <w:t>1(c).</w:t>
      </w:r>
    </w:p>
    <w:p w14:paraId="3D313252" w14:textId="77777777" w:rsidR="00F62B2D" w:rsidRPr="00D63B51" w:rsidRDefault="00F62B2D" w:rsidP="00F62B2D">
      <w:pPr>
        <w:ind w:left="720" w:right="720"/>
        <w:rPr>
          <w:rFonts w:cs="Times New Roman"/>
        </w:rPr>
      </w:pPr>
    </w:p>
    <w:p w14:paraId="236458DF" w14:textId="77777777" w:rsidR="00F62B2D" w:rsidRPr="00D63B51" w:rsidRDefault="00F62B2D" w:rsidP="00F62B2D">
      <w:pPr>
        <w:spacing w:line="360" w:lineRule="auto"/>
        <w:ind w:firstLine="720"/>
        <w:jc w:val="both"/>
        <w:rPr>
          <w:rFonts w:cs="Times New Roman"/>
        </w:rPr>
      </w:pPr>
      <w:r w:rsidRPr="00D63B51">
        <w:rPr>
          <w:rFonts w:cs="Times New Roman"/>
        </w:rPr>
        <w:t>The parties should articulate the need and use for the information.  The information may vary by type of case. Targeted information regarding exposure and injury at the earliest stage of a coordinated proceeding can be useful to the parties and court to identify cases in which a plaintiff’s exposure to (or use of) the product at issue or the alleged injury (after the alleged exposure or use) raise questions, justifying further investigation to resolve the issue without further delay.</w:t>
      </w:r>
      <w:r w:rsidRPr="00D63B51">
        <w:rPr>
          <w:rStyle w:val="FootnoteReference"/>
          <w:rFonts w:cs="Times New Roman"/>
        </w:rPr>
        <w:t xml:space="preserve"> </w:t>
      </w:r>
      <w:r w:rsidRPr="00D63B51">
        <w:rPr>
          <w:rStyle w:val="FootnoteReference"/>
          <w:rFonts w:cs="Times New Roman"/>
        </w:rPr>
        <w:footnoteReference w:id="122"/>
      </w:r>
      <w:r w:rsidRPr="00D63B51">
        <w:rPr>
          <w:rFonts w:cs="Times New Roman"/>
        </w:rPr>
        <w:t xml:space="preserve">   </w:t>
      </w:r>
    </w:p>
    <w:p w14:paraId="5BB217C3" w14:textId="77777777" w:rsidR="00F62B2D" w:rsidRPr="00D63B51" w:rsidRDefault="00F62B2D" w:rsidP="00F62B2D">
      <w:pPr>
        <w:spacing w:line="360" w:lineRule="auto"/>
        <w:ind w:firstLine="720"/>
        <w:jc w:val="both"/>
        <w:rPr>
          <w:rFonts w:cs="Times New Roman"/>
        </w:rPr>
      </w:pPr>
      <w:r w:rsidRPr="00D63B51">
        <w:rPr>
          <w:rFonts w:cs="Times New Roman"/>
        </w:rPr>
        <w:t xml:space="preserve">This may include providing a single page of a record reflecting the product to which plaintiff was exposed (or which plaintiff used) and a single page of a record reflecting that the alleged injury was sustained (and when). In other cases, tangible evidence in the form of a receipt or a note from a treating physician may be useful. In certain cases, where claims appear to be unsupported or raise questions, requesting the claimant to provide specific additional information or scheduling an appearance before the court to address the issue may quickly resolve it.  </w:t>
      </w:r>
    </w:p>
    <w:p w14:paraId="5A4668E2" w14:textId="77777777" w:rsidR="00F62B2D" w:rsidRPr="00D63B51" w:rsidRDefault="00F62B2D" w:rsidP="00F62B2D">
      <w:pPr>
        <w:spacing w:line="360" w:lineRule="auto"/>
        <w:ind w:firstLine="720"/>
        <w:jc w:val="both"/>
        <w:rPr>
          <w:rFonts w:cs="Times New Roman"/>
        </w:rPr>
      </w:pPr>
      <w:r w:rsidRPr="00D63B51">
        <w:rPr>
          <w:rFonts w:cs="Times New Roman"/>
        </w:rPr>
        <w:lastRenderedPageBreak/>
        <w:t>This information could be particularly useful in evaluating the basic supportability of the plaintiffs’ claims, or what categories of cases should be represented in a bellwether pool or if the parties so desire, to assess settlement possibilities early in the case.  Consistent with the concept of viewing these tools on a “continuum,” the timeframe for providing the information should be correlated to its intended use.</w:t>
      </w:r>
    </w:p>
    <w:p w14:paraId="5A328629" w14:textId="77777777" w:rsidR="00F62B2D" w:rsidRPr="00D63B51" w:rsidRDefault="00F62B2D" w:rsidP="00F62B2D">
      <w:pPr>
        <w:ind w:left="720"/>
        <w:jc w:val="both"/>
        <w:rPr>
          <w:rFonts w:cs="Times New Roman"/>
        </w:rPr>
      </w:pPr>
    </w:p>
    <w:p w14:paraId="5F51A77D" w14:textId="6E4AEDC4" w:rsidR="00F62B2D" w:rsidRPr="00D63B51" w:rsidRDefault="00F62B2D" w:rsidP="00F62B2D">
      <w:pPr>
        <w:ind w:left="720" w:right="720"/>
        <w:jc w:val="both"/>
        <w:rPr>
          <w:rFonts w:eastAsia="Times New Roman" w:cs="Times New Roman"/>
        </w:rPr>
      </w:pPr>
      <w:r w:rsidRPr="00D63B51">
        <w:rPr>
          <w:rFonts w:ascii="Times New Roman Bold" w:eastAsia="Times New Roman" w:hAnsi="Times New Roman Bold" w:cs="Times New Roman"/>
          <w:b/>
          <w:bCs/>
          <w:smallCaps/>
        </w:rPr>
        <w:t xml:space="preserve">Best Practice </w:t>
      </w:r>
      <w:r w:rsidRPr="00D63B51">
        <w:rPr>
          <w:rFonts w:cs="Times New Roman"/>
          <w:b/>
          <w:bCs/>
        </w:rPr>
        <w:t>MDL-§ 8(b)(i)(D):</w:t>
      </w:r>
      <w:r w:rsidRPr="00D63B51">
        <w:rPr>
          <w:rFonts w:eastAsia="Times New Roman" w:cs="Times New Roman"/>
          <w:b/>
          <w:bCs/>
        </w:rPr>
        <w:t xml:space="preserve"> </w:t>
      </w:r>
      <w:r w:rsidRPr="00D63B51">
        <w:rPr>
          <w:rFonts w:cs="Times New Roman"/>
        </w:rPr>
        <w:t xml:space="preserve">The parties’ recommendations should account for practical considerations faced by both parties in collecting such information early in the litigation and from so many individual claimants in a concentrated period of time as well as the unintended consequences of potentially inflated filings. </w:t>
      </w:r>
      <w:r w:rsidRPr="00D63B51">
        <w:rPr>
          <w:rFonts w:eastAsia="Times New Roman" w:cs="Times New Roman"/>
        </w:rPr>
        <w:t>Permanent No. MDL-</w:t>
      </w:r>
      <w:r w:rsidRPr="00D63B51">
        <w:rPr>
          <w:rFonts w:cs="Times New Roman"/>
          <w:b/>
          <w:color w:val="auto"/>
        </w:rPr>
        <w:t xml:space="preserve">§ </w:t>
      </w:r>
      <w:r w:rsidRPr="00D63B51">
        <w:rPr>
          <w:rFonts w:eastAsia="Times New Roman" w:cs="Times New Roman"/>
        </w:rPr>
        <w:t xml:space="preserve">1(d).  </w:t>
      </w:r>
    </w:p>
    <w:p w14:paraId="5A934305" w14:textId="77777777" w:rsidR="00F62B2D" w:rsidRPr="00D63B51" w:rsidRDefault="00F62B2D" w:rsidP="00F62B2D">
      <w:pPr>
        <w:ind w:left="720" w:right="720"/>
        <w:jc w:val="both"/>
        <w:rPr>
          <w:rFonts w:cs="Times New Roman"/>
        </w:rPr>
      </w:pPr>
    </w:p>
    <w:p w14:paraId="5E7F0423" w14:textId="77777777" w:rsidR="00F62B2D" w:rsidRPr="00D63B51" w:rsidRDefault="00F62B2D" w:rsidP="00F62B2D">
      <w:pPr>
        <w:spacing w:line="360" w:lineRule="auto"/>
        <w:ind w:firstLine="720"/>
        <w:jc w:val="both"/>
        <w:rPr>
          <w:rFonts w:cs="Times New Roman"/>
        </w:rPr>
      </w:pPr>
      <w:r w:rsidRPr="00D63B51">
        <w:rPr>
          <w:rFonts w:cs="Times New Roman"/>
        </w:rPr>
        <w:t xml:space="preserve">The principal benefits of collecting information early in the litigation are to identify the claimants and their representatives and better ascertain cases that clearly do not belong in the litigation or require more investigation. The information can also be useful to perform data analytics that can inform the organization of steering committees, guide discovery, structure initial disclosures, define categories of bellwethers, and develop structures for settlement. But plaintiff counsel often face practical obstacles in providing such information, while defense counsel must contend with the burdens of handling a potentially inflated number of unsupportable filings, which can have a dramatic impact on their client’s financial reputation and market strength.  </w:t>
      </w:r>
    </w:p>
    <w:p w14:paraId="49CE8D14" w14:textId="77777777" w:rsidR="00F62B2D" w:rsidRPr="00D63B51" w:rsidRDefault="00F62B2D" w:rsidP="00F62B2D">
      <w:pPr>
        <w:spacing w:line="360" w:lineRule="auto"/>
        <w:ind w:firstLine="720"/>
        <w:jc w:val="both"/>
        <w:rPr>
          <w:rFonts w:cs="Times New Roman"/>
        </w:rPr>
      </w:pPr>
      <w:r w:rsidRPr="00D63B51">
        <w:rPr>
          <w:rFonts w:cs="Times New Roman"/>
        </w:rPr>
        <w:t xml:space="preserve">Plaintiffs simply may not yet have the requested information.  Census orders can pose challenges with compliance with statutes of limitations, particularly when caused by delays in retrieving records from third-party sources.  The breadth and scope of the required information, and the burden of collecting the information when not narrowly tailored can exacerbate the problem.  In addition, a plaintiff’s law-firm resources can be strained investigating the claims of hundreds of their clients in a concentrated period of time. Satellite litigation on these issues can be time consuming for the court and expensive for the parties, without contributing to the progress of the litigation.  Accordingly, the parties should recommend a form collecting this information (e.g., census order, registry, short PFS) that is short, simple, and laser-focused on that which can be obtained, such as proof of exposure/use and proof of injury. </w:t>
      </w:r>
    </w:p>
    <w:p w14:paraId="1407145B" w14:textId="77777777" w:rsidR="00F62B2D" w:rsidRPr="00D63B51" w:rsidRDefault="00F62B2D" w:rsidP="00F62B2D">
      <w:pPr>
        <w:spacing w:line="360" w:lineRule="auto"/>
        <w:ind w:firstLine="720"/>
        <w:jc w:val="both"/>
        <w:rPr>
          <w:rFonts w:cs="Times New Roman"/>
        </w:rPr>
      </w:pPr>
      <w:r w:rsidRPr="00D63B51">
        <w:rPr>
          <w:rFonts w:cs="Times New Roman"/>
        </w:rPr>
        <w:t xml:space="preserve">The establishment of a registry (and sometimes a census order) can have the unintended consequences of creating a “docket” of unfiled claims over which the court can neither exercise jurisdiction as if it were a filed case nor would those claims be subject to the Federal Rules of Civil </w:t>
      </w:r>
      <w:r w:rsidRPr="00D63B51">
        <w:rPr>
          <w:rFonts w:cs="Times New Roman"/>
        </w:rPr>
        <w:lastRenderedPageBreak/>
        <w:t xml:space="preserve">Procedure.  The sheer size of an unfiled docket can apply immense “financial market” pressure on the defendant.   Accordingly, the parties should ensure that safeguards mitigating these unintended consequences are considered and adopted, including identifying case inventories earlier in order for appropriate screening and vetting of individual claims.  Defendants subject to regulatory authority also need to be mindful of related claim reporting obligations, and the potential burden of a census order in connection with that process.   </w:t>
      </w:r>
    </w:p>
    <w:p w14:paraId="6EA4A399" w14:textId="0FF158E4" w:rsidR="00F62B2D" w:rsidRPr="00D63B51" w:rsidRDefault="00F62B2D" w:rsidP="00F62B2D">
      <w:pPr>
        <w:ind w:left="720" w:right="720"/>
        <w:jc w:val="both"/>
        <w:rPr>
          <w:rFonts w:cs="Times New Roman"/>
        </w:rPr>
      </w:pPr>
      <w:r w:rsidRPr="00D63B51">
        <w:rPr>
          <w:rFonts w:ascii="Times New Roman Bold" w:eastAsia="Times New Roman" w:hAnsi="Times New Roman Bold" w:cs="Times New Roman"/>
          <w:b/>
          <w:bCs/>
          <w:smallCaps/>
        </w:rPr>
        <w:t xml:space="preserve">Best Practice </w:t>
      </w:r>
      <w:r w:rsidRPr="00D63B51">
        <w:rPr>
          <w:rFonts w:cs="Times New Roman"/>
          <w:b/>
          <w:bCs/>
        </w:rPr>
        <w:t>MDL-§ 8(b)(i)(E):</w:t>
      </w:r>
      <w:r w:rsidRPr="00D63B51">
        <w:rPr>
          <w:rFonts w:eastAsia="Times New Roman" w:cs="Times New Roman"/>
          <w:b/>
          <w:bCs/>
        </w:rPr>
        <w:t xml:space="preserve"> </w:t>
      </w:r>
      <w:r w:rsidRPr="00D63B51">
        <w:rPr>
          <w:rFonts w:cs="Times New Roman"/>
        </w:rPr>
        <w:t xml:space="preserve">The parties should recommend the timing of and deadlines for a census or registry process based on the scope and intent of the proposed census or registry process, as well as the size and subject-matter of the MDL. </w:t>
      </w:r>
      <w:r w:rsidRPr="00D63B51">
        <w:rPr>
          <w:rFonts w:eastAsia="Times New Roman" w:cs="Times New Roman"/>
        </w:rPr>
        <w:t>Permanent No. MDL-</w:t>
      </w:r>
      <w:r w:rsidRPr="00D63B51">
        <w:rPr>
          <w:rFonts w:cs="Times New Roman"/>
          <w:b/>
          <w:color w:val="auto"/>
        </w:rPr>
        <w:t xml:space="preserve">§ </w:t>
      </w:r>
      <w:r w:rsidRPr="00D63B51">
        <w:rPr>
          <w:rFonts w:eastAsia="Times New Roman" w:cs="Times New Roman"/>
        </w:rPr>
        <w:t>1(e).</w:t>
      </w:r>
      <w:r w:rsidRPr="00D63B51">
        <w:rPr>
          <w:rFonts w:cs="Times New Roman"/>
        </w:rPr>
        <w:tab/>
      </w:r>
    </w:p>
    <w:p w14:paraId="3D251BCB" w14:textId="77777777" w:rsidR="00F62B2D" w:rsidRPr="00D63B51" w:rsidRDefault="00F62B2D" w:rsidP="00F62B2D">
      <w:pPr>
        <w:ind w:left="1080" w:right="720" w:hanging="360"/>
        <w:jc w:val="both"/>
        <w:rPr>
          <w:rFonts w:cs="Times New Roman"/>
        </w:rPr>
      </w:pPr>
    </w:p>
    <w:p w14:paraId="53A81449" w14:textId="77777777" w:rsidR="00F62B2D" w:rsidRPr="00D63B51" w:rsidRDefault="00F62B2D" w:rsidP="00F62B2D">
      <w:pPr>
        <w:spacing w:line="360" w:lineRule="auto"/>
        <w:jc w:val="both"/>
        <w:rPr>
          <w:rFonts w:cs="Times New Roman"/>
        </w:rPr>
      </w:pPr>
      <w:r w:rsidRPr="00D63B51">
        <w:rPr>
          <w:rFonts w:cs="Times New Roman"/>
        </w:rPr>
        <w:tab/>
        <w:t>The court and parties should discuss the intent and scope of any proposed census and registry procedure, during the first case-management conference. These procedures may be staged dependent on what the court and parties expect to achieve through the census. Most significantly, the expected use of the information should define the timing.</w:t>
      </w:r>
    </w:p>
    <w:p w14:paraId="721F10AE" w14:textId="77777777" w:rsidR="00F62B2D" w:rsidRPr="00D63B51" w:rsidRDefault="00F62B2D" w:rsidP="00F62B2D">
      <w:pPr>
        <w:spacing w:line="360" w:lineRule="auto"/>
        <w:jc w:val="both"/>
        <w:rPr>
          <w:rFonts w:cs="Times New Roman"/>
        </w:rPr>
      </w:pPr>
      <w:r w:rsidRPr="00D63B51">
        <w:rPr>
          <w:rFonts w:cs="Times New Roman"/>
        </w:rPr>
        <w:tab/>
        <w:t xml:space="preserve">A census may be useful very early in the litigation to give the parties, either both sides or just one, and the court a better preview of the cases that will ultimately be filed in the MDL. The scope of the census should be limited to information that can reasonably be anticipated to be gathered during plaintiffs’ counsel’s intake process. If the census is limited to data points that can be exported with ease from plaintiff’s counsel’s case management software, the deadline for production of this information can be relatively short. </w:t>
      </w:r>
    </w:p>
    <w:p w14:paraId="2CCFCD16" w14:textId="77777777" w:rsidR="00F62B2D" w:rsidRPr="00D63B51" w:rsidRDefault="00F62B2D" w:rsidP="00F62B2D">
      <w:pPr>
        <w:spacing w:line="360" w:lineRule="auto"/>
        <w:jc w:val="both"/>
        <w:rPr>
          <w:rFonts w:cs="Times New Roman"/>
        </w:rPr>
      </w:pPr>
      <w:r w:rsidRPr="00D63B51">
        <w:rPr>
          <w:rFonts w:cs="Times New Roman"/>
        </w:rPr>
        <w:tab/>
        <w:t>Census orders for filed cases may provide case-dispositive information more quickly and efficiently than through more exhaustive discovery. But sufficient time must be provided the parties to reasonably investigate claims and comply with any court-imposed deadlines, even if the census is limited to fundamental case information, such as plaintiff’s demographic data, usage dates, type of injury, and injury date in a products-liability MDL. In some cases, the production may be expected to occur soon after a case is filed (</w:t>
      </w:r>
      <w:r w:rsidRPr="00D63B51">
        <w:rPr>
          <w:rFonts w:cs="Times New Roman"/>
          <w:i/>
          <w:iCs/>
        </w:rPr>
        <w:t>e.g</w:t>
      </w:r>
      <w:r w:rsidRPr="00D63B51">
        <w:rPr>
          <w:rFonts w:cs="Times New Roman"/>
        </w:rPr>
        <w:t xml:space="preserve">. sixty to ninety days). On the other hand, claims are sometimes filed to meet statute of limitations requirements before a party is able to thoroughly investigate and obtain documentation of exposure and injury.  As such, early census document production must include a meet and confer requirement before any complaint is submitted to the court regarding failure to produce. </w:t>
      </w:r>
    </w:p>
    <w:p w14:paraId="3AFB91CB" w14:textId="77777777" w:rsidR="00F62B2D" w:rsidRPr="00D63B51" w:rsidRDefault="00F62B2D" w:rsidP="00F62B2D">
      <w:pPr>
        <w:spacing w:line="360" w:lineRule="auto"/>
        <w:ind w:firstLine="720"/>
        <w:jc w:val="both"/>
        <w:rPr>
          <w:rFonts w:cs="Times New Roman"/>
        </w:rPr>
      </w:pPr>
      <w:r w:rsidRPr="00D63B51">
        <w:rPr>
          <w:rFonts w:cs="Times New Roman"/>
        </w:rPr>
        <w:t xml:space="preserve">A registry of unfiled cases may also be valuable to the court and the parties to understand the universe of potential claims and claimants.  Again, the scope of the information requested will </w:t>
      </w:r>
      <w:r w:rsidRPr="00D63B51">
        <w:rPr>
          <w:rFonts w:cs="Times New Roman"/>
        </w:rPr>
        <w:lastRenderedPageBreak/>
        <w:t>influence the deadlines that are placed on the parties for production. A registry should not overly burden the parties or distract from the overall litigation plan. As such, strict deadlines, especially based on plaintiffs’ retainer dates, should be avoided. To promote participation by counsel with unfiled cases, the parties should consider recommending an intermediate registry that provides some benefit to participating counsel. For example, the Zantac MDL Census Plus process provided statute of limitation tolling and a cost-sharing plan for medical records.</w:t>
      </w:r>
      <w:r w:rsidRPr="00D63B51">
        <w:rPr>
          <w:rStyle w:val="FootnoteReference"/>
          <w:rFonts w:cs="Times New Roman"/>
        </w:rPr>
        <w:footnoteReference w:id="123"/>
      </w:r>
      <w:r w:rsidRPr="00D63B51">
        <w:rPr>
          <w:rFonts w:cs="Times New Roman"/>
        </w:rPr>
        <w:t xml:space="preserve"> </w:t>
      </w:r>
    </w:p>
    <w:p w14:paraId="6014F98D" w14:textId="77777777" w:rsidR="00F62B2D" w:rsidRPr="00D63B51" w:rsidRDefault="00F62B2D" w:rsidP="00F62B2D">
      <w:pPr>
        <w:spacing w:line="360" w:lineRule="auto"/>
        <w:jc w:val="both"/>
        <w:rPr>
          <w:rFonts w:cs="Times New Roman"/>
          <w:b/>
        </w:rPr>
      </w:pPr>
      <w:r w:rsidRPr="00D63B51">
        <w:rPr>
          <w:rFonts w:cs="Times New Roman"/>
        </w:rPr>
        <w:tab/>
        <w:t xml:space="preserve"> The parties should consider recommending providing a benefit to plaintiff’s counsel for timely production of post-complaint census information and documents. If the court intends to require a later production of a Plaintiff Profile Form (PPF) or Plaintiff Fact Sheet (PFS), it should consider giving counsel additional time for the PPF or PFS production if the earlier census production is made. This ensures that the defendant quickly receives the fundamental information about each case, but also delays the additional PPF/PFS burden on plaintiffs’ counsel, thus further incentivizing timely census participation. </w:t>
      </w:r>
    </w:p>
    <w:p w14:paraId="1FB68A24" w14:textId="77777777" w:rsidR="00F62B2D" w:rsidRPr="00D63B51" w:rsidRDefault="00F62B2D" w:rsidP="00F62B2D">
      <w:pPr>
        <w:shd w:val="clear" w:color="auto" w:fill="FFFFFF"/>
        <w:spacing w:before="100" w:beforeAutospacing="1"/>
        <w:ind w:left="720" w:right="720"/>
        <w:jc w:val="both"/>
        <w:rPr>
          <w:rFonts w:cs="Times New Roman"/>
        </w:rPr>
      </w:pPr>
      <w:r w:rsidRPr="00D63B51">
        <w:rPr>
          <w:rFonts w:cs="Times New Roman"/>
          <w:b/>
          <w:bCs/>
        </w:rPr>
        <w:t xml:space="preserve">Best Practice MDL-§ 8(b)(ii): </w:t>
      </w:r>
      <w:r w:rsidRPr="00D63B51">
        <w:rPr>
          <w:rFonts w:cs="Times New Roman"/>
        </w:rPr>
        <w:t>The parties should ensure that the central-exchange platform can collect and transmit information responding to questions in profile forms or fact sheets regarding the evidentiary support of the actions</w:t>
      </w:r>
      <w:r w:rsidRPr="00D63B51">
        <w:rPr>
          <w:rFonts w:eastAsia="Times New Roman" w:cs="Times New Roman"/>
          <w:color w:val="4A4A4A"/>
        </w:rPr>
        <w:t>.</w:t>
      </w:r>
      <w:r w:rsidRPr="00D63B51">
        <w:rPr>
          <w:rFonts w:cs="Times New Roman"/>
        </w:rPr>
        <w:t xml:space="preserve"> Permanent No. MDL-§ 15 (b)(i).</w:t>
      </w:r>
    </w:p>
    <w:p w14:paraId="38DE3A7B" w14:textId="77777777" w:rsidR="00F62B2D" w:rsidRPr="00D63B51" w:rsidRDefault="00F62B2D" w:rsidP="00F62B2D">
      <w:pPr>
        <w:pStyle w:val="NoSpacing"/>
        <w:spacing w:line="360" w:lineRule="auto"/>
        <w:ind w:firstLine="720"/>
        <w:jc w:val="both"/>
      </w:pPr>
    </w:p>
    <w:p w14:paraId="40764B63" w14:textId="77777777" w:rsidR="00F62B2D" w:rsidRPr="00D63B51" w:rsidRDefault="00F62B2D" w:rsidP="00F62B2D">
      <w:pPr>
        <w:spacing w:line="360" w:lineRule="auto"/>
        <w:ind w:firstLine="720"/>
        <w:jc w:val="both"/>
        <w:rPr>
          <w:rFonts w:cs="Times New Roman"/>
        </w:rPr>
      </w:pPr>
      <w:r w:rsidRPr="00D63B51">
        <w:rPr>
          <w:rFonts w:cs="Times New Roman"/>
        </w:rPr>
        <w:t xml:space="preserve">Under Permanent Number MDL-§ 14(b), parties select a central-exchange platform to exchange communications. </w:t>
      </w:r>
      <w:r w:rsidRPr="00D63B51">
        <w:rPr>
          <w:rFonts w:cs="Times New Roman"/>
          <w:b/>
          <w:bCs/>
        </w:rPr>
        <w:t xml:space="preserve"> </w:t>
      </w:r>
      <w:r w:rsidRPr="00D63B51">
        <w:rPr>
          <w:rFonts w:cs="Times New Roman"/>
        </w:rPr>
        <w:t>Rule 16.1(b)(3)(B) requires the parties to discuss “how and when” information will be exchanged about “factual bases for their claims and defenses.”  Parties in mass-tort MDLs typically agree on using a central-exchange platform, which stores and shares information about their claims and defenses.</w:t>
      </w:r>
      <w:r w:rsidRPr="00D63B51">
        <w:rPr>
          <w:rStyle w:val="FootnoteReference"/>
          <w:rFonts w:cs="Times New Roman"/>
        </w:rPr>
        <w:footnoteReference w:id="124"/>
      </w:r>
      <w:r w:rsidRPr="00D63B51">
        <w:rPr>
          <w:rFonts w:cs="Times New Roman"/>
        </w:rPr>
        <w:t xml:space="preserve">  Parties use these platforms to collect information for the case, submit and transmit evidence, and automatically send notices of deficiencies as directed by the parties. </w:t>
      </w:r>
    </w:p>
    <w:p w14:paraId="1536F27A" w14:textId="77777777" w:rsidR="00F62B2D" w:rsidRPr="00D63B51" w:rsidRDefault="00F62B2D" w:rsidP="00F62B2D">
      <w:pPr>
        <w:spacing w:line="360" w:lineRule="auto"/>
        <w:ind w:firstLine="720"/>
        <w:jc w:val="both"/>
        <w:rPr>
          <w:rFonts w:cs="Times New Roman"/>
        </w:rPr>
      </w:pPr>
      <w:r w:rsidRPr="00D63B51">
        <w:rPr>
          <w:rFonts w:cs="Times New Roman"/>
        </w:rPr>
        <w:t xml:space="preserve">In mass-tort MDLs, parties are routinely required to complete and submit a profile form or fact sheet, which contains basic information about their claims and defenses as well as attaches the essential evidence supporting the action, </w:t>
      </w:r>
      <w:r w:rsidRPr="00D63B51">
        <w:rPr>
          <w:rFonts w:cs="Times New Roman"/>
          <w:i/>
          <w:iCs/>
        </w:rPr>
        <w:t>e.g</w:t>
      </w:r>
      <w:r w:rsidRPr="00D63B51">
        <w:rPr>
          <w:rFonts w:cs="Times New Roman"/>
        </w:rPr>
        <w:t xml:space="preserve">., proof of purchase and medical records of alleged injury.  Parties rely on information in profile forms and fact sheets to screen complaints at an early </w:t>
      </w:r>
      <w:r w:rsidRPr="00D63B51">
        <w:rPr>
          <w:rFonts w:cs="Times New Roman"/>
        </w:rPr>
        <w:lastRenderedPageBreak/>
        <w:t>stage and evaluate whether there is any evidentiary basis supporting the claims or defenses. For example, courts have required preliminary-profile forms served within 30 to 60 days of the filing of a complaint with evidence of proof-of-product usage.</w:t>
      </w:r>
      <w:r w:rsidRPr="00D63B51">
        <w:rPr>
          <w:rStyle w:val="FootnoteReference"/>
          <w:rFonts w:cs="Times New Roman"/>
        </w:rPr>
        <w:footnoteReference w:id="125"/>
      </w:r>
      <w:r w:rsidRPr="00D63B51">
        <w:rPr>
          <w:rFonts w:cs="Times New Roman"/>
        </w:rPr>
        <w:t xml:space="preserve">   The profile forms and the later, more robust fact sheets have been used to identify claims that are potential candidates for early disposition. Often, the judge explicitly deems such profile forms or fact sheets as standard interrogatories, subject to Rules 26 and 37.</w:t>
      </w:r>
      <w:r w:rsidRPr="00D63B51">
        <w:rPr>
          <w:rStyle w:val="FootnoteReference"/>
          <w:rFonts w:cs="Times New Roman"/>
        </w:rPr>
        <w:footnoteReference w:id="126"/>
      </w:r>
      <w:r w:rsidRPr="00D63B51">
        <w:rPr>
          <w:rFonts w:cs="Times New Roman"/>
        </w:rPr>
        <w:t xml:space="preserve"> Typically, the parties are requested to agree and propose the text of the fact sheets.</w:t>
      </w:r>
      <w:r w:rsidRPr="00D63B51">
        <w:rPr>
          <w:rStyle w:val="FootnoteReference"/>
          <w:rFonts w:cs="Times New Roman"/>
        </w:rPr>
        <w:footnoteReference w:id="127"/>
      </w:r>
      <w:r w:rsidRPr="00D63B51">
        <w:rPr>
          <w:rFonts w:cs="Times New Roman"/>
        </w:rPr>
        <w:t xml:space="preserve"> </w:t>
      </w:r>
    </w:p>
    <w:p w14:paraId="7801002B"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 xml:space="preserve">If the evidence supporting the claim is not submitted at the time that the profile form or fact sheet is filed, the plaintiff should have the opportunity to update the fact sheet or profile form at a later date and submit the evidence supporting the claims. The parties should format the profile forms or fact sheets to show whether: (i) the action has evidence supporting the claims and such evidence is attached; or (ii) the action will likely have evidentiary support after a reasonable opportunity for further investigation or discovery, consistent with Rule 11(b)(3). </w:t>
      </w:r>
    </w:p>
    <w:p w14:paraId="59706742" w14:textId="77777777" w:rsidR="00F62B2D" w:rsidRPr="00D63B51" w:rsidRDefault="00F62B2D" w:rsidP="00F62B2D">
      <w:pPr>
        <w:pStyle w:val="NoSpacing"/>
        <w:spacing w:line="360" w:lineRule="auto"/>
        <w:ind w:firstLine="720"/>
        <w:jc w:val="both"/>
        <w:rPr>
          <w:rFonts w:cs="Times New Roman"/>
          <w:szCs w:val="24"/>
        </w:rPr>
      </w:pPr>
      <w:r w:rsidRPr="00D63B51">
        <w:t xml:space="preserve">The responsibility to review filings is ongoing and applies to future filings.  </w:t>
      </w:r>
      <w:r w:rsidRPr="00D63B51">
        <w:rPr>
          <w:rFonts w:cs="Times New Roman"/>
          <w:szCs w:val="24"/>
        </w:rPr>
        <w:t xml:space="preserve">Regularized efforts should be taken early to address such filings promptly after the plaintiffs and defendants have had a reasonable opportunity for further investigation or discovery to collect evidentiary support before significant expenditures have been spent and recoupment of sunk costs becomes a strategic priority.  </w:t>
      </w:r>
    </w:p>
    <w:p w14:paraId="48362FB5" w14:textId="77777777" w:rsidR="00F62B2D" w:rsidRPr="00D63B51" w:rsidRDefault="00F62B2D" w:rsidP="00F62B2D">
      <w:pPr>
        <w:pStyle w:val="NoSpacing"/>
        <w:spacing w:line="360" w:lineRule="auto"/>
        <w:ind w:firstLine="720"/>
        <w:jc w:val="both"/>
      </w:pPr>
      <w:r w:rsidRPr="00D63B51">
        <w:rPr>
          <w:rFonts w:cs="Times New Roman"/>
          <w:szCs w:val="24"/>
        </w:rPr>
        <w:t>Parties should program their selected central-exchange platform to automatically send notices when agreed-upon evidence supporting claims has not been timely submitted.</w:t>
      </w:r>
      <w:r w:rsidRPr="00D63B51">
        <w:t xml:space="preserve"> The notices should be sent to the court as well.</w:t>
      </w:r>
      <w:r w:rsidRPr="00D63B51">
        <w:rPr>
          <w:rStyle w:val="FootnoteReference"/>
        </w:rPr>
        <w:footnoteReference w:id="128"/>
      </w:r>
      <w:r w:rsidRPr="00D63B51">
        <w:t xml:space="preserve"> Detecting and addressing actions filed without an evidentiary basis “is part of the court’s responsibility for securing the system’s effective operation.”</w:t>
      </w:r>
      <w:r w:rsidRPr="00D63B51">
        <w:rPr>
          <w:rStyle w:val="FootnoteReference"/>
        </w:rPr>
        <w:footnoteReference w:id="129"/>
      </w:r>
    </w:p>
    <w:p w14:paraId="61D11FB3" w14:textId="14530FD0" w:rsidR="00F62B2D" w:rsidRPr="00D63B51" w:rsidRDefault="00F62B2D" w:rsidP="00F62B2D">
      <w:pPr>
        <w:ind w:left="720" w:right="720"/>
        <w:jc w:val="both"/>
        <w:rPr>
          <w:rFonts w:cs="Times New Roman"/>
        </w:rPr>
      </w:pPr>
      <w:r w:rsidRPr="00D63B51">
        <w:rPr>
          <w:rFonts w:cs="Times New Roman"/>
          <w:b/>
          <w:bCs/>
        </w:rPr>
        <w:lastRenderedPageBreak/>
        <w:t>Best Practice MDL-§</w:t>
      </w:r>
      <w:r w:rsidR="009D247D" w:rsidRPr="00D63B51">
        <w:rPr>
          <w:rFonts w:cs="Times New Roman"/>
          <w:b/>
          <w:bCs/>
        </w:rPr>
        <w:t xml:space="preserve"> </w:t>
      </w:r>
      <w:r w:rsidRPr="00D63B51">
        <w:rPr>
          <w:rFonts w:cs="Times New Roman"/>
          <w:b/>
          <w:bCs/>
        </w:rPr>
        <w:t xml:space="preserve">8(b)(ii)(A): </w:t>
      </w:r>
      <w:r w:rsidRPr="00D63B51">
        <w:rPr>
          <w:rFonts w:cs="Times New Roman"/>
        </w:rPr>
        <w:t>The court should require defense and plaintiff lead counsel to work together and develop criteria for the minimum evidence required to support an action in a mass-tort MDL.   Permanent No. MDL-§ 15(b)(ii).</w:t>
      </w:r>
    </w:p>
    <w:p w14:paraId="2EB9F3EA" w14:textId="77777777" w:rsidR="00F62B2D" w:rsidRPr="00D63B51" w:rsidRDefault="00F62B2D" w:rsidP="00F62B2D">
      <w:pPr>
        <w:ind w:left="720" w:right="720"/>
        <w:jc w:val="both"/>
        <w:rPr>
          <w:rFonts w:cs="Times New Roman"/>
        </w:rPr>
      </w:pPr>
    </w:p>
    <w:p w14:paraId="2ECF2257" w14:textId="77777777" w:rsidR="00F62B2D" w:rsidRPr="00D63B51" w:rsidRDefault="00F62B2D" w:rsidP="00F62B2D">
      <w:pPr>
        <w:spacing w:line="360" w:lineRule="auto"/>
        <w:ind w:firstLine="720"/>
        <w:jc w:val="both"/>
        <w:rPr>
          <w:rFonts w:cs="Times New Roman"/>
        </w:rPr>
      </w:pPr>
      <w:r w:rsidRPr="00D63B51">
        <w:rPr>
          <w:rFonts w:cs="Times New Roman"/>
        </w:rPr>
        <w:t>It is in the self-interest of both sides and the court to promptly identify and resolve actions that have no evidentiary basis supporting claims in a mass-tort MDL, which generate wasteful litigation, harden the defendant’s and plaintiffs’ opposition, and bog down settlement negotiations.  The parties should agree on criteria that confirms the evidentiary basis of actions, which fix the minimum evidence showing that a pleader is entitled to relief.</w:t>
      </w:r>
      <w:r w:rsidRPr="00D63B51">
        <w:rPr>
          <w:rStyle w:val="FootnoteReference"/>
          <w:rFonts w:cs="Times New Roman"/>
        </w:rPr>
        <w:footnoteReference w:id="130"/>
      </w:r>
      <w:r w:rsidRPr="00D63B51">
        <w:rPr>
          <w:rFonts w:cs="Times New Roman"/>
        </w:rPr>
        <w:t xml:space="preserve">  </w:t>
      </w:r>
    </w:p>
    <w:p w14:paraId="5B651E46" w14:textId="77777777" w:rsidR="00F62B2D" w:rsidRPr="00D63B51" w:rsidRDefault="00F62B2D" w:rsidP="00F62B2D">
      <w:pPr>
        <w:pStyle w:val="NoSpacing"/>
        <w:spacing w:line="360" w:lineRule="auto"/>
        <w:ind w:firstLine="720"/>
        <w:jc w:val="both"/>
        <w:rPr>
          <w:rFonts w:cs="Times New Roman"/>
          <w:szCs w:val="24"/>
        </w:rPr>
      </w:pPr>
      <w:r w:rsidRPr="00D63B51">
        <w:t xml:space="preserve">The evidence supporting an action typically responds to two or three questions and are attached to a profile form or fact sheet, and </w:t>
      </w:r>
      <w:r w:rsidRPr="00D63B51">
        <w:rPr>
          <w:rFonts w:cs="Times New Roman"/>
          <w:szCs w:val="24"/>
        </w:rPr>
        <w:t xml:space="preserve">have required not only product identification, but also minimum evidentiary documentation of exposure or product use and injury, </w:t>
      </w:r>
      <w:r w:rsidRPr="00D63B51">
        <w:rPr>
          <w:rFonts w:cs="Times New Roman"/>
          <w:i/>
          <w:iCs/>
          <w:szCs w:val="24"/>
        </w:rPr>
        <w:t>e.g.,</w:t>
      </w:r>
      <w:r w:rsidRPr="00D63B51">
        <w:rPr>
          <w:rFonts w:cs="Times New Roman"/>
          <w:szCs w:val="24"/>
        </w:rPr>
        <w:t xml:space="preserve"> evidence of a prescription or receipt of a product purchase found in pharmacy records, or a medical diagnosis or other medical records of alleged injury, a prescribing physician’s records or, in the case of medical devices, in the hospital chart for the implantation surgery. A plaintiff cannot proceed with a case without this information.  Evidence of causation usually comes later in the form of expert reports.</w:t>
      </w:r>
      <w:r w:rsidRPr="00D63B51">
        <w:rPr>
          <w:rStyle w:val="FootnoteReference"/>
          <w:rFonts w:cs="Times New Roman"/>
          <w:szCs w:val="24"/>
        </w:rPr>
        <w:footnoteReference w:id="131"/>
      </w:r>
      <w:r w:rsidRPr="00D63B51">
        <w:rPr>
          <w:rFonts w:cs="Times New Roman"/>
          <w:szCs w:val="24"/>
        </w:rPr>
        <w:t xml:space="preserve">   </w:t>
      </w:r>
    </w:p>
    <w:p w14:paraId="514745E2" w14:textId="77777777" w:rsidR="00F62B2D" w:rsidRPr="00D63B51" w:rsidRDefault="00F62B2D" w:rsidP="00F62B2D">
      <w:pPr>
        <w:pStyle w:val="ListParagraph"/>
        <w:ind w:right="720"/>
        <w:jc w:val="both"/>
        <w:rPr>
          <w:rFonts w:cs="Times New Roman"/>
        </w:rPr>
      </w:pPr>
      <w:r w:rsidRPr="00D63B51">
        <w:rPr>
          <w:rFonts w:cs="Times New Roman"/>
          <w:b/>
          <w:bCs/>
        </w:rPr>
        <w:t>Best Practice MDL-§ 8(b)(ii)(B):</w:t>
      </w:r>
      <w:r w:rsidRPr="00D63B51">
        <w:rPr>
          <w:rFonts w:cs="Times New Roman"/>
        </w:rPr>
        <w:t xml:space="preserve"> The parties should agree on a reasonable time for a plaintiff to conduct an investigation or discovery to confirm and submit evidence supporting every action in a mass-tort MDL, if not otherwise submitted at filing.  </w:t>
      </w:r>
      <w:bookmarkStart w:id="26" w:name="_Hlk169800907"/>
      <w:r w:rsidRPr="00D63B51">
        <w:rPr>
          <w:rFonts w:cs="Times New Roman"/>
        </w:rPr>
        <w:t>Permanent No. MDL-§ 15(b)(iii).</w:t>
      </w:r>
      <w:bookmarkEnd w:id="26"/>
    </w:p>
    <w:p w14:paraId="3650E2DE" w14:textId="77777777" w:rsidR="00F62B2D" w:rsidRPr="00D63B51" w:rsidRDefault="00F62B2D" w:rsidP="00F62B2D">
      <w:pPr>
        <w:pStyle w:val="ListParagraph"/>
        <w:ind w:right="720"/>
        <w:jc w:val="both"/>
        <w:rPr>
          <w:rFonts w:cs="Times New Roman"/>
          <w:b/>
          <w:bCs/>
        </w:rPr>
      </w:pPr>
    </w:p>
    <w:p w14:paraId="581C2A7A" w14:textId="77777777" w:rsidR="00F62B2D" w:rsidRPr="00D63B51" w:rsidRDefault="00F62B2D" w:rsidP="00F62B2D">
      <w:pPr>
        <w:spacing w:line="360" w:lineRule="auto"/>
        <w:ind w:firstLine="720"/>
        <w:jc w:val="both"/>
        <w:rPr>
          <w:rFonts w:cs="Times New Roman"/>
        </w:rPr>
      </w:pPr>
      <w:r w:rsidRPr="00D63B51">
        <w:rPr>
          <w:rFonts w:cs="Times New Roman"/>
        </w:rPr>
        <w:t>Transferee courts in mass-tort MDLs usually direct the parties to submit profile forms or fact sheets within 30-60 days from filing the action or transfer and outline a process and procedure to resolve any alleged deficiencies.</w:t>
      </w:r>
      <w:r w:rsidRPr="00D63B51">
        <w:rPr>
          <w:rStyle w:val="FootnoteReference"/>
          <w:rFonts w:cs="Times New Roman"/>
        </w:rPr>
        <w:footnoteReference w:id="132"/>
      </w:r>
      <w:r w:rsidRPr="00D63B51">
        <w:rPr>
          <w:rFonts w:cs="Times New Roman"/>
        </w:rPr>
        <w:t xml:space="preserve"> Some courts have deferred submission of fact sheets until a dispositive motion has been resolved. The court must weigh the benefits in possibly saving the time and expense in completing the facts sheets with the delay incurred if the dispositive motion is denied.  </w:t>
      </w:r>
    </w:p>
    <w:p w14:paraId="4B965D44" w14:textId="77777777" w:rsidR="00F62B2D" w:rsidRPr="00D63B51" w:rsidRDefault="00F62B2D" w:rsidP="00F62B2D">
      <w:pPr>
        <w:pStyle w:val="NoSpacing"/>
        <w:spacing w:line="360" w:lineRule="auto"/>
        <w:ind w:firstLine="720"/>
        <w:jc w:val="both"/>
      </w:pPr>
      <w:r w:rsidRPr="00D63B51">
        <w:lastRenderedPageBreak/>
        <w:t>Some courts have accelerated the process, providing the plaintiff 30 days after filing the complaint or transfer to complete an abbreviated profile form with medical records, requiring plaintiff to respond within 21 days to defendant’s deficiency notice submitted through a central-exchange platform, ruling on a deficiency at the court’s next case-management conference, and providing the defendant with an opportunity to apply for their reasonable attorney’s fees and expenses incurred in seeking dismissal.</w:t>
      </w:r>
      <w:r w:rsidRPr="00D63B51">
        <w:rPr>
          <w:rStyle w:val="FootnoteReference"/>
        </w:rPr>
        <w:footnoteReference w:id="133"/>
      </w:r>
      <w:r w:rsidRPr="00D63B51">
        <w:t xml:space="preserve">  Similar provisions apply to incomplete profile forms or fact sheets submitted by the defendant. The expense of collecting the additional information should be compensated through the common-benefit fund. </w:t>
      </w:r>
    </w:p>
    <w:p w14:paraId="6284D676" w14:textId="77777777" w:rsidR="00F62B2D" w:rsidRPr="00D63B51" w:rsidRDefault="00F62B2D" w:rsidP="00F62B2D">
      <w:pPr>
        <w:spacing w:line="360" w:lineRule="auto"/>
        <w:ind w:firstLine="720"/>
        <w:jc w:val="both"/>
        <w:rPr>
          <w:rFonts w:cs="Times New Roman"/>
        </w:rPr>
      </w:pPr>
      <w:r w:rsidRPr="00D63B51">
        <w:rPr>
          <w:rFonts w:cs="Times New Roman"/>
        </w:rPr>
        <w:t>As a practical matter, plaintiff law firms often require substantial time in mass-tort MDLs to properly vet hundreds or thousands of actions and gather evidentiary support for every action.</w:t>
      </w:r>
      <w:r w:rsidRPr="00D63B51">
        <w:rPr>
          <w:rStyle w:val="FootnoteReference"/>
          <w:rFonts w:cs="Times New Roman"/>
        </w:rPr>
        <w:footnoteReference w:id="134"/>
      </w:r>
      <w:r w:rsidRPr="00D63B51">
        <w:rPr>
          <w:rFonts w:cs="Times New Roman"/>
        </w:rPr>
        <w:t xml:space="preserve">  Rule 11 anticipates the need for adequate time to conduct reasonable post-filing investigation or discovery to</w:t>
      </w:r>
      <w:r w:rsidRPr="00D63B51">
        <w:rPr>
          <w:rFonts w:eastAsia="Times New Roman" w:cs="Times New Roman"/>
          <w:spacing w:val="-1"/>
        </w:rPr>
        <w:t xml:space="preserve"> </w:t>
      </w:r>
      <w:r w:rsidRPr="00D63B51">
        <w:rPr>
          <w:rFonts w:eastAsia="Times New Roman" w:cs="Times New Roman"/>
        </w:rPr>
        <w:t>verify</w:t>
      </w:r>
      <w:r w:rsidRPr="00D63B51">
        <w:rPr>
          <w:rFonts w:eastAsia="Times New Roman" w:cs="Times New Roman"/>
          <w:spacing w:val="-3"/>
        </w:rPr>
        <w:t xml:space="preserve"> </w:t>
      </w:r>
      <w:r w:rsidRPr="00D63B51">
        <w:rPr>
          <w:rFonts w:eastAsia="Times New Roman" w:cs="Times New Roman"/>
        </w:rPr>
        <w:t>specific</w:t>
      </w:r>
      <w:r w:rsidRPr="00D63B51">
        <w:rPr>
          <w:rFonts w:eastAsia="Times New Roman" w:cs="Times New Roman"/>
          <w:spacing w:val="-2"/>
        </w:rPr>
        <w:t xml:space="preserve"> </w:t>
      </w:r>
      <w:r w:rsidRPr="00D63B51">
        <w:rPr>
          <w:rFonts w:eastAsia="Times New Roman" w:cs="Times New Roman"/>
        </w:rPr>
        <w:t>product</w:t>
      </w:r>
      <w:r w:rsidRPr="00D63B51">
        <w:rPr>
          <w:rFonts w:eastAsia="Times New Roman" w:cs="Times New Roman"/>
          <w:spacing w:val="-3"/>
        </w:rPr>
        <w:t xml:space="preserve"> </w:t>
      </w:r>
      <w:r w:rsidRPr="00D63B51">
        <w:rPr>
          <w:rFonts w:eastAsia="Times New Roman" w:cs="Times New Roman"/>
        </w:rPr>
        <w:t>use,</w:t>
      </w:r>
      <w:r w:rsidRPr="00D63B51">
        <w:rPr>
          <w:rFonts w:eastAsia="Times New Roman" w:cs="Times New Roman"/>
          <w:spacing w:val="-3"/>
        </w:rPr>
        <w:t xml:space="preserve"> </w:t>
      </w:r>
      <w:r w:rsidRPr="00D63B51">
        <w:rPr>
          <w:rFonts w:eastAsia="Times New Roman" w:cs="Times New Roman"/>
        </w:rPr>
        <w:t>exposure,</w:t>
      </w:r>
      <w:r w:rsidRPr="00D63B51">
        <w:rPr>
          <w:rFonts w:eastAsia="Times New Roman" w:cs="Times New Roman"/>
          <w:spacing w:val="-3"/>
        </w:rPr>
        <w:t xml:space="preserve"> </w:t>
      </w:r>
      <w:r w:rsidRPr="00D63B51">
        <w:rPr>
          <w:rFonts w:eastAsia="Times New Roman" w:cs="Times New Roman"/>
        </w:rPr>
        <w:t>or</w:t>
      </w:r>
      <w:r w:rsidRPr="00D63B51">
        <w:rPr>
          <w:rFonts w:eastAsia="Times New Roman" w:cs="Times New Roman"/>
          <w:spacing w:val="-2"/>
        </w:rPr>
        <w:t xml:space="preserve"> </w:t>
      </w:r>
      <w:r w:rsidRPr="00D63B51">
        <w:rPr>
          <w:rFonts w:eastAsia="Times New Roman" w:cs="Times New Roman"/>
        </w:rPr>
        <w:t>implantation;</w:t>
      </w:r>
      <w:r w:rsidRPr="00D63B51">
        <w:rPr>
          <w:rFonts w:eastAsia="Times New Roman" w:cs="Times New Roman"/>
          <w:spacing w:val="-3"/>
        </w:rPr>
        <w:t xml:space="preserve"> </w:t>
      </w:r>
      <w:r w:rsidRPr="00D63B51">
        <w:rPr>
          <w:rFonts w:eastAsia="Times New Roman" w:cs="Times New Roman"/>
        </w:rPr>
        <w:t>to</w:t>
      </w:r>
      <w:r w:rsidRPr="00D63B51">
        <w:rPr>
          <w:rFonts w:eastAsia="Times New Roman" w:cs="Times New Roman"/>
          <w:spacing w:val="-3"/>
        </w:rPr>
        <w:t xml:space="preserve"> </w:t>
      </w:r>
      <w:r w:rsidRPr="00D63B51">
        <w:rPr>
          <w:rFonts w:eastAsia="Times New Roman" w:cs="Times New Roman"/>
        </w:rPr>
        <w:t>obtain</w:t>
      </w:r>
      <w:r w:rsidRPr="00D63B51">
        <w:rPr>
          <w:rFonts w:eastAsia="Times New Roman" w:cs="Times New Roman"/>
          <w:spacing w:val="-3"/>
        </w:rPr>
        <w:t xml:space="preserve"> </w:t>
      </w:r>
      <w:r w:rsidRPr="00D63B51">
        <w:rPr>
          <w:rFonts w:eastAsia="Times New Roman" w:cs="Times New Roman"/>
        </w:rPr>
        <w:t>official medical records, or locate other documentation to confirm medical diagnosis and treatment; or sometimes to find a client who may have moved, changed phone numbers, or even passed away.</w:t>
      </w:r>
      <w:r w:rsidRPr="00D63B51">
        <w:rPr>
          <w:rStyle w:val="FootnoteReference"/>
          <w:rFonts w:eastAsia="Times New Roman" w:cs="Times New Roman"/>
        </w:rPr>
        <w:footnoteReference w:id="135"/>
      </w:r>
    </w:p>
    <w:p w14:paraId="1D246820"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 xml:space="preserve">Plaintiff and defendant leadership should recommend a realistic timetable for litigants “to gather and confirm the evidentiary basis for their allegations,” for actions that do not have an evidentiary basis supporting their claims at filing. The times will vary depending on the difficulty in finding the evidence and type of mass-tort MDL, </w:t>
      </w:r>
      <w:r w:rsidRPr="00D63B51">
        <w:rPr>
          <w:rFonts w:cs="Times New Roman"/>
          <w:i/>
          <w:iCs/>
          <w:szCs w:val="24"/>
        </w:rPr>
        <w:t>e.g</w:t>
      </w:r>
      <w:r w:rsidRPr="00D63B51">
        <w:rPr>
          <w:rFonts w:cs="Times New Roman"/>
          <w:szCs w:val="24"/>
        </w:rPr>
        <w:t xml:space="preserve">., pharmaceutical, medical device, over-the-counter medications, and should take into account the large number of filings that may temporarily overwhelm the resources of a law firm.  The timetable should account for any delays caused by the defendant in responding to requests for essential evidence in its possession, or information necessary to locate such evidence. </w:t>
      </w:r>
    </w:p>
    <w:p w14:paraId="18BB65C0"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lastRenderedPageBreak/>
        <w:t xml:space="preserve">The length of time may be adjusted to provide more time during the first years than later years for tag-along actions filed years later when the investigations or discovery become more routine. </w:t>
      </w:r>
    </w:p>
    <w:p w14:paraId="683B2D39"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The central-exchange platform should be programmed to automatically alert parties and the court of filings that fail to submit evidence supporting the claims after expiration of the agreed-upon reasonable time.</w:t>
      </w:r>
      <w:r w:rsidRPr="00D63B51">
        <w:rPr>
          <w:rStyle w:val="FootnoteReference"/>
          <w:rFonts w:cs="Times New Roman"/>
          <w:szCs w:val="24"/>
        </w:rPr>
        <w:footnoteReference w:id="136"/>
      </w:r>
    </w:p>
    <w:p w14:paraId="4142BF92" w14:textId="77777777" w:rsidR="00F62B2D" w:rsidRPr="00D63B51" w:rsidRDefault="00F62B2D" w:rsidP="00F62B2D">
      <w:pPr>
        <w:shd w:val="clear" w:color="auto" w:fill="FFFFFF"/>
        <w:spacing w:before="100" w:beforeAutospacing="1"/>
        <w:ind w:left="720" w:right="720"/>
        <w:jc w:val="both"/>
        <w:rPr>
          <w:rFonts w:cs="Times New Roman"/>
        </w:rPr>
      </w:pPr>
      <w:r w:rsidRPr="00D63B51">
        <w:rPr>
          <w:rFonts w:cs="Times New Roman"/>
          <w:b/>
          <w:bCs/>
        </w:rPr>
        <w:t>Best Practice MDL-§ 8(b)(ii)(C):</w:t>
      </w:r>
      <w:r w:rsidRPr="00D63B51">
        <w:rPr>
          <w:rFonts w:cs="Times New Roman"/>
        </w:rPr>
        <w:t xml:space="preserve"> The parties should recommend a process that confirms the evidentiary bases of actions, including procedures that clearly address failures to find and transmit the minimum evidence within the agreed-upon time.  Permanent No. MDL-§ 15 (b)(iv).</w:t>
      </w:r>
    </w:p>
    <w:p w14:paraId="38BC120A" w14:textId="77777777" w:rsidR="00F62B2D" w:rsidRPr="00D63B51" w:rsidRDefault="00F62B2D" w:rsidP="00F62B2D">
      <w:pPr>
        <w:spacing w:line="360" w:lineRule="auto"/>
        <w:ind w:firstLine="720"/>
        <w:jc w:val="both"/>
        <w:rPr>
          <w:rFonts w:cs="Times New Roman"/>
        </w:rPr>
      </w:pPr>
    </w:p>
    <w:p w14:paraId="220CE6D9" w14:textId="77777777" w:rsidR="00F62B2D" w:rsidRPr="00D63B51" w:rsidRDefault="00F62B2D" w:rsidP="00F62B2D">
      <w:pPr>
        <w:pStyle w:val="NoSpacing"/>
        <w:spacing w:line="360" w:lineRule="auto"/>
        <w:ind w:firstLine="720"/>
        <w:jc w:val="both"/>
      </w:pPr>
      <w:r w:rsidRPr="00D63B51">
        <w:t xml:space="preserve">The process recommended by the parties to confirm the evidentiary basis of actions should be limited exclusively to addressing the failure to find and transmit the minimum evidence. Alleged deficiencies in completing the profile forms or fact sheets regarding other matters should not be considered part of this process, which the parties and court should address separately.  </w:t>
      </w:r>
    </w:p>
    <w:p w14:paraId="6400C4CF" w14:textId="77777777" w:rsidR="00F62B2D" w:rsidRPr="00D63B51" w:rsidRDefault="00F62B2D" w:rsidP="00F62B2D">
      <w:pPr>
        <w:pStyle w:val="NoSpacing"/>
        <w:spacing w:line="360" w:lineRule="auto"/>
        <w:ind w:firstLine="720"/>
        <w:jc w:val="both"/>
      </w:pPr>
      <w:r w:rsidRPr="00D63B51">
        <w:t>To mitigate the potential for disputes about actions without any evidentiary basis supporting their claims, the defendant should first consider “informally” advising the plaintiff leadership of problematic filings, especially highlighting multiple actions filed by a single law firm without submitting evidence supporting their claims. Instead of going directly to the court for a ruling following a notice of deficiency from the central-exchange platform, the parties may also consider designating a neutral to resolve any disputes and recommend disposition to both plaintiff and defense leadership.  Plaintiffs’ leadership is also in a good position to recognize whether individual filed actions are questionable and raise with the court those filings that may not have adequate evidentiary support at appropriate times, especially if the questionable filings are made by a single or a few law firms.</w:t>
      </w:r>
      <w:r w:rsidRPr="00D63B51">
        <w:rPr>
          <w:rStyle w:val="FootnoteReference"/>
        </w:rPr>
        <w:footnoteReference w:id="137"/>
      </w:r>
      <w:r w:rsidRPr="00D63B51">
        <w:t xml:space="preserve">  Plaintiffs’ leadership should consider informing the court of such cases either on their own or suggest to the court that it assign them to do it.  </w:t>
      </w:r>
    </w:p>
    <w:p w14:paraId="0C8B18F6"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lastRenderedPageBreak/>
        <w:t xml:space="preserve">Upon notification by the central-exchange platform that the deadline to submit evidence supporting an action has expired, the defendants may send a one-time communication through the central-exchange platform stating their intent to seek dismissal unless the evidence is timely submitted.  If neither evidence nor an explanation is timely submitted, </w:t>
      </w:r>
      <w:bookmarkStart w:id="27" w:name="_Hlk174272889"/>
      <w:r w:rsidRPr="00D63B51">
        <w:rPr>
          <w:rFonts w:cs="Times New Roman"/>
          <w:szCs w:val="24"/>
        </w:rPr>
        <w:t xml:space="preserve">the defendant may request the court to dismiss the action </w:t>
      </w:r>
      <w:bookmarkEnd w:id="27"/>
      <w:r w:rsidRPr="00D63B51">
        <w:rPr>
          <w:rFonts w:cs="Times New Roman"/>
          <w:szCs w:val="24"/>
        </w:rPr>
        <w:t xml:space="preserve">for the failure to prosecute or failure to comply with the court order. </w:t>
      </w:r>
      <w:bookmarkStart w:id="28" w:name="_Hlk174258110"/>
      <w:r w:rsidRPr="00D63B51">
        <w:rPr>
          <w:rFonts w:cs="Times New Roman"/>
          <w:szCs w:val="24"/>
        </w:rPr>
        <w:t>Courts address such requests for dismissals of individual actions at regularly scheduled case-management conference</w:t>
      </w:r>
      <w:bookmarkEnd w:id="28"/>
      <w:r w:rsidRPr="00D63B51">
        <w:rPr>
          <w:rFonts w:cs="Times New Roman"/>
          <w:szCs w:val="24"/>
        </w:rPr>
        <w:t xml:space="preserve">s to systematize their consideration on an ongoing basis that otherwise might go neglected.   </w:t>
      </w:r>
    </w:p>
    <w:p w14:paraId="4F494E16" w14:textId="6B006BEE"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 xml:space="preserve">If an explanation is provided but is not satisfactory, the defendant may request the court to take appropriate action, which may include: (i) providing additional time to find evidence supporting the claims; (ii) dismissing the action for failing to comply with a court order or failing to prosecute under </w:t>
      </w:r>
      <w:r w:rsidR="009C473E" w:rsidRPr="00D63B51">
        <w:rPr>
          <w:rFonts w:cs="Times New Roman"/>
          <w:szCs w:val="24"/>
        </w:rPr>
        <w:t>FED. R. CIV. P.</w:t>
      </w:r>
      <w:r w:rsidRPr="00D63B51">
        <w:rPr>
          <w:rFonts w:cs="Times New Roman"/>
          <w:szCs w:val="24"/>
        </w:rPr>
        <w:t xml:space="preserve"> 41; or (iii) sanctioning a party under </w:t>
      </w:r>
      <w:r w:rsidR="009C473E" w:rsidRPr="00D63B51">
        <w:rPr>
          <w:rFonts w:cs="Times New Roman"/>
          <w:szCs w:val="24"/>
        </w:rPr>
        <w:t>FED. R. CIV. P.</w:t>
      </w:r>
      <w:r w:rsidRPr="00D63B51">
        <w:rPr>
          <w:rFonts w:cs="Times New Roman"/>
          <w:szCs w:val="24"/>
        </w:rPr>
        <w:t xml:space="preserve"> 37, if the court treated facts sheets and profile forms as discovery. As part of the vetting process, serial deficiencies attributed to a single law firm should be highlighted, which can be raised to the court’s attention and addressed by Rule 11 sanctions.</w:t>
      </w:r>
      <w:r w:rsidRPr="00D63B51">
        <w:rPr>
          <w:rStyle w:val="FootnoteReference"/>
          <w:rFonts w:cs="Times New Roman"/>
          <w:szCs w:val="24"/>
        </w:rPr>
        <w:footnoteReference w:id="138"/>
      </w:r>
    </w:p>
    <w:p w14:paraId="4A458F16" w14:textId="77777777" w:rsidR="00F62B2D" w:rsidRPr="00D63B51" w:rsidRDefault="00F62B2D" w:rsidP="00F62B2D">
      <w:pPr>
        <w:ind w:left="720" w:right="720"/>
        <w:jc w:val="both"/>
        <w:rPr>
          <w:rFonts w:cs="Times New Roman"/>
        </w:rPr>
      </w:pPr>
      <w:r w:rsidRPr="00D63B51">
        <w:rPr>
          <w:rFonts w:cs="Times New Roman"/>
          <w:b/>
          <w:bCs/>
        </w:rPr>
        <w:t xml:space="preserve">Best Practice MDL-§ 8(b)(ii)(D):   </w:t>
      </w:r>
      <w:r w:rsidRPr="00D63B51">
        <w:rPr>
          <w:rFonts w:cs="Times New Roman"/>
        </w:rPr>
        <w:t xml:space="preserve">The defendant should not persist in denials of factual contentions, which were initially denied on information or belief but were found after further investigation or discovery to be unwarranted. Permanent No. MDL-§ 15(b)(v). </w:t>
      </w:r>
    </w:p>
    <w:p w14:paraId="698F2AD0" w14:textId="77777777" w:rsidR="00F62B2D" w:rsidRPr="00D63B51" w:rsidRDefault="00F62B2D" w:rsidP="00F62B2D">
      <w:pPr>
        <w:ind w:left="720" w:right="720"/>
        <w:jc w:val="both"/>
        <w:rPr>
          <w:rFonts w:cs="Times New Roman"/>
        </w:rPr>
      </w:pPr>
    </w:p>
    <w:p w14:paraId="346A5603" w14:textId="77777777" w:rsidR="00F62B2D" w:rsidRPr="00D63B51" w:rsidRDefault="00F62B2D" w:rsidP="00F62B2D">
      <w:pPr>
        <w:spacing w:line="360" w:lineRule="auto"/>
        <w:ind w:firstLine="720"/>
        <w:jc w:val="both"/>
        <w:rPr>
          <w:rFonts w:cs="Times New Roman"/>
        </w:rPr>
      </w:pPr>
      <w:r w:rsidRPr="00D63B51">
        <w:rPr>
          <w:rFonts w:cs="Times New Roman"/>
        </w:rPr>
        <w:t xml:space="preserve">A balanced process should ensure that defendants comply with comparable obligations to cease persisting in denying significant factual case-dispositive allegations that involve many individual actions when they learn otherwise, </w:t>
      </w:r>
      <w:r w:rsidRPr="00D63B51">
        <w:rPr>
          <w:rFonts w:cs="Times New Roman"/>
          <w:i/>
          <w:iCs/>
        </w:rPr>
        <w:t>e.g</w:t>
      </w:r>
      <w:r w:rsidRPr="00D63B51">
        <w:rPr>
          <w:rFonts w:cs="Times New Roman"/>
        </w:rPr>
        <w:t xml:space="preserve">., abandoning statute of limitations arguments, if appropriate.    </w:t>
      </w:r>
    </w:p>
    <w:p w14:paraId="6E7292DE" w14:textId="77777777" w:rsidR="00F62B2D" w:rsidRPr="00D63B51" w:rsidRDefault="00F62B2D" w:rsidP="00F62B2D">
      <w:pPr>
        <w:spacing w:line="360" w:lineRule="auto"/>
        <w:ind w:firstLine="720"/>
        <w:jc w:val="both"/>
        <w:rPr>
          <w:rFonts w:cs="Times New Roman"/>
        </w:rPr>
      </w:pPr>
      <w:r w:rsidRPr="00D63B51">
        <w:rPr>
          <w:rFonts w:cs="Times New Roman"/>
        </w:rPr>
        <w:t xml:space="preserve">Rule 11(b)(4) allows a defendant to deny a factual contention on a belief formed after reasonable inquiry even if the denial may not be warranted, but only “if specifically so identified, are reasonably based on belief or a lack of information.”  The 1993 amendments to Rule 11 were intended to serve to “equalize the burden of the rule upon plaintiffs and defendants, who under Rule 8(b) are in effect allowed to deny allegations by stating that from their initial investigation </w:t>
      </w:r>
      <w:r w:rsidRPr="00D63B51">
        <w:rPr>
          <w:rFonts w:cs="Times New Roman"/>
        </w:rPr>
        <w:lastRenderedPageBreak/>
        <w:t>they lack sufficient information to form a belief as to the truth of the allegation.</w:t>
      </w:r>
      <w:r w:rsidRPr="00D63B51">
        <w:rPr>
          <w:rStyle w:val="FootnoteReference"/>
          <w:rFonts w:cs="Times New Roman"/>
        </w:rPr>
        <w:footnoteReference w:id="139"/>
      </w:r>
      <w:r w:rsidRPr="00D63B51">
        <w:rPr>
          <w:rFonts w:cs="Times New Roman"/>
        </w:rPr>
        <w:t xml:space="preserve"> If, after further investigation or discovery, a denial is no longer warranted, the defendant should not persist insisting on that denial.”</w:t>
      </w:r>
      <w:r w:rsidRPr="00D63B51">
        <w:rPr>
          <w:rStyle w:val="FootnoteReference"/>
          <w:rFonts w:cs="Times New Roman"/>
        </w:rPr>
        <w:footnoteReference w:id="140"/>
      </w:r>
      <w:r w:rsidRPr="00D63B51">
        <w:rPr>
          <w:rFonts w:cs="Times New Roman"/>
        </w:rPr>
        <w:t xml:space="preserve"> </w:t>
      </w:r>
    </w:p>
    <w:p w14:paraId="3C79506D" w14:textId="77777777" w:rsidR="00F62B2D" w:rsidRPr="00D63B51" w:rsidRDefault="00F62B2D" w:rsidP="00F62B2D">
      <w:pPr>
        <w:spacing w:line="360" w:lineRule="auto"/>
        <w:ind w:firstLine="720"/>
        <w:jc w:val="both"/>
        <w:rPr>
          <w:rFonts w:cs="Times New Roman"/>
        </w:rPr>
      </w:pPr>
      <w:r w:rsidRPr="00D63B51">
        <w:rPr>
          <w:rFonts w:cs="Times New Roman"/>
        </w:rPr>
        <w:t>In a mass-tort MDL, a defendant typically denies hundreds of factual allegations in its answer to the master complaint. The rule makes clear that simply because the defendant has no contradictory evidence or reasonably doubts the credibility of the only evidence relevant to the matter it need not admit that an allegation is true.</w:t>
      </w:r>
      <w:r w:rsidRPr="00D63B51">
        <w:rPr>
          <w:rStyle w:val="FootnoteReference"/>
          <w:rFonts w:cs="Times New Roman"/>
        </w:rPr>
        <w:footnoteReference w:id="141"/>
      </w:r>
      <w:r w:rsidRPr="00D63B51">
        <w:rPr>
          <w:rFonts w:cs="Times New Roman"/>
        </w:rPr>
        <w:t xml:space="preserve"> But if the defendant learns after further investigation or discovery that the denial of the factual contention is no longer warranted, it must cease advocating that position.</w:t>
      </w:r>
    </w:p>
    <w:p w14:paraId="150F3027" w14:textId="77777777" w:rsidR="00F62B2D" w:rsidRPr="00D63B51" w:rsidRDefault="00F62B2D" w:rsidP="00F62B2D">
      <w:pPr>
        <w:shd w:val="clear" w:color="auto" w:fill="FFFFFF"/>
        <w:ind w:left="720" w:right="720"/>
        <w:jc w:val="both"/>
        <w:rPr>
          <w:rFonts w:cs="Times New Roman"/>
        </w:rPr>
      </w:pPr>
      <w:r w:rsidRPr="00D63B51">
        <w:rPr>
          <w:rFonts w:cs="Times New Roman"/>
          <w:b/>
          <w:bCs/>
        </w:rPr>
        <w:t xml:space="preserve">Best Practice MDL-§ 8(b)(ii)(E): </w:t>
      </w:r>
      <w:r w:rsidRPr="00D63B51">
        <w:rPr>
          <w:rFonts w:cs="Times New Roman"/>
        </w:rPr>
        <w:t>A judge should deter so-called “aggregators” from filing multiple actions in a mass-tort MDL absent reasonable prefiling inquiries or failing to dismiss actions after reasonable investigation or discovery that have no evidentiary basis supporting the claims.  Permanent No. MDL-§ 15 (b)(vi).</w:t>
      </w:r>
    </w:p>
    <w:p w14:paraId="02B717BF" w14:textId="77777777" w:rsidR="00F62B2D" w:rsidRPr="00D63B51" w:rsidRDefault="00F62B2D" w:rsidP="00F62B2D">
      <w:pPr>
        <w:shd w:val="clear" w:color="auto" w:fill="FFFFFF"/>
        <w:ind w:left="720" w:right="720"/>
        <w:jc w:val="both"/>
        <w:rPr>
          <w:rFonts w:cs="Times New Roman"/>
        </w:rPr>
      </w:pPr>
    </w:p>
    <w:p w14:paraId="4516AA1E" w14:textId="77777777" w:rsidR="00F62B2D" w:rsidRPr="00D63B51" w:rsidRDefault="00F62B2D" w:rsidP="00F62B2D">
      <w:pPr>
        <w:spacing w:line="360" w:lineRule="auto"/>
        <w:ind w:firstLine="720"/>
        <w:jc w:val="both"/>
        <w:rPr>
          <w:rFonts w:eastAsia="Times New Roman" w:cs="Times New Roman"/>
          <w:color w:val="222222"/>
        </w:rPr>
      </w:pPr>
      <w:r w:rsidRPr="00D63B51">
        <w:rPr>
          <w:rFonts w:cs="Times New Roman"/>
        </w:rPr>
        <w:t>“The detection and punishment of a violation of the signing requirement, encouraged by the amended rule (Fed.  R. Civ. P. 11(b)(3)), is part of the court’s responsibility for securing  the system’s effective operation.”</w:t>
      </w:r>
      <w:r w:rsidRPr="00D63B51">
        <w:rPr>
          <w:rStyle w:val="FootnoteReference"/>
          <w:rFonts w:cs="Times New Roman"/>
        </w:rPr>
        <w:footnoteReference w:id="142"/>
      </w:r>
      <w:r w:rsidRPr="00D63B51">
        <w:rPr>
          <w:rFonts w:cs="Times New Roman"/>
        </w:rPr>
        <w:t xml:space="preserve">  A court’s vigilant supervision from the start of the MDL of multiple actions filed by aggregators, which are flagged by the central-exchange platform as not having evidence supporting the claims, can help the court control the litigation, whose number of actions may appear to be manageable during the first years of litigation but later can explode, especially before the expiration of applicable statute of limitations.</w:t>
      </w:r>
      <w:r w:rsidRPr="00D63B51">
        <w:rPr>
          <w:rStyle w:val="FootnoteReference"/>
          <w:rFonts w:cs="Times New Roman"/>
        </w:rPr>
        <w:footnoteReference w:id="143"/>
      </w:r>
      <w:r w:rsidRPr="00D63B51">
        <w:rPr>
          <w:rFonts w:cs="Times New Roman"/>
        </w:rPr>
        <w:t xml:space="preserve"> </w:t>
      </w:r>
      <w:r w:rsidRPr="00D63B51">
        <w:rPr>
          <w:rFonts w:eastAsia="Times New Roman" w:cs="Times New Roman"/>
          <w:color w:val="222222"/>
        </w:rPr>
        <w:t xml:space="preserve">And while some courts strive to evaluate questionable claims as early as possible, the parties are devoting most of their resources on general-causation issues, which can make-or-break the case, at the beginning of a mass-tort </w:t>
      </w:r>
      <w:r w:rsidRPr="00D63B51">
        <w:rPr>
          <w:rFonts w:eastAsia="Times New Roman" w:cs="Times New Roman"/>
          <w:color w:val="222222"/>
        </w:rPr>
        <w:lastRenderedPageBreak/>
        <w:t xml:space="preserve">MDL, leaving little time and resources to evaluate and prosecute individual actions that have no evidentiary basis.   </w:t>
      </w:r>
    </w:p>
    <w:p w14:paraId="11890F6E"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Rule 16.1(b)(3)(B) recognizes that “concerns have been raised on both the plaintiff side and defense side [as well as transferee judges] that some of the claims and defenses have been asserted [in fact sheets and in other exchanges of information about the factual basis of the case] without the inquiry called for by Rule 11(b).”</w:t>
      </w:r>
      <w:r w:rsidRPr="00D63B51">
        <w:rPr>
          <w:rStyle w:val="FootnoteReference"/>
          <w:rFonts w:cs="Times New Roman"/>
          <w:szCs w:val="24"/>
        </w:rPr>
        <w:footnoteReference w:id="144"/>
      </w:r>
      <w:r w:rsidRPr="00D63B51">
        <w:rPr>
          <w:rFonts w:cs="Times New Roman"/>
          <w:szCs w:val="24"/>
        </w:rPr>
        <w:t xml:space="preserve">  The problem is not so much a few outlier actions, but instead involves hundreds or thousands of actions in individual mass-tort MDLs, the bulk of which are filed by one or a few law firms. The court should be alert to so-called “aggregators” who file multiple actions absent “reasonable prefiling inquiries” and who persist in maintaining unsupported actions after the time for reasonable “post-filing investigation or discovery” has expired. </w:t>
      </w:r>
    </w:p>
    <w:p w14:paraId="5221A0DD" w14:textId="5C3DB242"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 xml:space="preserve">In a one-off non-MDL case, dismissing a case with prejudice for failure to prosecute is one of the severest penalties a court can impose.  Not surprisingly, most judges bend over backwards holding multiple hearings and entertaining multiple motions, scrupulously ensuring that the litigant’s every right is honored before dismissing a case with prejudice under </w:t>
      </w:r>
      <w:r w:rsidR="009C473E" w:rsidRPr="00D63B51">
        <w:rPr>
          <w:rFonts w:cs="Times New Roman"/>
          <w:szCs w:val="24"/>
        </w:rPr>
        <w:t>FED. R. CIV. P.</w:t>
      </w:r>
      <w:r w:rsidRPr="00D63B51">
        <w:rPr>
          <w:rFonts w:cs="Times New Roman"/>
          <w:szCs w:val="24"/>
        </w:rPr>
        <w:t xml:space="preserve"> 41.</w:t>
      </w:r>
      <w:r w:rsidRPr="00D63B51">
        <w:rPr>
          <w:rStyle w:val="FootnoteReference"/>
          <w:rFonts w:cs="Times New Roman"/>
          <w:szCs w:val="24"/>
        </w:rPr>
        <w:footnoteReference w:id="145"/>
      </w:r>
      <w:r w:rsidRPr="00D63B51">
        <w:rPr>
          <w:rFonts w:cs="Times New Roman"/>
          <w:szCs w:val="24"/>
        </w:rPr>
        <w:t xml:space="preserve">  But the deterrent effect of a Rule 41 dismissal, though real in a one-off case, has no meaningful effect on a so-called “aggregator” law firm in a mass-tort MDL, which manages hundreds of actions without any evidentiary basis who can make settlement of the claims more </w:t>
      </w:r>
      <w:r w:rsidRPr="00D63B51">
        <w:rPr>
          <w:rFonts w:cs="Times New Roman"/>
          <w:szCs w:val="24"/>
        </w:rPr>
        <w:lastRenderedPageBreak/>
        <w:t>economical than litigating individual Rule 41 show-cause hearings.</w:t>
      </w:r>
      <w:r w:rsidRPr="00D63B51">
        <w:rPr>
          <w:rStyle w:val="FootnoteReference"/>
          <w:rFonts w:cs="Times New Roman"/>
          <w:szCs w:val="24"/>
        </w:rPr>
        <w:footnoteReference w:id="146"/>
      </w:r>
      <w:r w:rsidRPr="00D63B51">
        <w:rPr>
          <w:rFonts w:cs="Times New Roman"/>
          <w:szCs w:val="24"/>
        </w:rPr>
        <w:t xml:space="preserve"> Rule 11 was intended to address precisely such misconduct, but the bench and bar have been reluctant to apply it.</w:t>
      </w:r>
      <w:r w:rsidRPr="00D63B51">
        <w:rPr>
          <w:rStyle w:val="FootnoteReference"/>
          <w:rFonts w:cs="Times New Roman"/>
          <w:szCs w:val="24"/>
        </w:rPr>
        <w:footnoteReference w:id="147"/>
      </w:r>
    </w:p>
    <w:p w14:paraId="6F251713"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 xml:space="preserve"> The major reason why parties do not seek deserved Rule 11 sanctions, and the corresponding need for MDL courts to act on their own, is the parties’ (defendants’ mostly) reluctance, born of the fears of stirring animosities that will complicate and delay ongoing management of the proceedings and impede or distort settlement negotiations.</w:t>
      </w:r>
      <w:r w:rsidRPr="00D63B51">
        <w:rPr>
          <w:rStyle w:val="FootnoteReference"/>
          <w:rFonts w:cs="Times New Roman"/>
          <w:szCs w:val="24"/>
        </w:rPr>
        <w:footnoteReference w:id="148"/>
      </w:r>
      <w:r w:rsidRPr="00D63B51">
        <w:rPr>
          <w:rFonts w:cs="Times New Roman"/>
          <w:szCs w:val="24"/>
        </w:rPr>
        <w:t xml:space="preserve">  </w:t>
      </w:r>
    </w:p>
    <w:p w14:paraId="7CF3171B" w14:textId="77777777" w:rsidR="00F62B2D" w:rsidRPr="00D63B51" w:rsidRDefault="00F62B2D" w:rsidP="00F62B2D">
      <w:pPr>
        <w:pStyle w:val="NoSpacing"/>
        <w:spacing w:line="360" w:lineRule="auto"/>
        <w:ind w:firstLine="720"/>
        <w:jc w:val="both"/>
        <w:rPr>
          <w:rFonts w:cs="Times New Roman"/>
          <w:color w:val="222222"/>
          <w:szCs w:val="24"/>
          <w:shd w:val="clear" w:color="auto" w:fill="FFFFFF"/>
        </w:rPr>
      </w:pPr>
      <w:r w:rsidRPr="00D63B51">
        <w:rPr>
          <w:rFonts w:cs="Times New Roman"/>
          <w:szCs w:val="24"/>
        </w:rPr>
        <w:t xml:space="preserve">Although courts have traditionally been reluctant to intervene unless requested by one of the parties, Rule 11 was amended to explicitly authorize a judge to impose a monetary sanction </w:t>
      </w:r>
      <w:r w:rsidRPr="00D63B51">
        <w:rPr>
          <w:rFonts w:cs="Times New Roman"/>
          <w:i/>
          <w:iCs/>
          <w:szCs w:val="24"/>
        </w:rPr>
        <w:t>on their own</w:t>
      </w:r>
      <w:r w:rsidRPr="00D63B51">
        <w:rPr>
          <w:rFonts w:cs="Times New Roman"/>
          <w:szCs w:val="24"/>
        </w:rPr>
        <w:t xml:space="preserve"> for violations of the rule.</w:t>
      </w:r>
      <w:r w:rsidRPr="00D63B51">
        <w:rPr>
          <w:rStyle w:val="FootnoteReference"/>
          <w:rFonts w:cs="Times New Roman"/>
          <w:szCs w:val="24"/>
        </w:rPr>
        <w:footnoteReference w:id="149"/>
      </w:r>
      <w:r w:rsidRPr="00D63B51">
        <w:rPr>
          <w:rFonts w:cs="Times New Roman"/>
          <w:szCs w:val="24"/>
        </w:rPr>
        <w:t xml:space="preserve">  “Aggregators” who file many obviously frivolous or meritless actions or persist in denying case-dispositive factual contentions that are not warranted on the </w:t>
      </w:r>
      <w:r w:rsidRPr="00D63B51">
        <w:rPr>
          <w:rFonts w:cs="Times New Roman"/>
          <w:szCs w:val="24"/>
        </w:rPr>
        <w:lastRenderedPageBreak/>
        <w:t>evidence show contempt of court, which can be punished summarily after issuing a show-cause order and an opportunity to respond without providing a “safe harbor” to withdraw or correct the pleading.</w:t>
      </w:r>
      <w:r w:rsidRPr="00D63B51">
        <w:rPr>
          <w:rStyle w:val="FootnoteReference"/>
          <w:rFonts w:cs="Times New Roman"/>
          <w:szCs w:val="24"/>
        </w:rPr>
        <w:footnoteReference w:id="150"/>
      </w:r>
      <w:r w:rsidRPr="00D63B51">
        <w:rPr>
          <w:rFonts w:cs="Times New Roman"/>
          <w:szCs w:val="24"/>
        </w:rPr>
        <w:t xml:space="preserve">  The court may hold a show-cause hearing giving the law firm an opportunity to respond after adequate time to find evidence</w:t>
      </w:r>
      <w:r w:rsidRPr="00D63B51">
        <w:rPr>
          <w:rFonts w:cs="Times New Roman"/>
          <w:color w:val="222222"/>
          <w:szCs w:val="24"/>
          <w:shd w:val="clear" w:color="auto" w:fill="FFFFFF"/>
        </w:rPr>
        <w:t xml:space="preserve"> supporting the allegation</w:t>
      </w:r>
      <w:r w:rsidRPr="00D63B51">
        <w:rPr>
          <w:rFonts w:cs="Times New Roman"/>
          <w:szCs w:val="24"/>
        </w:rPr>
        <w:t xml:space="preserve"> by </w:t>
      </w:r>
      <w:r w:rsidRPr="00D63B51">
        <w:rPr>
          <w:rFonts w:cs="Times New Roman"/>
          <w:color w:val="222222"/>
          <w:szCs w:val="24"/>
          <w:shd w:val="clear" w:color="auto" w:fill="FFFFFF"/>
        </w:rPr>
        <w:t>discovery, formal or informal, from opposing parties or third persons.</w:t>
      </w:r>
      <w:r w:rsidRPr="00D63B51">
        <w:rPr>
          <w:rStyle w:val="FootnoteReference"/>
          <w:rFonts w:cs="Times New Roman"/>
          <w:color w:val="222222"/>
          <w:szCs w:val="24"/>
          <w:shd w:val="clear" w:color="auto" w:fill="FFFFFF"/>
        </w:rPr>
        <w:footnoteReference w:id="151"/>
      </w:r>
      <w:r w:rsidRPr="00D63B51">
        <w:rPr>
          <w:rFonts w:cs="Times New Roman"/>
          <w:color w:val="222222"/>
          <w:szCs w:val="24"/>
          <w:shd w:val="clear" w:color="auto" w:fill="FFFFFF"/>
        </w:rPr>
        <w:t xml:space="preserve">  </w:t>
      </w:r>
    </w:p>
    <w:p w14:paraId="14CA5388" w14:textId="1DA47D11"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 xml:space="preserve">The court should not be reluctant to summarily sanction </w:t>
      </w:r>
      <w:r w:rsidRPr="00D63B51">
        <w:rPr>
          <w:rFonts w:cs="Times New Roman"/>
          <w:i/>
          <w:iCs/>
          <w:szCs w:val="24"/>
        </w:rPr>
        <w:t>sua sponte</w:t>
      </w:r>
      <w:r w:rsidRPr="00D63B51">
        <w:rPr>
          <w:rFonts w:cs="Times New Roman"/>
          <w:szCs w:val="24"/>
        </w:rPr>
        <w:t xml:space="preserve"> a law firm for repeated violations consistent with </w:t>
      </w:r>
      <w:r w:rsidR="009C473E" w:rsidRPr="00D63B51">
        <w:rPr>
          <w:rFonts w:cs="Times New Roman"/>
          <w:szCs w:val="24"/>
        </w:rPr>
        <w:t>FED. R. CIV. P.</w:t>
      </w:r>
      <w:r w:rsidRPr="00D63B51">
        <w:rPr>
          <w:rFonts w:cs="Times New Roman"/>
          <w:szCs w:val="24"/>
        </w:rPr>
        <w:t xml:space="preserve"> 11(c)(3) to deter such repetitive conduct, taking into account “what amount, given the financial resources of the responsible person, is needed to deter that person from repetition in the same case; what amount is needed to deter similar activity by other litigants.”</w:t>
      </w:r>
      <w:r w:rsidRPr="00D63B51">
        <w:rPr>
          <w:rFonts w:cs="Times New Roman"/>
          <w:szCs w:val="24"/>
          <w:vertAlign w:val="superscript"/>
        </w:rPr>
        <w:footnoteReference w:id="152"/>
      </w:r>
      <w:r w:rsidRPr="00D63B51">
        <w:rPr>
          <w:rFonts w:cs="Times New Roman"/>
          <w:szCs w:val="24"/>
        </w:rPr>
        <w:t xml:space="preserve">  A court-ordered sanction provides the transferee judge with an effective deterrent in a mass-tort MDL, especially when it targets a single law firm that files large numbers of unsupportable actions, and not an individual lawyer.</w:t>
      </w:r>
      <w:r w:rsidRPr="00D63B51">
        <w:rPr>
          <w:rStyle w:val="FootnoteReference"/>
          <w:rFonts w:cs="Times New Roman"/>
          <w:szCs w:val="24"/>
        </w:rPr>
        <w:footnoteReference w:id="153"/>
      </w:r>
    </w:p>
    <w:p w14:paraId="30F35176"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 xml:space="preserve">The sanction should be imposed on the law firm. Sanctions on the individual lawyer carry greater professional consequences for the individual, a consequence that judges often are reluctant </w:t>
      </w:r>
      <w:r w:rsidRPr="00D63B51">
        <w:rPr>
          <w:rFonts w:cs="Times New Roman"/>
          <w:szCs w:val="24"/>
        </w:rPr>
        <w:lastRenderedPageBreak/>
        <w:t xml:space="preserve">to accept. The fine is payable to the court. The court should consider issuing a notice in an early case-management order alerting all parties that the court may impose a penalty </w:t>
      </w:r>
      <w:r w:rsidRPr="00D63B51">
        <w:rPr>
          <w:rFonts w:cs="Times New Roman"/>
          <w:i/>
          <w:iCs/>
          <w:szCs w:val="24"/>
        </w:rPr>
        <w:t>sua sponte</w:t>
      </w:r>
      <w:r w:rsidRPr="00D63B51">
        <w:rPr>
          <w:rFonts w:cs="Times New Roman"/>
          <w:szCs w:val="24"/>
        </w:rPr>
        <w:t xml:space="preserve"> on a law firm summarily for filing multiple frivolous or meritless actions that have no evidentiary support in accordance with Rule 11(c)(3).</w:t>
      </w:r>
      <w:r w:rsidRPr="00D63B51">
        <w:rPr>
          <w:rStyle w:val="FootnoteReference"/>
          <w:rFonts w:cs="Times New Roman"/>
          <w:szCs w:val="24"/>
        </w:rPr>
        <w:footnoteReference w:id="154"/>
      </w:r>
      <w:r w:rsidRPr="00D63B51">
        <w:rPr>
          <w:rFonts w:cs="Times New Roman"/>
          <w:szCs w:val="24"/>
        </w:rPr>
        <w:t xml:space="preserve"> The prophylactic threat of such a sanction may facilitate the expeditious, economical, and just resolution of the litigation and, by encouraging compliance with Rule 11, reduce the need for actual sanctions.</w:t>
      </w:r>
      <w:r w:rsidRPr="00D63B51">
        <w:rPr>
          <w:rStyle w:val="FootnoteReference"/>
          <w:rFonts w:cs="Times New Roman"/>
          <w:szCs w:val="24"/>
        </w:rPr>
        <w:footnoteReference w:id="155"/>
      </w:r>
      <w:r w:rsidRPr="00D63B51">
        <w:rPr>
          <w:rFonts w:cs="Times New Roman"/>
          <w:szCs w:val="24"/>
        </w:rPr>
        <w:t xml:space="preserve"> </w:t>
      </w:r>
    </w:p>
    <w:p w14:paraId="0188F988" w14:textId="77777777" w:rsidR="00F62B2D" w:rsidRPr="00D63B51" w:rsidRDefault="00F62B2D" w:rsidP="00F62B2D">
      <w:pPr>
        <w:shd w:val="clear" w:color="auto" w:fill="FFFFFF"/>
        <w:ind w:left="720" w:right="720"/>
        <w:jc w:val="both"/>
        <w:rPr>
          <w:rFonts w:cs="Times New Roman"/>
        </w:rPr>
      </w:pPr>
      <w:r w:rsidRPr="00D63B51">
        <w:rPr>
          <w:rFonts w:cs="Times New Roman"/>
          <w:b/>
          <w:bCs/>
        </w:rPr>
        <w:t xml:space="preserve">Best Practice MDL-§ 8(c): </w:t>
      </w:r>
      <w:r w:rsidRPr="00D63B51">
        <w:rPr>
          <w:rFonts w:cs="Times New Roman"/>
        </w:rPr>
        <w:t>The Judicial Conference of the United States should undertake a study of the appropriate fees for filing actions in a mass-tort MDL.  Permanent No. MDL-§ 15 (b)(vii).</w:t>
      </w:r>
    </w:p>
    <w:p w14:paraId="7ED98BD4" w14:textId="77777777" w:rsidR="00F62B2D" w:rsidRPr="00D63B51" w:rsidRDefault="00F62B2D" w:rsidP="00F62B2D">
      <w:pPr>
        <w:shd w:val="clear" w:color="auto" w:fill="FFFFFF"/>
        <w:ind w:left="720" w:right="720"/>
        <w:jc w:val="both"/>
        <w:rPr>
          <w:rFonts w:cs="Times New Roman"/>
        </w:rPr>
      </w:pPr>
    </w:p>
    <w:p w14:paraId="7AD63169" w14:textId="77777777" w:rsidR="00F62B2D" w:rsidRPr="00D63B51" w:rsidRDefault="00F62B2D" w:rsidP="00F62B2D">
      <w:pPr>
        <w:shd w:val="clear" w:color="auto" w:fill="FFFFFF"/>
        <w:spacing w:line="360" w:lineRule="auto"/>
        <w:ind w:firstLine="720"/>
        <w:jc w:val="both"/>
        <w:rPr>
          <w:rFonts w:cs="Times New Roman"/>
        </w:rPr>
      </w:pPr>
      <w:r w:rsidRPr="00D63B51">
        <w:rPr>
          <w:rFonts w:cs="Times New Roman"/>
        </w:rPr>
        <w:t>The costs and burdens imposed on the federal judiciary in handling large mass-tort MDLs are substantial.  The federal judiciary retains a majority of the filing fees to offset the costs it incurs in handling litigation.</w:t>
      </w:r>
      <w:r w:rsidRPr="00D63B51">
        <w:rPr>
          <w:rStyle w:val="FootnoteReference"/>
          <w:rFonts w:cs="Times New Roman"/>
        </w:rPr>
        <w:footnoteReference w:id="156"/>
      </w:r>
      <w:r w:rsidRPr="00D63B51">
        <w:rPr>
          <w:rFonts w:cs="Times New Roman"/>
        </w:rPr>
        <w:t xml:space="preserve"> The statutory-enacted fee for filing a civil action in federal court is $350.</w:t>
      </w:r>
      <w:r w:rsidRPr="00D63B51">
        <w:rPr>
          <w:rStyle w:val="FootnoteReference"/>
          <w:rFonts w:cs="Times New Roman"/>
        </w:rPr>
        <w:footnoteReference w:id="157"/>
      </w:r>
      <w:r w:rsidRPr="00D63B51">
        <w:rPr>
          <w:rFonts w:cs="Times New Roman"/>
        </w:rPr>
        <w:t xml:space="preserve">  An additional $55 Judicial-Conference-promulgated administrative fee is assessed for the filing.</w:t>
      </w:r>
      <w:r w:rsidRPr="00D63B51">
        <w:rPr>
          <w:rStyle w:val="FootnoteReference"/>
          <w:rFonts w:cs="Times New Roman"/>
        </w:rPr>
        <w:footnoteReference w:id="158"/>
      </w:r>
      <w:r w:rsidRPr="00D63B51">
        <w:rPr>
          <w:rFonts w:cs="Times New Roman"/>
        </w:rPr>
        <w:t xml:space="preserve"> </w:t>
      </w:r>
    </w:p>
    <w:p w14:paraId="06327605" w14:textId="77777777" w:rsidR="00F62B2D" w:rsidRPr="00D63B51" w:rsidRDefault="00F62B2D" w:rsidP="00F62B2D">
      <w:pPr>
        <w:shd w:val="clear" w:color="auto" w:fill="FFFFFF"/>
        <w:spacing w:line="360" w:lineRule="auto"/>
        <w:ind w:firstLine="720"/>
        <w:jc w:val="both"/>
        <w:rPr>
          <w:rFonts w:cs="Times New Roman"/>
        </w:rPr>
      </w:pPr>
      <w:r w:rsidRPr="00D63B51">
        <w:rPr>
          <w:rFonts w:cs="Times New Roman"/>
        </w:rPr>
        <w:t>The fee assessments for actions filed in a mass-tort MDL vary among the district courts, with some requiring submission of the full $405 fees for every action at filing, while others permit consolidation of actions for filing-fee purposes.  Because some mass-tort MDLs may include tens of thousands of individual actions, it is a fair question whether the full $405 filing fees for every action is proportionate to the burdens imposed at scale on the judiciary. But having disparate filing-fee practices among the courts is unwarranted and unwise.</w:t>
      </w:r>
    </w:p>
    <w:p w14:paraId="58E64E72" w14:textId="77777777" w:rsidR="00F62B2D" w:rsidRPr="00D63B51" w:rsidRDefault="00F62B2D" w:rsidP="00F62B2D">
      <w:pPr>
        <w:shd w:val="clear" w:color="auto" w:fill="FFFFFF"/>
        <w:spacing w:line="360" w:lineRule="auto"/>
        <w:ind w:firstLine="720"/>
        <w:jc w:val="both"/>
        <w:rPr>
          <w:rFonts w:cs="Times New Roman"/>
        </w:rPr>
      </w:pPr>
      <w:r w:rsidRPr="00D63B51">
        <w:rPr>
          <w:rFonts w:cs="Times New Roman"/>
        </w:rPr>
        <w:t xml:space="preserve">A study commissioned by the Judicial Conference should develop a fair and uniform policy governing filing fees nationwide for actions in a mass-tort MDL. Although modifying the $350 filing fee would require legislation and may not be feasible, the Judicial Conference can unilaterally modify the $55 administrative fee for actions in mass-tort MDLs.  By raising the </w:t>
      </w:r>
      <w:r w:rsidRPr="00D63B51">
        <w:rPr>
          <w:rFonts w:cs="Times New Roman"/>
        </w:rPr>
        <w:lastRenderedPageBreak/>
        <w:t>administrative fee and lowering the effective filing fee by permitting consolidation of actions for filing-fee purposes, a uniform policy can be established.</w:t>
      </w:r>
    </w:p>
    <w:p w14:paraId="210E4F22" w14:textId="48FCC1A7" w:rsidR="00B54D34" w:rsidRPr="00D63B51" w:rsidRDefault="00FA67EF" w:rsidP="00C8184C">
      <w:pPr>
        <w:shd w:val="clear" w:color="auto" w:fill="FFFFFF"/>
        <w:spacing w:line="360" w:lineRule="auto"/>
        <w:jc w:val="center"/>
        <w:rPr>
          <w:rFonts w:ascii="Times New Roman Bold" w:hAnsi="Times New Roman Bold" w:cs="Times New Roman"/>
          <w:b/>
          <w:bCs/>
          <w:smallCaps/>
          <w:vertAlign w:val="superscript"/>
        </w:rPr>
      </w:pPr>
      <w:r w:rsidRPr="00D63B51">
        <w:rPr>
          <w:rFonts w:ascii="Times New Roman Bold" w:hAnsi="Times New Roman Bold" w:cs="Times New Roman"/>
          <w:b/>
          <w:bCs/>
          <w:smallCaps/>
          <w:sz w:val="28"/>
          <w:szCs w:val="28"/>
        </w:rPr>
        <w:t>C.</w:t>
      </w:r>
      <w:r w:rsidRPr="00D63B51">
        <w:rPr>
          <w:rFonts w:ascii="Times New Roman Bold" w:hAnsi="Times New Roman Bold" w:cs="Times New Roman"/>
          <w:b/>
          <w:bCs/>
          <w:smallCaps/>
        </w:rPr>
        <w:t xml:space="preserve">  </w:t>
      </w:r>
      <w:r w:rsidR="00177B89" w:rsidRPr="00D63B51">
        <w:rPr>
          <w:rFonts w:ascii="Times New Roman Bold" w:hAnsi="Times New Roman Bold" w:cs="Times New Roman"/>
          <w:b/>
          <w:bCs/>
          <w:smallCaps/>
          <w:sz w:val="28"/>
          <w:szCs w:val="28"/>
        </w:rPr>
        <w:t>DISCOVERY PLANNING</w:t>
      </w:r>
    </w:p>
    <w:p w14:paraId="1CC18C03" w14:textId="77777777" w:rsidR="00AF6312" w:rsidRPr="00D63B51" w:rsidRDefault="00AF6312" w:rsidP="00C50658">
      <w:pPr>
        <w:pStyle w:val="NoSpacing"/>
        <w:jc w:val="both"/>
      </w:pPr>
      <w:r w:rsidRPr="00D63B51">
        <w:rPr>
          <w:b/>
          <w:bCs/>
          <w:u w:val="single"/>
        </w:rPr>
        <w:t xml:space="preserve">GUIDELINE </w:t>
      </w:r>
      <w:r w:rsidRPr="00D63B51">
        <w:rPr>
          <w:rFonts w:cs="Times New Roman"/>
          <w:b/>
          <w:bCs/>
          <w:szCs w:val="24"/>
          <w:u w:val="single"/>
        </w:rPr>
        <w:t>MDL-§ 9</w:t>
      </w:r>
      <w:r w:rsidRPr="00D63B51">
        <w:rPr>
          <w:b/>
          <w:bCs/>
        </w:rPr>
        <w:t>:</w:t>
      </w:r>
      <w:r w:rsidRPr="00D63B51">
        <w:t xml:space="preserve"> </w:t>
      </w:r>
      <w:r w:rsidRPr="00D63B51">
        <w:rPr>
          <w:rFonts w:cs="Times New Roman"/>
          <w:szCs w:val="24"/>
        </w:rPr>
        <w:t xml:space="preserve">Unless the court orders otherwise, </w:t>
      </w:r>
      <w:r w:rsidRPr="00D63B51">
        <w:t xml:space="preserve">the parties must </w:t>
      </w:r>
      <w:r w:rsidRPr="00D63B51">
        <w:rPr>
          <w:rFonts w:cs="Times New Roman"/>
          <w:szCs w:val="24"/>
        </w:rPr>
        <w:t xml:space="preserve">address their initial views on and suggest </w:t>
      </w:r>
      <w:r w:rsidRPr="00D63B51">
        <w:t xml:space="preserve">procedures regarding discovery and any anticipated difficult issues. Permanent No. </w:t>
      </w:r>
      <w:r w:rsidRPr="00D63B51">
        <w:rPr>
          <w:rFonts w:cs="Times New Roman"/>
          <w:szCs w:val="24"/>
        </w:rPr>
        <w:t>MDL-§ 18</w:t>
      </w:r>
      <w:r w:rsidRPr="00D63B51">
        <w:t>.</w:t>
      </w:r>
    </w:p>
    <w:p w14:paraId="48250796" w14:textId="77777777" w:rsidR="00AF6312" w:rsidRPr="00D63B51" w:rsidRDefault="00AF6312" w:rsidP="00AF6312">
      <w:pPr>
        <w:ind w:left="720" w:right="720"/>
        <w:jc w:val="both"/>
        <w:rPr>
          <w:b/>
          <w:bCs/>
          <w:color w:val="333333"/>
        </w:rPr>
      </w:pPr>
    </w:p>
    <w:p w14:paraId="4FA0DDAF" w14:textId="77777777" w:rsidR="00AF6312" w:rsidRPr="00D63B51" w:rsidRDefault="00AF6312" w:rsidP="00AF6312">
      <w:pPr>
        <w:spacing w:line="360" w:lineRule="auto"/>
        <w:ind w:firstLine="720"/>
        <w:jc w:val="both"/>
        <w:rPr>
          <w:rFonts w:cs="Times New Roman"/>
        </w:rPr>
      </w:pPr>
      <w:r w:rsidRPr="00D63B51">
        <w:rPr>
          <w:rFonts w:cs="Times New Roman"/>
        </w:rPr>
        <w:t xml:space="preserve">Under Rule 16.1(b)(3)(C), the parties must address their views on and suggest procedures regarding discovery and any anticipated difficult issues in their report to the court.  To many eyes, consolidated discovery is the primary purpose of MDLs.  Yet, the spartan Committee Note says only that a “major task for the MDL transferee judge is to supervise discovery in an efficient manner.” </w:t>
      </w:r>
    </w:p>
    <w:p w14:paraId="69655465" w14:textId="1EB92D12" w:rsidR="00AF6312" w:rsidRPr="00D63B51" w:rsidRDefault="00AF6312" w:rsidP="00AF6312">
      <w:pPr>
        <w:spacing w:line="360" w:lineRule="auto"/>
        <w:ind w:firstLine="720"/>
        <w:jc w:val="both"/>
        <w:rPr>
          <w:rFonts w:cs="Times New Roman"/>
        </w:rPr>
      </w:pPr>
      <w:r w:rsidRPr="00D63B51">
        <w:rPr>
          <w:rFonts w:cs="Times New Roman"/>
        </w:rPr>
        <w:t>Ediscovery is the largest component of discovery cost. Ediscovery practice in mass-tort MDLs is moving inexorably toward identifying all “relevant” information on all relevant data sources.</w:t>
      </w:r>
      <w:r w:rsidRPr="00D63B51">
        <w:rPr>
          <w:rStyle w:val="FootnoteReference"/>
          <w:rFonts w:cs="Times New Roman"/>
        </w:rPr>
        <w:footnoteReference w:id="159"/>
      </w:r>
      <w:r w:rsidRPr="00D63B51">
        <w:rPr>
          <w:rFonts w:cs="Times New Roman"/>
        </w:rPr>
        <w:t xml:space="preserve">  Technology may make such  “recall” attainable, but it also sweeps in massive amounts of insignificant information, which only obfuscates identifying information that is important in resolving the issues.</w:t>
      </w:r>
      <w:r w:rsidRPr="00D63B51">
        <w:rPr>
          <w:rStyle w:val="FootnoteReference"/>
          <w:rFonts w:cs="Times New Roman"/>
        </w:rPr>
        <w:footnoteReference w:id="160"/>
      </w:r>
      <w:r w:rsidRPr="00D63B51">
        <w:rPr>
          <w:rFonts w:cs="Times New Roman"/>
        </w:rPr>
        <w:t xml:space="preserve">  Both sides and the court lose when ediscovery produces millions of inconsequential pages.</w:t>
      </w:r>
      <w:r w:rsidRPr="00D63B51">
        <w:rPr>
          <w:rStyle w:val="FootnoteReference"/>
          <w:rFonts w:cs="Times New Roman"/>
        </w:rPr>
        <w:footnoteReference w:id="161"/>
      </w:r>
      <w:r w:rsidRPr="00D63B51">
        <w:rPr>
          <w:rFonts w:cs="Times New Roman"/>
        </w:rPr>
        <w:t xml:space="preserve">  And both sides and the courts win when the practices move away from emphasizing exclusively “recall” of all possibly relevant information to identifying “significant” or “consequential” information.   </w:t>
      </w:r>
    </w:p>
    <w:p w14:paraId="6F638E04" w14:textId="5DD852AF" w:rsidR="00AF6312" w:rsidRPr="00D63B51" w:rsidRDefault="00AF6312" w:rsidP="00AF6312">
      <w:pPr>
        <w:spacing w:line="360" w:lineRule="auto"/>
        <w:ind w:firstLine="720"/>
        <w:jc w:val="both"/>
        <w:rPr>
          <w:b/>
          <w:bCs/>
          <w:color w:val="333333"/>
        </w:rPr>
      </w:pPr>
      <w:r w:rsidRPr="00D63B51">
        <w:rPr>
          <w:rFonts w:cs="Times New Roman"/>
        </w:rPr>
        <w:t xml:space="preserve">Rule 16.1 provides the court and parties with an opportunity to begin considering methods and practices to rein in excessive ediscovery at the initial-management conference.  Although parties must defer any substantial decisions until plaintiff </w:t>
      </w:r>
      <w:r w:rsidR="00B874CB" w:rsidRPr="00D63B51">
        <w:rPr>
          <w:rFonts w:cs="Times New Roman"/>
        </w:rPr>
        <w:t xml:space="preserve">and defense </w:t>
      </w:r>
      <w:r w:rsidRPr="00D63B51">
        <w:rPr>
          <w:rFonts w:cs="Times New Roman"/>
        </w:rPr>
        <w:t xml:space="preserve">leadership is appointed, the parties can begin talking about the </w:t>
      </w:r>
      <w:r w:rsidR="0086517A" w:rsidRPr="00D63B51">
        <w:rPr>
          <w:rFonts w:cs="Times New Roman"/>
        </w:rPr>
        <w:t xml:space="preserve">general </w:t>
      </w:r>
      <w:r w:rsidRPr="00D63B51">
        <w:rPr>
          <w:rFonts w:cs="Times New Roman"/>
        </w:rPr>
        <w:t xml:space="preserve">nature and basis of the claims and the extent of and </w:t>
      </w:r>
      <w:r w:rsidRPr="00D63B51">
        <w:rPr>
          <w:rFonts w:cs="Times New Roman"/>
        </w:rPr>
        <w:lastRenderedPageBreak/>
        <w:t>methods for ediscovery at this early stage</w:t>
      </w:r>
      <w:r w:rsidR="00D8389B" w:rsidRPr="00D63B51">
        <w:rPr>
          <w:rFonts w:cs="Times New Roman"/>
        </w:rPr>
        <w:t xml:space="preserve">.  Early discussion may prevent </w:t>
      </w:r>
      <w:r w:rsidRPr="00D63B51">
        <w:rPr>
          <w:rFonts w:cs="Times New Roman"/>
        </w:rPr>
        <w:t>reverting to conventional practices that result in excessive ediscovery.</w:t>
      </w:r>
      <w:r w:rsidRPr="00D63B51">
        <w:rPr>
          <w:rStyle w:val="FootnoteReference"/>
          <w:rFonts w:cs="Times New Roman"/>
        </w:rPr>
        <w:footnoteReference w:id="162"/>
      </w:r>
      <w:r w:rsidRPr="00D63B51">
        <w:rPr>
          <w:rFonts w:cs="Times New Roman"/>
        </w:rPr>
        <w:t xml:space="preserve"> </w:t>
      </w:r>
    </w:p>
    <w:p w14:paraId="594C1BCC" w14:textId="184656D8" w:rsidR="00AF6312" w:rsidRPr="00D63B51" w:rsidRDefault="00AF6312" w:rsidP="00AF6312">
      <w:pPr>
        <w:spacing w:line="360" w:lineRule="auto"/>
        <w:ind w:firstLine="720"/>
        <w:jc w:val="both"/>
        <w:rPr>
          <w:rFonts w:eastAsia="Times New Roman" w:cs="Times New Roman"/>
          <w:color w:val="222222"/>
        </w:rPr>
      </w:pPr>
      <w:r w:rsidRPr="00D63B51">
        <w:rPr>
          <w:rFonts w:eastAsia="Times New Roman" w:cs="Times New Roman"/>
          <w:color w:val="222222"/>
        </w:rPr>
        <w:t>The Center’s “Optimum Proportionality Ediscovery Standard” (OPES) provides a comprehensive ediscovery framework that informs the court and parties of efficient ediscovery procedures and practices</w:t>
      </w:r>
      <w:r w:rsidR="00C00F31" w:rsidRPr="00D63B51">
        <w:rPr>
          <w:rFonts w:eastAsia="Times New Roman" w:cs="Times New Roman"/>
          <w:color w:val="222222"/>
        </w:rPr>
        <w:t>.  OPES’s practices</w:t>
      </w:r>
      <w:r w:rsidRPr="00D63B51">
        <w:rPr>
          <w:rFonts w:eastAsia="Times New Roman" w:cs="Times New Roman"/>
          <w:color w:val="222222"/>
        </w:rPr>
        <w:t xml:space="preserve"> can be applied as soon as the parties become more knowledgeable of the issues and </w:t>
      </w:r>
      <w:r w:rsidR="00664B62" w:rsidRPr="00D63B51">
        <w:rPr>
          <w:rFonts w:eastAsia="Times New Roman" w:cs="Times New Roman"/>
          <w:color w:val="222222"/>
        </w:rPr>
        <w:t xml:space="preserve">when they </w:t>
      </w:r>
      <w:r w:rsidRPr="00D63B51">
        <w:rPr>
          <w:rFonts w:eastAsia="Times New Roman" w:cs="Times New Roman"/>
          <w:color w:val="222222"/>
        </w:rPr>
        <w:t>can make significant ediscovery-management decisions. OPES is a set of guidelines and best practices that feature two steps, which narrow ediscovery while at the same time strengthen</w:t>
      </w:r>
      <w:r w:rsidR="00664B62" w:rsidRPr="00D63B51">
        <w:rPr>
          <w:rFonts w:eastAsia="Times New Roman" w:cs="Times New Roman"/>
          <w:color w:val="222222"/>
        </w:rPr>
        <w:t>ing</w:t>
      </w:r>
      <w:r w:rsidRPr="00D63B51">
        <w:rPr>
          <w:rFonts w:eastAsia="Times New Roman" w:cs="Times New Roman"/>
          <w:color w:val="222222"/>
        </w:rPr>
        <w:t xml:space="preserve"> the confidence of both parties that information important in resolving the issues is produced.</w:t>
      </w:r>
      <w:r w:rsidRPr="00D63B51">
        <w:rPr>
          <w:rStyle w:val="FootnoteReference"/>
          <w:rFonts w:eastAsia="Times New Roman" w:cs="Times New Roman"/>
          <w:color w:val="222222"/>
        </w:rPr>
        <w:footnoteReference w:id="163"/>
      </w:r>
      <w:r w:rsidRPr="00D63B51">
        <w:rPr>
          <w:rFonts w:eastAsia="Times New Roman" w:cs="Times New Roman"/>
          <w:color w:val="222222"/>
        </w:rPr>
        <w:t xml:space="preserve"> Understanding the general features of OPES before the Rule 16.1 initial-management conference will better inform the court and lawyers about alternatives to conventional ediscovery practices.  </w:t>
      </w:r>
    </w:p>
    <w:p w14:paraId="57D35420" w14:textId="52919BB6" w:rsidR="00AF6312" w:rsidRPr="00D63B51" w:rsidRDefault="00AF6312" w:rsidP="00AF6312">
      <w:pPr>
        <w:spacing w:line="360" w:lineRule="auto"/>
        <w:ind w:firstLine="720"/>
        <w:jc w:val="both"/>
        <w:rPr>
          <w:rFonts w:eastAsia="Times New Roman" w:cs="Times New Roman"/>
          <w:color w:val="222222"/>
        </w:rPr>
      </w:pPr>
      <w:r w:rsidRPr="00D63B51">
        <w:rPr>
          <w:rFonts w:eastAsia="Times New Roman" w:cs="Times New Roman"/>
          <w:color w:val="222222"/>
        </w:rPr>
        <w:t>OPES Guideline 1 highlights the “importance of the requested discovery in resolving the issues” in Rule 26(b)(1) as the presumptively predominant factor in assessing whether the requested discovery is “proportional to the needs of the case.”</w:t>
      </w:r>
      <w:r w:rsidRPr="00D63B51">
        <w:rPr>
          <w:rStyle w:val="FootnoteReference"/>
          <w:rFonts w:cs="Times New Roman"/>
        </w:rPr>
        <w:footnoteReference w:id="164"/>
      </w:r>
      <w:r w:rsidRPr="00D63B51">
        <w:rPr>
          <w:rFonts w:eastAsia="Times New Roman" w:cs="Times New Roman"/>
          <w:color w:val="222222"/>
        </w:rPr>
        <w:t xml:space="preserve">  Highlighting the prominence of this factor reflects the practices of a large and growing number of judges.  It is also consistent with the spirit of the Rule 26(b)(1) amendments, which provide the judge with the discretion to determine which factors are most important in a given case.</w:t>
      </w:r>
      <w:r w:rsidRPr="00D63B51">
        <w:rPr>
          <w:rStyle w:val="FootnoteReference"/>
          <w:rFonts w:eastAsia="Times New Roman" w:cs="Times New Roman"/>
          <w:color w:val="222222"/>
        </w:rPr>
        <w:footnoteReference w:id="165"/>
      </w:r>
      <w:r w:rsidRPr="00D63B51">
        <w:rPr>
          <w:rFonts w:eastAsia="Times New Roman" w:cs="Times New Roman"/>
          <w:color w:val="222222"/>
        </w:rPr>
        <w:t xml:space="preserve"> Narrowing unlimited ediscovery is balanced by strengthening the ediscovery-validation process, which </w:t>
      </w:r>
      <w:r w:rsidR="00545F96" w:rsidRPr="00D63B51">
        <w:rPr>
          <w:rFonts w:eastAsia="Times New Roman" w:cs="Times New Roman"/>
          <w:color w:val="222222"/>
        </w:rPr>
        <w:t>aspires to avoid</w:t>
      </w:r>
      <w:r w:rsidR="006B6943" w:rsidRPr="00D63B51">
        <w:rPr>
          <w:rFonts w:eastAsia="Times New Roman" w:cs="Times New Roman"/>
          <w:color w:val="222222"/>
        </w:rPr>
        <w:t xml:space="preserve"> omitting information </w:t>
      </w:r>
      <w:r w:rsidR="00B80D4B" w:rsidRPr="00D63B51">
        <w:rPr>
          <w:rFonts w:eastAsia="Times New Roman" w:cs="Times New Roman"/>
          <w:color w:val="222222"/>
        </w:rPr>
        <w:t xml:space="preserve">that </w:t>
      </w:r>
      <w:r w:rsidRPr="00D63B51">
        <w:rPr>
          <w:rFonts w:eastAsia="Times New Roman" w:cs="Times New Roman"/>
          <w:color w:val="222222"/>
        </w:rPr>
        <w:t xml:space="preserve">is important in resolving the issues. </w:t>
      </w:r>
    </w:p>
    <w:p w14:paraId="614F227E" w14:textId="4B6DF6C2" w:rsidR="00AF6312" w:rsidRPr="00D63B51" w:rsidRDefault="00AF6312" w:rsidP="00AF6312">
      <w:pPr>
        <w:spacing w:line="360" w:lineRule="auto"/>
        <w:ind w:firstLine="720"/>
        <w:jc w:val="both"/>
        <w:rPr>
          <w:rFonts w:eastAsia="Times New Roman" w:cs="Times New Roman"/>
          <w:color w:val="222222"/>
        </w:rPr>
      </w:pPr>
      <w:r w:rsidRPr="00D63B51">
        <w:rPr>
          <w:rFonts w:eastAsia="Times New Roman" w:cs="Times New Roman"/>
          <w:color w:val="222222"/>
        </w:rPr>
        <w:t xml:space="preserve">In accordance with OPES, the parties should consider the “importance of the requested ediscovery in resolving the issues” as the principal criterion and develop a sound validation </w:t>
      </w:r>
      <w:r w:rsidRPr="00D63B51">
        <w:rPr>
          <w:rFonts w:eastAsia="Times New Roman" w:cs="Times New Roman"/>
          <w:color w:val="222222"/>
        </w:rPr>
        <w:lastRenderedPageBreak/>
        <w:t>process</w:t>
      </w:r>
      <w:r w:rsidR="00222A96" w:rsidRPr="00D63B51">
        <w:rPr>
          <w:rFonts w:eastAsia="Times New Roman" w:cs="Times New Roman"/>
          <w:color w:val="222222"/>
        </w:rPr>
        <w:t>. A</w:t>
      </w:r>
      <w:r w:rsidRPr="00D63B51">
        <w:rPr>
          <w:rFonts w:eastAsia="Times New Roman" w:cs="Times New Roman"/>
          <w:color w:val="222222"/>
        </w:rPr>
        <w:t xml:space="preserve">t a minimum, </w:t>
      </w:r>
      <w:r w:rsidR="00C0425F" w:rsidRPr="00D63B51">
        <w:rPr>
          <w:rFonts w:eastAsia="Times New Roman" w:cs="Times New Roman"/>
          <w:color w:val="222222"/>
        </w:rPr>
        <w:t xml:space="preserve">the validation process </w:t>
      </w:r>
      <w:r w:rsidRPr="00D63B51">
        <w:rPr>
          <w:rFonts w:eastAsia="Times New Roman" w:cs="Times New Roman"/>
          <w:color w:val="222222"/>
        </w:rPr>
        <w:t>discloses to the other party responsive documents found in a random sample of nonresponsive documents</w:t>
      </w:r>
      <w:r w:rsidR="003F6C1A" w:rsidRPr="00D63B51">
        <w:rPr>
          <w:rFonts w:eastAsia="Times New Roman" w:cs="Times New Roman"/>
          <w:color w:val="222222"/>
        </w:rPr>
        <w:t>.</w:t>
      </w:r>
      <w:r w:rsidR="003F6C1A" w:rsidRPr="00D63B51">
        <w:rPr>
          <w:rStyle w:val="FootnoteReference"/>
          <w:rFonts w:eastAsia="Times New Roman" w:cs="Times New Roman"/>
          <w:color w:val="222222"/>
        </w:rPr>
        <w:footnoteReference w:id="166"/>
      </w:r>
    </w:p>
    <w:p w14:paraId="33EB37EE" w14:textId="0780E65E" w:rsidR="00AF6312" w:rsidRPr="00D63B51" w:rsidRDefault="00FC3DEE" w:rsidP="00AF6312">
      <w:pPr>
        <w:spacing w:line="360" w:lineRule="auto"/>
        <w:ind w:firstLine="720"/>
        <w:jc w:val="both"/>
        <w:rPr>
          <w:rFonts w:eastAsia="Times New Roman" w:cs="Times New Roman"/>
          <w:color w:val="222222"/>
        </w:rPr>
      </w:pPr>
      <w:r w:rsidRPr="00D63B51">
        <w:rPr>
          <w:rFonts w:eastAsia="Times New Roman" w:cs="Times New Roman"/>
          <w:color w:val="222222"/>
        </w:rPr>
        <w:t>N</w:t>
      </w:r>
      <w:r w:rsidR="00AF6312" w:rsidRPr="00D63B51">
        <w:rPr>
          <w:rFonts w:eastAsia="Times New Roman" w:cs="Times New Roman"/>
          <w:color w:val="222222"/>
        </w:rPr>
        <w:t>o matter how good the validation process is, parties may likely</w:t>
      </w:r>
      <w:r w:rsidR="0014745F" w:rsidRPr="00D63B51">
        <w:rPr>
          <w:rFonts w:eastAsia="Times New Roman" w:cs="Times New Roman"/>
          <w:color w:val="222222"/>
        </w:rPr>
        <w:t xml:space="preserve"> worry</w:t>
      </w:r>
      <w:r w:rsidR="00AF6312" w:rsidRPr="00D63B51">
        <w:rPr>
          <w:rFonts w:eastAsia="Times New Roman" w:cs="Times New Roman"/>
          <w:color w:val="222222"/>
        </w:rPr>
        <w:t xml:space="preserve"> that nonresponsive documents may include a critical document omitted from production.  </w:t>
      </w:r>
      <w:r w:rsidR="00095D96" w:rsidRPr="00D63B51">
        <w:rPr>
          <w:rFonts w:eastAsia="Times New Roman" w:cs="Times New Roman"/>
          <w:color w:val="222222"/>
        </w:rPr>
        <w:t>Although it is</w:t>
      </w:r>
      <w:r w:rsidR="00AF6312" w:rsidRPr="00D63B51">
        <w:rPr>
          <w:rFonts w:eastAsia="Times New Roman" w:cs="Times New Roman"/>
          <w:color w:val="222222"/>
        </w:rPr>
        <w:t xml:space="preserve"> statistical</w:t>
      </w:r>
      <w:r w:rsidR="00095D96" w:rsidRPr="00D63B51">
        <w:rPr>
          <w:rFonts w:eastAsia="Times New Roman" w:cs="Times New Roman"/>
          <w:color w:val="222222"/>
        </w:rPr>
        <w:t>ly</w:t>
      </w:r>
      <w:r w:rsidR="00AF6312" w:rsidRPr="00D63B51">
        <w:rPr>
          <w:rFonts w:eastAsia="Times New Roman" w:cs="Times New Roman"/>
          <w:color w:val="222222"/>
        </w:rPr>
        <w:t xml:space="preserve"> unlikel</w:t>
      </w:r>
      <w:r w:rsidR="00095D96" w:rsidRPr="00D63B51">
        <w:rPr>
          <w:rFonts w:eastAsia="Times New Roman" w:cs="Times New Roman"/>
          <w:color w:val="222222"/>
        </w:rPr>
        <w:t>y that a</w:t>
      </w:r>
      <w:r w:rsidR="00AF6312" w:rsidRPr="00D63B51">
        <w:rPr>
          <w:rFonts w:eastAsia="Times New Roman" w:cs="Times New Roman"/>
          <w:color w:val="222222"/>
        </w:rPr>
        <w:t xml:space="preserve"> critical document in </w:t>
      </w:r>
      <w:r w:rsidR="00095D96" w:rsidRPr="00D63B51">
        <w:rPr>
          <w:rFonts w:eastAsia="Times New Roman" w:cs="Times New Roman"/>
          <w:color w:val="222222"/>
        </w:rPr>
        <w:t xml:space="preserve">a </w:t>
      </w:r>
      <w:r w:rsidR="00AF6312" w:rsidRPr="00D63B51">
        <w:rPr>
          <w:rFonts w:eastAsia="Times New Roman" w:cs="Times New Roman"/>
          <w:color w:val="222222"/>
        </w:rPr>
        <w:t xml:space="preserve">large-scale ediscovery </w:t>
      </w:r>
      <w:r w:rsidR="00974D8C" w:rsidRPr="00D63B51">
        <w:rPr>
          <w:rFonts w:eastAsia="Times New Roman" w:cs="Times New Roman"/>
          <w:color w:val="222222"/>
        </w:rPr>
        <w:t>is omitted – and it is universally recognized that edisc</w:t>
      </w:r>
      <w:r w:rsidR="00C34E3F" w:rsidRPr="00D63B51">
        <w:rPr>
          <w:rFonts w:eastAsia="Times New Roman" w:cs="Times New Roman"/>
          <w:color w:val="222222"/>
        </w:rPr>
        <w:t>o</w:t>
      </w:r>
      <w:r w:rsidR="00974D8C" w:rsidRPr="00D63B51">
        <w:rPr>
          <w:rFonts w:eastAsia="Times New Roman" w:cs="Times New Roman"/>
          <w:color w:val="222222"/>
        </w:rPr>
        <w:t>very cannot be perfect</w:t>
      </w:r>
      <w:r w:rsidR="00C34E3F" w:rsidRPr="00D63B51">
        <w:rPr>
          <w:rFonts w:eastAsia="Times New Roman" w:cs="Times New Roman"/>
          <w:color w:val="222222"/>
        </w:rPr>
        <w:t xml:space="preserve"> --</w:t>
      </w:r>
      <w:r w:rsidR="00AF6312" w:rsidRPr="00D63B51">
        <w:rPr>
          <w:rFonts w:eastAsia="Times New Roman" w:cs="Times New Roman"/>
          <w:color w:val="222222"/>
        </w:rPr>
        <w:t xml:space="preserve"> </w:t>
      </w:r>
      <w:r w:rsidR="00CC2183" w:rsidRPr="00D63B51">
        <w:rPr>
          <w:rFonts w:eastAsia="Times New Roman" w:cs="Times New Roman"/>
          <w:color w:val="222222"/>
        </w:rPr>
        <w:t xml:space="preserve">the fear of missing </w:t>
      </w:r>
      <w:r w:rsidR="004C769E" w:rsidRPr="00D63B51">
        <w:rPr>
          <w:rFonts w:eastAsia="Times New Roman" w:cs="Times New Roman"/>
          <w:color w:val="222222"/>
        </w:rPr>
        <w:t>key information (FOMO) persists</w:t>
      </w:r>
      <w:r w:rsidR="00AF6312" w:rsidRPr="00D63B51">
        <w:rPr>
          <w:rFonts w:eastAsia="Times New Roman" w:cs="Times New Roman"/>
          <w:color w:val="222222"/>
        </w:rPr>
        <w:t xml:space="preserve"> </w:t>
      </w:r>
      <w:r w:rsidR="00C34E3F" w:rsidRPr="00D63B51">
        <w:rPr>
          <w:rFonts w:eastAsia="Times New Roman" w:cs="Times New Roman"/>
          <w:color w:val="222222"/>
        </w:rPr>
        <w:t xml:space="preserve">causing parties to </w:t>
      </w:r>
      <w:r w:rsidR="009D6178" w:rsidRPr="00D63B51">
        <w:rPr>
          <w:rFonts w:eastAsia="Times New Roman" w:cs="Times New Roman"/>
          <w:color w:val="222222"/>
        </w:rPr>
        <w:t>seek</w:t>
      </w:r>
      <w:r w:rsidR="00AF6312" w:rsidRPr="00D63B51">
        <w:rPr>
          <w:rFonts w:eastAsia="Times New Roman" w:cs="Times New Roman"/>
          <w:color w:val="222222"/>
        </w:rPr>
        <w:t xml:space="preserve"> excessive ediscovery.  The reliability of strong validation processes jointly developed by the parties under active judicial case-management can substantially allay </w:t>
      </w:r>
      <w:r w:rsidR="00ED52C9" w:rsidRPr="00D63B51">
        <w:rPr>
          <w:rFonts w:eastAsia="Times New Roman" w:cs="Times New Roman"/>
          <w:color w:val="222222"/>
        </w:rPr>
        <w:t>these</w:t>
      </w:r>
      <w:r w:rsidR="00AF6312" w:rsidRPr="00D63B51">
        <w:rPr>
          <w:rFonts w:eastAsia="Times New Roman" w:cs="Times New Roman"/>
          <w:color w:val="222222"/>
        </w:rPr>
        <w:t xml:space="preserve"> concerns. Generative-AI validation processes will improve reliability even further.</w:t>
      </w:r>
      <w:r w:rsidR="00AF6312" w:rsidRPr="00D63B51">
        <w:rPr>
          <w:rStyle w:val="FootnoteReference"/>
          <w:rFonts w:eastAsia="Times New Roman" w:cs="Times New Roman"/>
          <w:color w:val="222222"/>
        </w:rPr>
        <w:footnoteReference w:id="167"/>
      </w:r>
      <w:r w:rsidR="0014745F" w:rsidRPr="00D63B51">
        <w:rPr>
          <w:rFonts w:eastAsia="Times New Roman" w:cs="Times New Roman"/>
          <w:color w:val="222222"/>
        </w:rPr>
        <w:t xml:space="preserve"> </w:t>
      </w:r>
    </w:p>
    <w:p w14:paraId="61CD7E79" w14:textId="77777777" w:rsidR="00AF6312" w:rsidRPr="00D63B51" w:rsidRDefault="00AF6312" w:rsidP="00AF6312">
      <w:pPr>
        <w:ind w:left="720" w:right="720"/>
        <w:jc w:val="both"/>
      </w:pPr>
      <w:bookmarkStart w:id="29" w:name="_Hlk199490661"/>
      <w:r w:rsidRPr="00D63B51">
        <w:rPr>
          <w:b/>
          <w:bCs/>
          <w:color w:val="333333"/>
        </w:rPr>
        <w:t xml:space="preserve">Best Practice </w:t>
      </w:r>
      <w:r w:rsidRPr="00D63B51">
        <w:rPr>
          <w:b/>
          <w:bCs/>
        </w:rPr>
        <w:t>MDL-§ 9(a):</w:t>
      </w:r>
      <w:r w:rsidRPr="00D63B51">
        <w:t xml:space="preserve"> The parties should suggest a willingness to consider cost-saving ediscovery-search procedures, including the use of TAR and generative-AI tools, as part of their discovery plan to “avoid inefficiencies and </w:t>
      </w:r>
      <w:bookmarkEnd w:id="29"/>
      <w:r w:rsidRPr="00D63B51">
        <w:t>unnecessary duplication” in discovery.</w:t>
      </w:r>
      <w:r w:rsidRPr="00D63B51">
        <w:rPr>
          <w:rFonts w:cs="Times New Roman"/>
          <w:vertAlign w:val="superscript"/>
        </w:rPr>
        <w:footnoteReference w:id="168"/>
      </w:r>
      <w:r w:rsidRPr="00D63B51">
        <w:t xml:space="preserve"> Permanent No. </w:t>
      </w:r>
      <w:r w:rsidRPr="00D63B51">
        <w:rPr>
          <w:rFonts w:cs="Times New Roman"/>
        </w:rPr>
        <w:t>MDL-§ 18(a)</w:t>
      </w:r>
      <w:r w:rsidRPr="00D63B51">
        <w:t>.</w:t>
      </w:r>
    </w:p>
    <w:p w14:paraId="2379E012" w14:textId="77777777" w:rsidR="00AF6312" w:rsidRPr="00D63B51" w:rsidRDefault="00AF6312" w:rsidP="00AF6312">
      <w:pPr>
        <w:ind w:left="720" w:right="720"/>
      </w:pPr>
    </w:p>
    <w:p w14:paraId="1595CC89" w14:textId="77777777" w:rsidR="00AF6312" w:rsidRPr="00D63B51" w:rsidRDefault="00AF6312" w:rsidP="00AF6312">
      <w:pPr>
        <w:spacing w:line="360" w:lineRule="auto"/>
        <w:ind w:firstLine="720"/>
        <w:jc w:val="both"/>
        <w:rPr>
          <w:rFonts w:eastAsia="Times New Roman" w:cs="Times New Roman"/>
          <w:color w:val="222222"/>
        </w:rPr>
      </w:pPr>
      <w:r w:rsidRPr="00D63B51">
        <w:rPr>
          <w:rFonts w:cs="Times New Roman"/>
        </w:rPr>
        <w:lastRenderedPageBreak/>
        <w:t>ESI that is subject to discovery in mass-tort MDLs usually involves an enormous volume of data from multiple data sources.</w:t>
      </w:r>
      <w:r w:rsidRPr="00D63B51">
        <w:rPr>
          <w:rFonts w:cs="Times New Roman"/>
          <w:vertAlign w:val="superscript"/>
        </w:rPr>
        <w:footnoteReference w:id="169"/>
      </w:r>
      <w:r w:rsidRPr="00D63B51">
        <w:rPr>
          <w:rFonts w:cs="Times New Roman"/>
        </w:rPr>
        <w:t xml:space="preserve">  In many mass-tort MDLs, parties spend tens of millions of dollars collecting and processing terabytes of data and reviewing and producing millions of pages of ediscovery, the vast majority of which is virtually useless.</w:t>
      </w:r>
      <w:r w:rsidRPr="00D63B51">
        <w:rPr>
          <w:rStyle w:val="FootnoteReference"/>
          <w:rFonts w:cs="Times New Roman"/>
        </w:rPr>
        <w:footnoteReference w:id="170"/>
      </w:r>
      <w:r w:rsidRPr="00D63B51">
        <w:rPr>
          <w:rFonts w:cs="Times New Roman"/>
        </w:rPr>
        <w:t xml:space="preserve"> Anachronistic keyword-search tools that are overinclusive are used in most mass-tort MDLs, producing excessive discovery.  Absent a willingness to consider alternatives to conventional ediscovery practices, unnecessary ediscovery will continue to spin out of control.</w:t>
      </w:r>
      <w:r w:rsidRPr="00D63B51">
        <w:rPr>
          <w:rStyle w:val="FootnoteReference"/>
          <w:rFonts w:cs="Times New Roman"/>
        </w:rPr>
        <w:footnoteReference w:id="171"/>
      </w:r>
      <w:r w:rsidRPr="00D63B51">
        <w:rPr>
          <w:rFonts w:cs="Times New Roman"/>
        </w:rPr>
        <w:t xml:space="preserve">  </w:t>
      </w:r>
    </w:p>
    <w:p w14:paraId="2ED46DE0" w14:textId="77777777" w:rsidR="00AF6312" w:rsidRPr="00D63B51" w:rsidRDefault="00AF6312" w:rsidP="00AF6312">
      <w:pPr>
        <w:spacing w:line="360" w:lineRule="auto"/>
        <w:ind w:firstLine="720"/>
        <w:jc w:val="both"/>
        <w:rPr>
          <w:rFonts w:cs="Times New Roman"/>
          <w:color w:val="333333"/>
          <w:shd w:val="clear" w:color="auto" w:fill="FFFFFF"/>
        </w:rPr>
      </w:pPr>
      <w:r w:rsidRPr="00D63B51">
        <w:rPr>
          <w:rFonts w:cs="Times New Roman"/>
        </w:rPr>
        <w:t>Although advanced technological search tools, including TAR and generative AI, which are more efficient, effective, and less expensive than keyword searches, are widely available, nonetheless parties continue to use keyword searches to produce ediscovery in mass-tort MDLs.  The prevalence of keyword searches is all the more confounding,</w:t>
      </w:r>
      <w:r w:rsidRPr="00D63B51">
        <w:rPr>
          <w:rStyle w:val="FootnoteReference"/>
          <w:rFonts w:cs="Times New Roman"/>
        </w:rPr>
        <w:footnoteReference w:id="172"/>
      </w:r>
      <w:r w:rsidRPr="00D63B51">
        <w:rPr>
          <w:rFonts w:cs="Times New Roman"/>
        </w:rPr>
        <w:t xml:space="preserve"> because the gap in effectiveness between them continues to widen as TAR and generative-AI search methods constantly and rapidly improve, often dramatically, particularly for cases involving large volumes of ESI. </w:t>
      </w:r>
      <w:r w:rsidRPr="00D63B51">
        <w:rPr>
          <w:rFonts w:cs="Times New Roman"/>
          <w:color w:val="333333"/>
          <w:shd w:val="clear" w:color="auto" w:fill="FFFFFF"/>
        </w:rPr>
        <w:t xml:space="preserve"> At the Rule 16.1 initial-management conference, the parties should indicate a willingness to consider TAR and generative-AI search tools in good faith as part of their discovery plan</w:t>
      </w:r>
      <w:r w:rsidRPr="00D63B51">
        <w:t xml:space="preserve">. </w:t>
      </w:r>
    </w:p>
    <w:p w14:paraId="2687F681" w14:textId="77777777" w:rsidR="00AF6312" w:rsidRPr="00D63B51" w:rsidRDefault="00AF6312" w:rsidP="00AF6312">
      <w:pPr>
        <w:ind w:left="720" w:right="720"/>
        <w:jc w:val="both"/>
      </w:pPr>
      <w:r w:rsidRPr="00D63B51">
        <w:rPr>
          <w:b/>
          <w:bCs/>
          <w:color w:val="333333"/>
        </w:rPr>
        <w:t xml:space="preserve">Best Practice </w:t>
      </w:r>
      <w:r w:rsidRPr="00D63B51">
        <w:rPr>
          <w:b/>
          <w:bCs/>
        </w:rPr>
        <w:t xml:space="preserve">MDL-§ 9(a)(i):  </w:t>
      </w:r>
      <w:r w:rsidRPr="00D63B51">
        <w:t xml:space="preserve">At the Rule 16.1 initial-management conference, the court should notify the parties that if they plan to search ESI using a keyword-search method to produce documents in ediscovery, notwithstanding the superiority </w:t>
      </w:r>
      <w:r w:rsidRPr="00D63B51">
        <w:lastRenderedPageBreak/>
        <w:t>of TAR and generative-AI methods, they should explain the reasons for and estimate the cost of such searches.</w:t>
      </w:r>
      <w:r w:rsidRPr="00D63B51">
        <w:rPr>
          <w:rStyle w:val="FootnoteReference"/>
          <w:rFonts w:cs="Times New Roman"/>
          <w:color w:val="333333"/>
          <w:shd w:val="clear" w:color="auto" w:fill="FFFFFF"/>
        </w:rPr>
        <w:footnoteReference w:id="173"/>
      </w:r>
      <w:r w:rsidRPr="00D63B51">
        <w:t xml:space="preserve"> Permanent No. </w:t>
      </w:r>
      <w:r w:rsidRPr="00D63B51">
        <w:rPr>
          <w:rFonts w:cs="Times New Roman"/>
        </w:rPr>
        <w:t>MDL-§ 18</w:t>
      </w:r>
      <w:r w:rsidRPr="00D63B51">
        <w:t>(a)(i).</w:t>
      </w:r>
    </w:p>
    <w:p w14:paraId="49087B52" w14:textId="77777777" w:rsidR="00AF6312" w:rsidRPr="00D63B51" w:rsidRDefault="00AF6312" w:rsidP="00AF6312">
      <w:pPr>
        <w:ind w:left="720" w:right="720"/>
        <w:jc w:val="both"/>
        <w:rPr>
          <w:rFonts w:cs="Times New Roman"/>
        </w:rPr>
      </w:pPr>
    </w:p>
    <w:p w14:paraId="656FC510" w14:textId="31558858" w:rsidR="00AF6312" w:rsidRPr="00D63B51" w:rsidRDefault="00AF6312" w:rsidP="00AF6312">
      <w:pPr>
        <w:spacing w:line="360" w:lineRule="auto"/>
        <w:ind w:firstLine="720"/>
        <w:jc w:val="both"/>
        <w:rPr>
          <w:rFonts w:cs="Times New Roman"/>
        </w:rPr>
      </w:pPr>
      <w:r w:rsidRPr="00D63B51">
        <w:rPr>
          <w:rFonts w:cs="Times New Roman"/>
        </w:rPr>
        <w:t xml:space="preserve">The judge and both parties share responsibility to develop ediscovery procedures and practices that stay true to the principles of </w:t>
      </w:r>
      <w:r w:rsidR="009C473E" w:rsidRPr="00D63B51">
        <w:rPr>
          <w:rFonts w:cs="Times New Roman"/>
        </w:rPr>
        <w:t>FED. R. CIV. P.</w:t>
      </w:r>
      <w:r w:rsidRPr="00D63B51">
        <w:rPr>
          <w:rFonts w:cs="Times New Roman"/>
        </w:rPr>
        <w:t xml:space="preserve"> 1.</w:t>
      </w:r>
      <w:r w:rsidRPr="00D63B51">
        <w:rPr>
          <w:rFonts w:cs="Times New Roman"/>
          <w:vertAlign w:val="superscript"/>
        </w:rPr>
        <w:footnoteReference w:id="174"/>
      </w:r>
      <w:r w:rsidRPr="00D63B51">
        <w:rPr>
          <w:rFonts w:cs="Times New Roman"/>
        </w:rPr>
        <w:t xml:space="preserve">  Although a court may not compel a party to use a particular search tool, it can remind the party that cost-shifting under Rule 26(c)(1)(B) can address excessive production of marginally relevant documents resulting from the selection of a particular search tool.</w:t>
      </w:r>
      <w:r w:rsidRPr="00D63B51">
        <w:rPr>
          <w:rStyle w:val="FootnoteReference"/>
          <w:rFonts w:cs="Times New Roman"/>
        </w:rPr>
        <w:footnoteReference w:id="175"/>
      </w:r>
      <w:r w:rsidRPr="00D63B51">
        <w:rPr>
          <w:rFonts w:cs="Times New Roman"/>
        </w:rPr>
        <w:t xml:space="preserve">  Ediscovery providers and consultants can readily provide a rough estimate of the cost of reviewing and producing documents using various search tools.  The Center developed sophisticated calculators that estimate the costs of using keyword and TAR searches.</w:t>
      </w:r>
      <w:r w:rsidRPr="00D63B51">
        <w:rPr>
          <w:rStyle w:val="FootnoteReference"/>
          <w:rFonts w:cs="Times New Roman"/>
        </w:rPr>
        <w:footnoteReference w:id="176"/>
      </w:r>
      <w:r w:rsidRPr="00D63B51">
        <w:rPr>
          <w:rFonts w:cs="Times New Roman"/>
        </w:rPr>
        <w:t xml:space="preserve">  When the parties decide upon a search method, they should advise the court if keyword searching will be used to produce the ediscovery.</w:t>
      </w:r>
    </w:p>
    <w:p w14:paraId="0BE7F392" w14:textId="5BC927B5" w:rsidR="00AF6312" w:rsidRPr="00D63B51" w:rsidRDefault="00AF6312" w:rsidP="00AF6312">
      <w:pPr>
        <w:pStyle w:val="ListParagraph"/>
        <w:spacing w:line="360" w:lineRule="auto"/>
        <w:ind w:left="0" w:firstLine="720"/>
        <w:jc w:val="both"/>
        <w:rPr>
          <w:rFonts w:cs="Times New Roman"/>
        </w:rPr>
      </w:pPr>
      <w:r w:rsidRPr="00D63B51">
        <w:rPr>
          <w:rFonts w:cs="Times New Roman"/>
        </w:rPr>
        <w:t xml:space="preserve">A court’s ability to manage ediscovery effectively is limited unless it has adequate information. The court should consider requiring both parties to submit </w:t>
      </w:r>
      <w:r w:rsidR="0089532F" w:rsidRPr="00D63B51">
        <w:rPr>
          <w:rFonts w:cs="Times New Roman"/>
        </w:rPr>
        <w:t xml:space="preserve">for the court’s eyes only </w:t>
      </w:r>
      <w:r w:rsidRPr="00D63B51">
        <w:rPr>
          <w:rFonts w:cs="Times New Roman"/>
        </w:rPr>
        <w:t>a quarterly budget estimating ediscovery expenses, which would help it “supervise discovery in an efficient manner.”</w:t>
      </w:r>
      <w:r w:rsidRPr="00D63B51">
        <w:rPr>
          <w:rStyle w:val="FootnoteReference"/>
          <w:rFonts w:cs="Times New Roman"/>
        </w:rPr>
        <w:footnoteReference w:id="177"/>
      </w:r>
      <w:r w:rsidRPr="00D63B51">
        <w:rPr>
          <w:rFonts w:cs="Times New Roman"/>
        </w:rPr>
        <w:t xml:space="preserve">  Alternatively, a court should require the responding party to report the number </w:t>
      </w:r>
      <w:r w:rsidRPr="00D63B51">
        <w:rPr>
          <w:rFonts w:cs="Times New Roman"/>
        </w:rPr>
        <w:lastRenderedPageBreak/>
        <w:t>of documents collected and processed in response to an ediscovery request before the party incurs the expense in reviewing the ESI for responsiveness and privilege.</w:t>
      </w:r>
    </w:p>
    <w:p w14:paraId="5C77EC13" w14:textId="77777777" w:rsidR="00AF6312" w:rsidRPr="00D63B51" w:rsidRDefault="00AF6312" w:rsidP="00AF6312">
      <w:pPr>
        <w:pStyle w:val="ListParagraph"/>
        <w:ind w:right="720"/>
        <w:jc w:val="both"/>
      </w:pPr>
      <w:r w:rsidRPr="00D63B51">
        <w:rPr>
          <w:b/>
          <w:bCs/>
          <w:color w:val="333333"/>
        </w:rPr>
        <w:t xml:space="preserve">Best Practice </w:t>
      </w:r>
      <w:r w:rsidRPr="00D63B51">
        <w:rPr>
          <w:b/>
          <w:bCs/>
        </w:rPr>
        <w:t>MDL-§ 9(b):</w:t>
      </w:r>
      <w:r w:rsidRPr="00D63B51">
        <w:t xml:space="preserve"> At the Rule 16.1 initial-management conference, the parties can begin their consideration of developing a protocol that jointly trains a machine-learning search tool (instead of keywords), which addresses the respective concerns of the parties about the tool’s use.  Permanent No. </w:t>
      </w:r>
      <w:r w:rsidRPr="00D63B51">
        <w:rPr>
          <w:rFonts w:cs="Times New Roman"/>
        </w:rPr>
        <w:t>MDL-§ 18(b)</w:t>
      </w:r>
      <w:r w:rsidRPr="00D63B51">
        <w:t xml:space="preserve">. </w:t>
      </w:r>
    </w:p>
    <w:p w14:paraId="5A641E86" w14:textId="77777777" w:rsidR="000E6A72" w:rsidRPr="00D63B51" w:rsidRDefault="000E6A72" w:rsidP="00AF6312">
      <w:pPr>
        <w:pStyle w:val="ListParagraph"/>
        <w:ind w:right="720"/>
        <w:jc w:val="both"/>
      </w:pPr>
    </w:p>
    <w:p w14:paraId="7FA86C0A" w14:textId="77777777" w:rsidR="00AF6312" w:rsidRPr="00D63B51" w:rsidRDefault="00AF6312" w:rsidP="00AF6312">
      <w:pPr>
        <w:spacing w:line="360" w:lineRule="auto"/>
        <w:ind w:firstLine="720"/>
        <w:jc w:val="both"/>
      </w:pPr>
      <w:r w:rsidRPr="00D63B51">
        <w:rPr>
          <w:rFonts w:cs="Times New Roman"/>
        </w:rPr>
        <w:t xml:space="preserve">Parties are not expected to provide detailed ediscovery protocols at the initial-management conference, but they should be prepared to talk about or suggest an outline of a plan that addresses overarching ediscovery issues, flag likely problems and contested matters, and suggest search tools that avoid inefficiencies and unnecessary duplication, which will better inform the court.  At the Rule 16.1 initial-management conference, the parties should indicate whether their discovery plan will consider developing a joint-training protocol for a machine-learning search tool.   </w:t>
      </w:r>
    </w:p>
    <w:p w14:paraId="7B45C559" w14:textId="77777777" w:rsidR="00AF6312" w:rsidRPr="00D63B51" w:rsidRDefault="00AF6312" w:rsidP="00AF6312">
      <w:pPr>
        <w:spacing w:line="360" w:lineRule="auto"/>
        <w:ind w:firstLine="720"/>
        <w:jc w:val="both"/>
      </w:pPr>
      <w:r w:rsidRPr="00D63B51">
        <w:rPr>
          <w:rFonts w:cs="Times New Roman"/>
        </w:rPr>
        <w:t xml:space="preserve">Parties have not used machine-learning tools like TAR or generative-AI search tools to produce documents </w:t>
      </w:r>
      <w:r w:rsidRPr="00D63B51">
        <w:t>in mass-tort MDLs primarily because: (i) plaintiffs will not rely on results produced by “black boxes” trained exclusively by defendants;</w:t>
      </w:r>
      <w:r w:rsidRPr="00D63B51">
        <w:rPr>
          <w:rStyle w:val="FootnoteReference"/>
        </w:rPr>
        <w:footnoteReference w:id="178"/>
      </w:r>
      <w:r w:rsidRPr="00D63B51">
        <w:t xml:space="preserve"> and (ii) defendants will not agree to joint training, which risks disclosing sensitive and confidential documents that are not relevant to the case.</w:t>
      </w:r>
      <w:r w:rsidRPr="00D63B51">
        <w:rPr>
          <w:rStyle w:val="FootnoteReference"/>
        </w:rPr>
        <w:footnoteReference w:id="179"/>
      </w:r>
      <w:r w:rsidRPr="00D63B51">
        <w:t xml:space="preserve">  These obstacles are real but can be addressed if the parties jointly train the search tool under conditions that meet the parties’ respective concerns. If the obstacles are overcome, then the technology produces unbiased results and the lone remaining objection is that the technology is untrustworthy, which is becoming increasingly implausible.  </w:t>
      </w:r>
    </w:p>
    <w:p w14:paraId="3EB0E224" w14:textId="77777777" w:rsidR="00AF6312" w:rsidRPr="00D63B51" w:rsidRDefault="00AF6312" w:rsidP="00AF6312">
      <w:pPr>
        <w:spacing w:line="360" w:lineRule="auto"/>
        <w:ind w:firstLine="720"/>
        <w:jc w:val="both"/>
      </w:pPr>
      <w:r w:rsidRPr="00D63B51">
        <w:t>Carefully crafted joint-training procedures can assure plaintiffs that both parties can reach a sufficient level of agreement on what constitutes responsiveness based on joint examination of hundreds of individual documents used in training and validating results,</w:t>
      </w:r>
      <w:r w:rsidRPr="00D63B51">
        <w:rPr>
          <w:rStyle w:val="FootnoteReference"/>
        </w:rPr>
        <w:footnoteReference w:id="180"/>
      </w:r>
      <w:r w:rsidRPr="00D63B51">
        <w:t xml:space="preserve"> while simultaneously </w:t>
      </w:r>
      <w:r w:rsidRPr="00D63B51">
        <w:lastRenderedPageBreak/>
        <w:t xml:space="preserve">providing safeguards for defendants against disclosing sensitive or confidential matter that is not relevant.  The following best practices set out a framework for such procedures. </w:t>
      </w:r>
    </w:p>
    <w:p w14:paraId="22E04DD4" w14:textId="77777777" w:rsidR="00AF6312" w:rsidRPr="00D63B51" w:rsidRDefault="00AF6312" w:rsidP="00AF6312">
      <w:pPr>
        <w:ind w:left="720" w:right="720"/>
        <w:jc w:val="both"/>
      </w:pPr>
      <w:r w:rsidRPr="00D63B51">
        <w:rPr>
          <w:b/>
          <w:bCs/>
          <w:color w:val="333333"/>
        </w:rPr>
        <w:t xml:space="preserve">Best Practice </w:t>
      </w:r>
      <w:r w:rsidRPr="00D63B51">
        <w:rPr>
          <w:b/>
          <w:bCs/>
        </w:rPr>
        <w:t>MDL-§ 9(b)(i):</w:t>
      </w:r>
      <w:r w:rsidRPr="00D63B51">
        <w:t xml:space="preserve"> Under the outline of a plan for developing a protocol, the responding party should be entitled to withhold for any reason any training or validation document from disclosure to the other side, which it codes as nonresponsive, subject to an </w:t>
      </w:r>
      <w:r w:rsidRPr="00D63B51">
        <w:rPr>
          <w:i/>
          <w:iCs/>
        </w:rPr>
        <w:t>in camera</w:t>
      </w:r>
      <w:r w:rsidRPr="00D63B51">
        <w:t xml:space="preserve"> judicial examination. Permanent No. </w:t>
      </w:r>
      <w:r w:rsidRPr="00D63B51">
        <w:rPr>
          <w:rFonts w:cs="Times New Roman"/>
        </w:rPr>
        <w:t>MDL-§ 18(b)(i)</w:t>
      </w:r>
      <w:r w:rsidRPr="00D63B51">
        <w:t xml:space="preserve">.  </w:t>
      </w:r>
    </w:p>
    <w:p w14:paraId="78B14B6F" w14:textId="77777777" w:rsidR="00AC2B94" w:rsidRPr="00D63B51" w:rsidRDefault="00AC2B94" w:rsidP="00AF6312">
      <w:pPr>
        <w:ind w:left="720" w:right="720"/>
        <w:jc w:val="both"/>
      </w:pPr>
    </w:p>
    <w:p w14:paraId="12169430" w14:textId="7984B78C" w:rsidR="00AF6312" w:rsidRPr="00D63B51" w:rsidRDefault="00AF6312" w:rsidP="00AF6312">
      <w:pPr>
        <w:spacing w:line="360" w:lineRule="auto"/>
        <w:ind w:firstLine="720"/>
        <w:jc w:val="both"/>
      </w:pPr>
      <w:r w:rsidRPr="00D63B51">
        <w:rPr>
          <w:color w:val="333333"/>
        </w:rPr>
        <w:t>The responding party’s objections to disclosing nonresponsive documents can be addressed by allowing th</w:t>
      </w:r>
      <w:r w:rsidR="007B3D65" w:rsidRPr="00D63B51">
        <w:rPr>
          <w:color w:val="333333"/>
        </w:rPr>
        <w:t>at party</w:t>
      </w:r>
      <w:r w:rsidRPr="00D63B51">
        <w:rPr>
          <w:color w:val="333333"/>
        </w:rPr>
        <w:t xml:space="preserve"> to withhold any training or validation document</w:t>
      </w:r>
      <w:r w:rsidR="00003F20" w:rsidRPr="00D63B51">
        <w:rPr>
          <w:color w:val="333333"/>
        </w:rPr>
        <w:t xml:space="preserve"> --</w:t>
      </w:r>
      <w:r w:rsidRPr="00D63B51">
        <w:rPr>
          <w:color w:val="333333"/>
        </w:rPr>
        <w:t xml:space="preserve"> including  documents generated from an AI prompt, query, or exemplar</w:t>
      </w:r>
      <w:r w:rsidR="00003F20" w:rsidRPr="00D63B51">
        <w:rPr>
          <w:color w:val="333333"/>
        </w:rPr>
        <w:t xml:space="preserve"> --</w:t>
      </w:r>
      <w:r w:rsidRPr="00D63B51">
        <w:rPr>
          <w:color w:val="333333"/>
        </w:rPr>
        <w:t xml:space="preserve"> which </w:t>
      </w:r>
      <w:r w:rsidRPr="00D63B51">
        <w:t>it codes as nonresponsive.</w:t>
      </w:r>
      <w:r w:rsidRPr="00D63B51">
        <w:rPr>
          <w:rStyle w:val="FootnoteReference"/>
        </w:rPr>
        <w:footnoteReference w:id="181"/>
      </w:r>
      <w:r w:rsidRPr="00D63B51">
        <w:t xml:space="preserve">  But to assure the accuracy of the coding of the nonresponsive documents that are withheld, a judge or, if authorized by the judge, a special master, must determine in an </w:t>
      </w:r>
      <w:r w:rsidRPr="00D63B51">
        <w:rPr>
          <w:i/>
          <w:iCs/>
        </w:rPr>
        <w:t>in-camera</w:t>
      </w:r>
      <w:r w:rsidRPr="00D63B51">
        <w:t xml:space="preserve"> examination whether the withheld documents are nonresponsive and disclose those deemed to be responsive.</w:t>
      </w:r>
      <w:r w:rsidRPr="00D63B51">
        <w:rPr>
          <w:rStyle w:val="FootnoteReference"/>
        </w:rPr>
        <w:footnoteReference w:id="182"/>
      </w:r>
      <w:r w:rsidRPr="00D63B51">
        <w:t xml:space="preserve"> </w:t>
      </w:r>
      <w:r w:rsidRPr="00D63B51">
        <w:rPr>
          <w:color w:val="333333"/>
        </w:rPr>
        <w:t xml:space="preserve">The parties should agree on the maximum number of documents that the responding party can assert are nonresponsive and withhold them for the </w:t>
      </w:r>
      <w:r w:rsidRPr="00D63B51">
        <w:rPr>
          <w:i/>
          <w:iCs/>
          <w:color w:val="333333"/>
        </w:rPr>
        <w:t>in camera</w:t>
      </w:r>
      <w:r w:rsidRPr="00D63B51">
        <w:rPr>
          <w:color w:val="333333"/>
        </w:rPr>
        <w:t xml:space="preserve"> examination, </w:t>
      </w:r>
      <w:r w:rsidRPr="00D63B51">
        <w:rPr>
          <w:i/>
          <w:iCs/>
          <w:color w:val="333333"/>
        </w:rPr>
        <w:t>e.g</w:t>
      </w:r>
      <w:r w:rsidRPr="00D63B51">
        <w:rPr>
          <w:color w:val="333333"/>
        </w:rPr>
        <w:t>., 25 documents.</w:t>
      </w:r>
      <w:r w:rsidRPr="00D63B51">
        <w:rPr>
          <w:rStyle w:val="FootnoteReference"/>
          <w:color w:val="333333"/>
        </w:rPr>
        <w:footnoteReference w:id="183"/>
      </w:r>
      <w:r w:rsidRPr="00D63B51">
        <w:rPr>
          <w:color w:val="333333"/>
        </w:rPr>
        <w:t xml:space="preserve"> It is anticipated that the responding party will not withhold an excessive number of documents that have no impact and minimize the burden imposed on the court in reviewing documents </w:t>
      </w:r>
      <w:r w:rsidRPr="00D63B51">
        <w:rPr>
          <w:i/>
          <w:iCs/>
          <w:color w:val="333333"/>
        </w:rPr>
        <w:t>in camera</w:t>
      </w:r>
      <w:r w:rsidRPr="00D63B51">
        <w:rPr>
          <w:color w:val="333333"/>
        </w:rPr>
        <w:t>.</w:t>
      </w:r>
      <w:r w:rsidRPr="00D63B51">
        <w:rPr>
          <w:rStyle w:val="FootnoteReference"/>
          <w:color w:val="333333"/>
        </w:rPr>
        <w:footnoteReference w:id="184"/>
      </w:r>
      <w:r w:rsidRPr="00D63B51">
        <w:rPr>
          <w:color w:val="333333"/>
        </w:rPr>
        <w:t xml:space="preserve"> </w:t>
      </w:r>
      <w:r w:rsidRPr="00D63B51">
        <w:t xml:space="preserve"> </w:t>
      </w:r>
    </w:p>
    <w:p w14:paraId="3CF6557E" w14:textId="77777777" w:rsidR="001C2F82" w:rsidRPr="00D63B51" w:rsidRDefault="00AF6312" w:rsidP="00AF6312">
      <w:pPr>
        <w:ind w:left="720" w:right="720"/>
        <w:jc w:val="both"/>
      </w:pPr>
      <w:r w:rsidRPr="00D63B51">
        <w:rPr>
          <w:b/>
          <w:bCs/>
          <w:color w:val="333333"/>
        </w:rPr>
        <w:lastRenderedPageBreak/>
        <w:t xml:space="preserve">Best Practice </w:t>
      </w:r>
      <w:r w:rsidRPr="00D63B51">
        <w:rPr>
          <w:b/>
          <w:bCs/>
        </w:rPr>
        <w:t>MDL-§ 9(b)(ii):</w:t>
      </w:r>
      <w:r w:rsidRPr="00D63B51">
        <w:t xml:space="preserve"> The outline of a plan for developing an ediscovery  protocol should provide for the consideration of key functions, including: </w:t>
      </w:r>
    </w:p>
    <w:p w14:paraId="5082E59D" w14:textId="77777777" w:rsidR="001C2F82" w:rsidRPr="00D63B51" w:rsidRDefault="00AF6312" w:rsidP="00AF6312">
      <w:pPr>
        <w:ind w:left="720" w:right="720"/>
        <w:jc w:val="both"/>
      </w:pPr>
      <w:r w:rsidRPr="00D63B51">
        <w:t xml:space="preserve">(i) jointly coding training documents for responsiveness; </w:t>
      </w:r>
    </w:p>
    <w:p w14:paraId="10FDC140" w14:textId="77777777" w:rsidR="001C2F82" w:rsidRPr="00D63B51" w:rsidRDefault="00AF6312" w:rsidP="00AF6312">
      <w:pPr>
        <w:ind w:left="720" w:right="720"/>
        <w:jc w:val="both"/>
      </w:pPr>
      <w:r w:rsidRPr="00D63B51">
        <w:t xml:space="preserve">(ii) limiting the number of attorneys given access to all training and validating documents for review; </w:t>
      </w:r>
    </w:p>
    <w:p w14:paraId="708C6A01" w14:textId="77777777" w:rsidR="001C2F82" w:rsidRPr="00D63B51" w:rsidRDefault="00AF6312" w:rsidP="00AF6312">
      <w:pPr>
        <w:ind w:left="720" w:right="720"/>
        <w:jc w:val="both"/>
      </w:pPr>
      <w:r w:rsidRPr="00D63B51">
        <w:t xml:space="preserve">(iii) restricting the use of documents on a confidential basis for training or validation purposes only; and </w:t>
      </w:r>
    </w:p>
    <w:p w14:paraId="073FA492" w14:textId="71EB724A" w:rsidR="00AF6312" w:rsidRPr="00D63B51" w:rsidRDefault="00AF6312" w:rsidP="00AF6312">
      <w:pPr>
        <w:ind w:left="720" w:right="720"/>
        <w:jc w:val="both"/>
      </w:pPr>
      <w:r w:rsidRPr="00D63B51">
        <w:t xml:space="preserve">(iv) establishing a sound and transparent process to validate the results of the machine-learning searches. Permanent No. </w:t>
      </w:r>
      <w:r w:rsidRPr="00D63B51">
        <w:rPr>
          <w:rFonts w:cs="Times New Roman"/>
        </w:rPr>
        <w:t>MDL-§ 18</w:t>
      </w:r>
      <w:r w:rsidRPr="00D63B51">
        <w:t xml:space="preserve">(b)(i). Permanent No. </w:t>
      </w:r>
      <w:r w:rsidRPr="00D63B51">
        <w:rPr>
          <w:rFonts w:cs="Times New Roman"/>
        </w:rPr>
        <w:t>MDL-§ 18</w:t>
      </w:r>
      <w:r w:rsidRPr="00D63B51">
        <w:t>(b)(ii).</w:t>
      </w:r>
    </w:p>
    <w:p w14:paraId="1263AD62" w14:textId="77777777" w:rsidR="009F27E0" w:rsidRPr="00D63B51" w:rsidRDefault="009F27E0" w:rsidP="00AF6312">
      <w:pPr>
        <w:ind w:left="720" w:right="720"/>
        <w:jc w:val="both"/>
      </w:pPr>
    </w:p>
    <w:p w14:paraId="2F99322F" w14:textId="07F82235" w:rsidR="00AF6312" w:rsidRPr="00D63B51" w:rsidRDefault="00AF6312" w:rsidP="00AF6312">
      <w:pPr>
        <w:spacing w:line="360" w:lineRule="auto"/>
        <w:ind w:firstLine="720"/>
        <w:jc w:val="both"/>
        <w:rPr>
          <w:color w:val="333333"/>
        </w:rPr>
      </w:pPr>
      <w:r w:rsidRPr="00D63B51">
        <w:rPr>
          <w:color w:val="333333"/>
        </w:rPr>
        <w:t>Parties frequently object to TAR and generative-AI search methods primarily because of their respective concerns with training and validation</w:t>
      </w:r>
      <w:r w:rsidR="005D5723" w:rsidRPr="00D63B51">
        <w:rPr>
          <w:color w:val="333333"/>
        </w:rPr>
        <w:t xml:space="preserve"> practices and</w:t>
      </w:r>
      <w:r w:rsidRPr="00D63B51">
        <w:rPr>
          <w:color w:val="333333"/>
        </w:rPr>
        <w:t xml:space="preserve"> proce</w:t>
      </w:r>
      <w:r w:rsidR="008E7180" w:rsidRPr="00D63B51">
        <w:rPr>
          <w:color w:val="333333"/>
        </w:rPr>
        <w:t>dures</w:t>
      </w:r>
      <w:r w:rsidRPr="00D63B51">
        <w:rPr>
          <w:color w:val="333333"/>
        </w:rPr>
        <w:t>.  Unless the parties’ concerns are addressed and answered early, the entrenched opposition to technology will likely persist.  The Rule 16.1 initial-management conference offers a good opportunity for the court and willing parties to raise questions and concerns about practices and procedures administering TAR or generative-AI search tools. Understanding how the</w:t>
      </w:r>
      <w:r w:rsidR="008E7180" w:rsidRPr="00D63B51">
        <w:rPr>
          <w:color w:val="333333"/>
        </w:rPr>
        <w:t>se</w:t>
      </w:r>
      <w:r w:rsidRPr="00D63B51">
        <w:rPr>
          <w:color w:val="333333"/>
        </w:rPr>
        <w:t xml:space="preserve"> search tools </w:t>
      </w:r>
      <w:r w:rsidR="008E7180" w:rsidRPr="00D63B51">
        <w:rPr>
          <w:color w:val="333333"/>
        </w:rPr>
        <w:t>work</w:t>
      </w:r>
      <w:r w:rsidRPr="00D63B51">
        <w:rPr>
          <w:color w:val="333333"/>
        </w:rPr>
        <w:t xml:space="preserve"> </w:t>
      </w:r>
      <w:r w:rsidR="00315F8B" w:rsidRPr="00D63B51">
        <w:rPr>
          <w:color w:val="333333"/>
        </w:rPr>
        <w:t>may</w:t>
      </w:r>
      <w:r w:rsidRPr="00D63B51">
        <w:rPr>
          <w:color w:val="333333"/>
        </w:rPr>
        <w:t xml:space="preserve"> allay </w:t>
      </w:r>
      <w:r w:rsidR="00315F8B" w:rsidRPr="00D63B51">
        <w:rPr>
          <w:color w:val="333333"/>
        </w:rPr>
        <w:t>a party’s concerns</w:t>
      </w:r>
      <w:r w:rsidRPr="00D63B51">
        <w:rPr>
          <w:color w:val="333333"/>
        </w:rPr>
        <w:t xml:space="preserve"> </w:t>
      </w:r>
      <w:r w:rsidR="00EC2F97" w:rsidRPr="00D63B51">
        <w:rPr>
          <w:color w:val="333333"/>
        </w:rPr>
        <w:t xml:space="preserve">about the technology and increases </w:t>
      </w:r>
      <w:r w:rsidRPr="00D63B51">
        <w:rPr>
          <w:color w:val="333333"/>
        </w:rPr>
        <w:t xml:space="preserve">the likelihood </w:t>
      </w:r>
      <w:r w:rsidR="001D54D9" w:rsidRPr="00D63B51">
        <w:rPr>
          <w:color w:val="333333"/>
        </w:rPr>
        <w:t xml:space="preserve">that the parties will </w:t>
      </w:r>
      <w:r w:rsidRPr="00D63B51">
        <w:rPr>
          <w:color w:val="333333"/>
        </w:rPr>
        <w:t>accept</w:t>
      </w:r>
      <w:r w:rsidR="00240A98" w:rsidRPr="00D63B51">
        <w:rPr>
          <w:color w:val="333333"/>
        </w:rPr>
        <w:t xml:space="preserve"> the use of TAR or generative-AI search tools</w:t>
      </w:r>
      <w:r w:rsidRPr="00D63B51">
        <w:rPr>
          <w:color w:val="333333"/>
        </w:rPr>
        <w:t>.</w:t>
      </w:r>
    </w:p>
    <w:p w14:paraId="2326F0F2" w14:textId="77777777" w:rsidR="00AF6312" w:rsidRPr="00D63B51" w:rsidRDefault="00AF6312" w:rsidP="00AF6312">
      <w:pPr>
        <w:shd w:val="clear" w:color="auto" w:fill="FFFFFF"/>
        <w:spacing w:line="360" w:lineRule="auto"/>
        <w:jc w:val="both"/>
        <w:rPr>
          <w:rFonts w:eastAsia="Times New Roman" w:cs="Times New Roman"/>
          <w:color w:val="222222"/>
          <w:u w:val="single"/>
        </w:rPr>
      </w:pPr>
      <w:r w:rsidRPr="00D63B51">
        <w:rPr>
          <w:color w:val="333333"/>
        </w:rPr>
        <w:t xml:space="preserve"> </w:t>
      </w:r>
      <w:r w:rsidRPr="00D63B51">
        <w:rPr>
          <w:color w:val="333333"/>
        </w:rPr>
        <w:tab/>
      </w:r>
      <w:r w:rsidRPr="00D63B51">
        <w:rPr>
          <w:rFonts w:eastAsia="Times New Roman" w:cs="Times New Roman"/>
          <w:color w:val="222222"/>
          <w:u w:val="single"/>
        </w:rPr>
        <w:t>Training TAR or Generative-AI Search Tools</w:t>
      </w:r>
    </w:p>
    <w:p w14:paraId="27F62C69" w14:textId="706E8EC8" w:rsidR="00AF6312" w:rsidRPr="00D63B51" w:rsidRDefault="00AF6312" w:rsidP="00AF6312">
      <w:pPr>
        <w:spacing w:line="360" w:lineRule="auto"/>
        <w:ind w:firstLine="720"/>
        <w:jc w:val="both"/>
        <w:rPr>
          <w:color w:val="333333"/>
        </w:rPr>
      </w:pPr>
      <w:r w:rsidRPr="00D63B51">
        <w:rPr>
          <w:color w:val="333333"/>
        </w:rPr>
        <w:t xml:space="preserve">Training </w:t>
      </w:r>
      <w:r w:rsidR="00696DD9" w:rsidRPr="00D63B51">
        <w:rPr>
          <w:color w:val="333333"/>
        </w:rPr>
        <w:t xml:space="preserve">and validation </w:t>
      </w:r>
      <w:r w:rsidRPr="00D63B51">
        <w:rPr>
          <w:color w:val="333333"/>
        </w:rPr>
        <w:t xml:space="preserve">of TAR or generative AI can be administered under procedures that address the parties’ respective concerns. Training and validation are typically performed on an agreed-upon manageable number of documents drawn from a random sample, </w:t>
      </w:r>
      <w:r w:rsidRPr="00D63B51">
        <w:rPr>
          <w:i/>
          <w:iCs/>
          <w:color w:val="333333"/>
        </w:rPr>
        <w:t>e.g</w:t>
      </w:r>
      <w:r w:rsidRPr="00D63B51">
        <w:rPr>
          <w:color w:val="333333"/>
        </w:rPr>
        <w:t>., 500-1,750 documents.</w:t>
      </w:r>
      <w:r w:rsidRPr="00D63B51">
        <w:rPr>
          <w:rStyle w:val="FootnoteReference"/>
          <w:color w:val="333333"/>
        </w:rPr>
        <w:footnoteReference w:id="185"/>
      </w:r>
      <w:r w:rsidRPr="00D63B51">
        <w:rPr>
          <w:color w:val="333333"/>
        </w:rPr>
        <w:t xml:space="preserve"> After the machine is trained based on the random sample, the responding party applies the program to the entire corpus and the machine ranks documents in order of significance in </w:t>
      </w:r>
      <w:r w:rsidR="00293505" w:rsidRPr="00D63B51">
        <w:rPr>
          <w:color w:val="333333"/>
        </w:rPr>
        <w:lastRenderedPageBreak/>
        <w:t>r</w:t>
      </w:r>
      <w:r w:rsidRPr="00D63B51">
        <w:rPr>
          <w:color w:val="333333"/>
        </w:rPr>
        <w:t>esolving the issues.</w:t>
      </w:r>
      <w:r w:rsidRPr="00D63B51">
        <w:rPr>
          <w:rStyle w:val="FootnoteReference"/>
          <w:rFonts w:cs="Times New Roman"/>
        </w:rPr>
        <w:footnoteReference w:id="186"/>
      </w:r>
      <w:r w:rsidRPr="00D63B51">
        <w:rPr>
          <w:color w:val="333333"/>
        </w:rPr>
        <w:t xml:space="preserve"> The responding party provides agreed-upon metrics on the success of the searches.</w:t>
      </w:r>
      <w:r w:rsidRPr="00D63B51">
        <w:rPr>
          <w:rStyle w:val="FootnoteReference"/>
          <w:color w:val="333333"/>
        </w:rPr>
        <w:footnoteReference w:id="187"/>
      </w:r>
      <w:r w:rsidRPr="00D63B51">
        <w:rPr>
          <w:color w:val="333333"/>
        </w:rPr>
        <w:t xml:space="preserve"> The results are validated from a random sampling of nonresponsive documents.</w:t>
      </w:r>
      <w:r w:rsidRPr="00D63B51">
        <w:rPr>
          <w:rStyle w:val="FootnoteReference"/>
          <w:color w:val="333333"/>
        </w:rPr>
        <w:footnoteReference w:id="188"/>
      </w:r>
    </w:p>
    <w:p w14:paraId="2A129056" w14:textId="051869BB" w:rsidR="00AF6312" w:rsidRPr="00D63B51" w:rsidRDefault="00AF6312" w:rsidP="00AF6312">
      <w:pPr>
        <w:spacing w:line="360" w:lineRule="auto"/>
        <w:ind w:firstLine="720"/>
        <w:jc w:val="both"/>
        <w:rPr>
          <w:color w:val="333333"/>
        </w:rPr>
      </w:pPr>
      <w:r w:rsidRPr="00D63B51">
        <w:rPr>
          <w:color w:val="333333"/>
        </w:rPr>
        <w:t xml:space="preserve">At the training stage, if TAR is used, both parties should jointly code </w:t>
      </w:r>
      <w:r w:rsidR="00F637CF" w:rsidRPr="00D63B51">
        <w:rPr>
          <w:color w:val="333333"/>
        </w:rPr>
        <w:t xml:space="preserve">a random sample of </w:t>
      </w:r>
      <w:r w:rsidRPr="00D63B51">
        <w:rPr>
          <w:color w:val="333333"/>
        </w:rPr>
        <w:t xml:space="preserve">documents for responsiveness </w:t>
      </w:r>
      <w:r w:rsidR="00F637CF" w:rsidRPr="00D63B51">
        <w:rPr>
          <w:color w:val="333333"/>
        </w:rPr>
        <w:t>to enable</w:t>
      </w:r>
      <w:r w:rsidRPr="00D63B51">
        <w:rPr>
          <w:color w:val="333333"/>
        </w:rPr>
        <w:t xml:space="preserve"> the TAR machine to learn and predict other documents likely to be responsive in successive rounds.</w:t>
      </w:r>
      <w:r w:rsidRPr="00D63B51">
        <w:rPr>
          <w:rStyle w:val="FootnoteReference"/>
          <w:color w:val="333333"/>
        </w:rPr>
        <w:footnoteReference w:id="189"/>
      </w:r>
      <w:r w:rsidRPr="00D63B51">
        <w:rPr>
          <w:color w:val="333333"/>
        </w:rPr>
        <w:t xml:space="preserve">  If a generative-AI tool is used, both parties should draft the query, prompt, or exemplar and review and agree on the coding of documents produced by the inquiries. Both sides must agree on which documents are responsive before advancing the review to the entire corpus of documents.  </w:t>
      </w:r>
    </w:p>
    <w:p w14:paraId="25380511" w14:textId="77777777" w:rsidR="00AF6312" w:rsidRPr="00D63B51" w:rsidRDefault="00AF6312" w:rsidP="00AF6312">
      <w:pPr>
        <w:spacing w:line="360" w:lineRule="auto"/>
        <w:ind w:firstLine="720"/>
        <w:jc w:val="both"/>
        <w:rPr>
          <w:color w:val="333333"/>
        </w:rPr>
      </w:pPr>
      <w:r w:rsidRPr="00D63B51">
        <w:rPr>
          <w:color w:val="333333"/>
        </w:rPr>
        <w:t>The responding party must be given the opportunity to initially review and code the documents drawn from the random sampling to train TAR or the documents generated by the AI query, prompt, or exemplar.</w:t>
      </w:r>
      <w:r w:rsidRPr="00D63B51">
        <w:rPr>
          <w:rStyle w:val="FootnoteReference"/>
          <w:color w:val="333333"/>
        </w:rPr>
        <w:footnoteReference w:id="190"/>
      </w:r>
      <w:r w:rsidRPr="00D63B51">
        <w:rPr>
          <w:color w:val="333333"/>
        </w:rPr>
        <w:t xml:space="preserve">  The parties can resolve any disagreements on the responsiveness of disclosed documents at a meet-and-confer meeting and raise any unresolved matters with the court.</w:t>
      </w:r>
      <w:r w:rsidRPr="00D63B51">
        <w:rPr>
          <w:rStyle w:val="FootnoteReference"/>
          <w:color w:val="333333"/>
        </w:rPr>
        <w:footnoteReference w:id="191"/>
      </w:r>
      <w:r w:rsidRPr="00D63B51">
        <w:rPr>
          <w:color w:val="333333"/>
        </w:rPr>
        <w:t xml:space="preserve"> </w:t>
      </w:r>
    </w:p>
    <w:p w14:paraId="10F7F0B9" w14:textId="660E51F5" w:rsidR="000473BF" w:rsidRPr="00D63B51" w:rsidRDefault="00AF6312" w:rsidP="00AF6312">
      <w:pPr>
        <w:spacing w:line="360" w:lineRule="auto"/>
        <w:ind w:firstLine="720"/>
        <w:jc w:val="both"/>
        <w:rPr>
          <w:rFonts w:cs="Times New Roman"/>
          <w:u w:val="single"/>
        </w:rPr>
      </w:pPr>
      <w:r w:rsidRPr="00D63B51">
        <w:rPr>
          <w:color w:val="333333"/>
        </w:rPr>
        <w:lastRenderedPageBreak/>
        <w:t xml:space="preserve">The responding party should make arrangements for a limited number of lawyers from the requesting party to review training documents at a private location, </w:t>
      </w:r>
      <w:r w:rsidRPr="00D63B51">
        <w:rPr>
          <w:i/>
          <w:iCs/>
          <w:color w:val="333333"/>
        </w:rPr>
        <w:t>e.g.,</w:t>
      </w:r>
      <w:r w:rsidRPr="00D63B51">
        <w:rPr>
          <w:color w:val="333333"/>
        </w:rPr>
        <w:t xml:space="preserve"> law offices, or on a secure web-based viewer within an agreed time, </w:t>
      </w:r>
      <w:r w:rsidRPr="00D63B51">
        <w:rPr>
          <w:i/>
          <w:iCs/>
          <w:color w:val="333333"/>
        </w:rPr>
        <w:t>e.g.,</w:t>
      </w:r>
      <w:r w:rsidRPr="00D63B51">
        <w:rPr>
          <w:color w:val="333333"/>
        </w:rPr>
        <w:t xml:space="preserve"> two or three weeks.</w:t>
      </w:r>
      <w:r w:rsidRPr="00D63B51">
        <w:rPr>
          <w:rStyle w:val="FootnoteReference"/>
          <w:color w:val="333333"/>
        </w:rPr>
        <w:footnoteReference w:id="192"/>
      </w:r>
      <w:r w:rsidRPr="00D63B51">
        <w:rPr>
          <w:color w:val="333333"/>
        </w:rPr>
        <w:t xml:space="preserve"> The parties </w:t>
      </w:r>
      <w:r w:rsidR="008A4EB2" w:rsidRPr="00D63B51">
        <w:rPr>
          <w:color w:val="333333"/>
        </w:rPr>
        <w:t>may also</w:t>
      </w:r>
      <w:r w:rsidRPr="00D63B51">
        <w:rPr>
          <w:color w:val="333333"/>
        </w:rPr>
        <w:t xml:space="preserve"> agree that </w:t>
      </w:r>
      <w:r w:rsidR="00DA2337" w:rsidRPr="00D63B51">
        <w:rPr>
          <w:color w:val="333333"/>
        </w:rPr>
        <w:t xml:space="preserve">the </w:t>
      </w:r>
      <w:r w:rsidRPr="00D63B51">
        <w:rPr>
          <w:color w:val="333333"/>
        </w:rPr>
        <w:t xml:space="preserve">document </w:t>
      </w:r>
      <w:r w:rsidR="00DA2337" w:rsidRPr="00D63B51">
        <w:rPr>
          <w:color w:val="333333"/>
        </w:rPr>
        <w:t xml:space="preserve">disclosure </w:t>
      </w:r>
      <w:r w:rsidRPr="00D63B51">
        <w:rPr>
          <w:color w:val="333333"/>
        </w:rPr>
        <w:t xml:space="preserve">is for limited purposes </w:t>
      </w:r>
      <w:r w:rsidR="00EE4341" w:rsidRPr="00D63B51">
        <w:rPr>
          <w:color w:val="333333"/>
        </w:rPr>
        <w:t>and that the documents disclosed are subject to</w:t>
      </w:r>
      <w:r w:rsidRPr="00D63B51">
        <w:rPr>
          <w:color w:val="333333"/>
        </w:rPr>
        <w:t xml:space="preserve"> strict conditions</w:t>
      </w:r>
      <w:r w:rsidR="00EE4341" w:rsidRPr="00D63B51">
        <w:rPr>
          <w:color w:val="333333"/>
        </w:rPr>
        <w:t xml:space="preserve"> on use</w:t>
      </w:r>
      <w:r w:rsidRPr="00D63B51">
        <w:rPr>
          <w:color w:val="333333"/>
        </w:rPr>
        <w:t xml:space="preserve">, </w:t>
      </w:r>
      <w:r w:rsidR="0092108F" w:rsidRPr="00D63B51">
        <w:rPr>
          <w:color w:val="333333"/>
        </w:rPr>
        <w:t xml:space="preserve">such as </w:t>
      </w:r>
      <w:r w:rsidRPr="00D63B51">
        <w:rPr>
          <w:color w:val="333333"/>
        </w:rPr>
        <w:t>prohibit</w:t>
      </w:r>
      <w:r w:rsidR="0092108F" w:rsidRPr="00D63B51">
        <w:rPr>
          <w:color w:val="333333"/>
        </w:rPr>
        <w:t>ions on</w:t>
      </w:r>
      <w:r w:rsidRPr="00D63B51">
        <w:rPr>
          <w:color w:val="333333"/>
        </w:rPr>
        <w:t xml:space="preserve"> copying or dissemination.</w:t>
      </w:r>
      <w:r w:rsidRPr="00D63B51">
        <w:rPr>
          <w:rStyle w:val="FootnoteReference"/>
          <w:color w:val="333333"/>
        </w:rPr>
        <w:footnoteReference w:id="193"/>
      </w:r>
      <w:r w:rsidRPr="00D63B51">
        <w:rPr>
          <w:color w:val="333333"/>
        </w:rPr>
        <w:t xml:space="preserve"> </w:t>
      </w:r>
    </w:p>
    <w:p w14:paraId="17781FEC" w14:textId="77777777" w:rsidR="0089283E" w:rsidRPr="00D63B51" w:rsidRDefault="0089283E" w:rsidP="0089283E">
      <w:pPr>
        <w:spacing w:line="360" w:lineRule="auto"/>
        <w:ind w:firstLine="720"/>
        <w:jc w:val="both"/>
        <w:rPr>
          <w:rFonts w:cs="Times New Roman"/>
        </w:rPr>
      </w:pPr>
      <w:r w:rsidRPr="00D63B51">
        <w:rPr>
          <w:rFonts w:cs="Times New Roman"/>
          <w:u w:val="single"/>
        </w:rPr>
        <w:t>Validating Results of TAR or Generative-AI Searches</w:t>
      </w:r>
    </w:p>
    <w:p w14:paraId="766D5914" w14:textId="77777777" w:rsidR="0089283E" w:rsidRPr="00D63B51" w:rsidRDefault="0089283E" w:rsidP="0089283E">
      <w:pPr>
        <w:spacing w:line="360" w:lineRule="auto"/>
        <w:ind w:firstLine="720"/>
        <w:jc w:val="both"/>
        <w:rPr>
          <w:rFonts w:cs="Times New Roman"/>
          <w:color w:val="333333"/>
        </w:rPr>
      </w:pPr>
      <w:r w:rsidRPr="00D63B51">
        <w:rPr>
          <w:rFonts w:cs="Times New Roman"/>
        </w:rPr>
        <w:t>If the parties jointly train the machine-learning tool, they share responsibility for its results. In addition to appropriate training, validation of the results is a key component of an effective machine-learning search protocol.</w:t>
      </w:r>
      <w:r w:rsidRPr="00D63B51">
        <w:rPr>
          <w:rFonts w:cs="Times New Roman"/>
          <w:color w:val="333333"/>
        </w:rPr>
        <w:t xml:space="preserve"> </w:t>
      </w:r>
    </w:p>
    <w:p w14:paraId="5BFF44E2" w14:textId="57F03447" w:rsidR="0089283E" w:rsidRPr="00D63B51" w:rsidRDefault="0089283E" w:rsidP="0089283E">
      <w:pPr>
        <w:spacing w:line="360" w:lineRule="auto"/>
        <w:ind w:firstLine="720"/>
        <w:contextualSpacing/>
        <w:jc w:val="both"/>
        <w:rPr>
          <w:rFonts w:cs="Times New Roman"/>
          <w:color w:val="333333"/>
        </w:rPr>
      </w:pPr>
      <w:r w:rsidRPr="00D63B51">
        <w:rPr>
          <w:rFonts w:cs="Times New Roman"/>
        </w:rPr>
        <w:t>TAR and generative-AI search tools can rank documents in order of responsiveness.  This offers several ways to validate the trained model.</w:t>
      </w:r>
      <w:r w:rsidRPr="00D63B51">
        <w:rPr>
          <w:rFonts w:cs="Times New Roman"/>
          <w:vertAlign w:val="superscript"/>
        </w:rPr>
        <w:footnoteReference w:id="194"/>
      </w:r>
      <w:r w:rsidRPr="00D63B51">
        <w:rPr>
          <w:rFonts w:cs="Times New Roman"/>
        </w:rPr>
        <w:t xml:space="preserve"> By reviewing ranked documents below an agreed-upon cutoff point, the parties can ensure that documents that are consequential in resolving the issues, have not been omitted.</w:t>
      </w:r>
      <w:r w:rsidRPr="00D63B51">
        <w:rPr>
          <w:rFonts w:cs="Times New Roman"/>
          <w:vertAlign w:val="superscript"/>
        </w:rPr>
        <w:footnoteReference w:id="195"/>
      </w:r>
      <w:r w:rsidRPr="00D63B51">
        <w:rPr>
          <w:rFonts w:cs="Times New Roman"/>
        </w:rPr>
        <w:t xml:space="preserve"> For example, the requesting party could review an agreed number of randomly sampled documents from each decile below the designated cut-off point (</w:t>
      </w:r>
      <w:r w:rsidRPr="00D63B51">
        <w:rPr>
          <w:rFonts w:cs="Times New Roman"/>
          <w:i/>
          <w:iCs/>
        </w:rPr>
        <w:t>e.g</w:t>
      </w:r>
      <w:r w:rsidRPr="00D63B51">
        <w:rPr>
          <w:rFonts w:cs="Times New Roman"/>
        </w:rPr>
        <w:t>., if the cutoff point is 70, the requesting part</w:t>
      </w:r>
      <w:r w:rsidR="00526E81" w:rsidRPr="00D63B51">
        <w:rPr>
          <w:rFonts w:cs="Times New Roman"/>
        </w:rPr>
        <w:t>y</w:t>
      </w:r>
      <w:r w:rsidRPr="00D63B51">
        <w:rPr>
          <w:rFonts w:cs="Times New Roman"/>
        </w:rPr>
        <w:t xml:space="preserve"> would select </w:t>
      </w:r>
      <w:r w:rsidR="007451F5" w:rsidRPr="00D63B51">
        <w:rPr>
          <w:rFonts w:cs="Times New Roman"/>
        </w:rPr>
        <w:t>an agreed-upon number of</w:t>
      </w:r>
      <w:r w:rsidRPr="00D63B51">
        <w:rPr>
          <w:rFonts w:cs="Times New Roman"/>
        </w:rPr>
        <w:t xml:space="preserve"> documents classified 60-70, 50-60, 40-50, </w:t>
      </w:r>
      <w:r w:rsidRPr="00D63B51">
        <w:rPr>
          <w:rFonts w:cs="Times New Roman"/>
          <w:i/>
          <w:iCs/>
        </w:rPr>
        <w:t>etc</w:t>
      </w:r>
      <w:r w:rsidRPr="00D63B51">
        <w:rPr>
          <w:rFonts w:cs="Times New Roman"/>
        </w:rPr>
        <w:t xml:space="preserve">.) or simply a </w:t>
      </w:r>
      <w:r w:rsidRPr="00D63B51">
        <w:rPr>
          <w:rFonts w:cs="Times New Roman"/>
          <w:color w:val="333333"/>
        </w:rPr>
        <w:t>random sampling of documents below the cutoff threshold.</w:t>
      </w:r>
      <w:r w:rsidRPr="00D63B51">
        <w:rPr>
          <w:rFonts w:cs="Times New Roman"/>
          <w:color w:val="333333"/>
          <w:vertAlign w:val="superscript"/>
        </w:rPr>
        <w:footnoteReference w:id="196"/>
      </w:r>
      <w:r w:rsidRPr="00D63B51">
        <w:rPr>
          <w:rFonts w:cs="Times New Roman"/>
          <w:color w:val="333333"/>
        </w:rPr>
        <w:t xml:space="preserve">  </w:t>
      </w:r>
    </w:p>
    <w:p w14:paraId="6B026C3D" w14:textId="77777777" w:rsidR="0089283E" w:rsidRPr="00D63B51" w:rsidRDefault="0089283E" w:rsidP="0089283E">
      <w:pPr>
        <w:spacing w:line="360" w:lineRule="auto"/>
        <w:ind w:firstLine="720"/>
        <w:contextualSpacing/>
        <w:jc w:val="both"/>
        <w:rPr>
          <w:rFonts w:cs="Times New Roman"/>
          <w:color w:val="333333"/>
          <w:u w:val="single"/>
        </w:rPr>
      </w:pPr>
      <w:r w:rsidRPr="00D63B51">
        <w:rPr>
          <w:rFonts w:cs="Times New Roman"/>
          <w:color w:val="333333"/>
          <w:u w:val="single"/>
        </w:rPr>
        <w:t>Disclosure of Non-Responsive Documents in Training and Validation</w:t>
      </w:r>
    </w:p>
    <w:p w14:paraId="56FF4DB4" w14:textId="77777777" w:rsidR="0089283E" w:rsidRPr="00D63B51" w:rsidRDefault="0089283E" w:rsidP="0089283E">
      <w:pPr>
        <w:shd w:val="clear" w:color="auto" w:fill="FFFFFF"/>
        <w:spacing w:line="360" w:lineRule="auto"/>
        <w:ind w:firstLine="720"/>
        <w:jc w:val="both"/>
        <w:rPr>
          <w:rFonts w:eastAsia="Times New Roman" w:cs="Times New Roman"/>
          <w:color w:val="222222"/>
        </w:rPr>
      </w:pPr>
      <w:r w:rsidRPr="00D63B51">
        <w:rPr>
          <w:color w:val="333333"/>
        </w:rPr>
        <w:t xml:space="preserve">Machine-learning search tools, including TAR and generative-AI, still depend on human input to train and validate responsiveness. Relevance and responsiveness are often disputed among </w:t>
      </w:r>
      <w:r w:rsidRPr="00D63B51">
        <w:rPr>
          <w:color w:val="333333"/>
        </w:rPr>
        <w:lastRenderedPageBreak/>
        <w:t>aligned counsel — much less opposing counsel.</w:t>
      </w:r>
      <w:r w:rsidRPr="00D63B51">
        <w:rPr>
          <w:rFonts w:eastAsia="Times New Roman" w:cs="Times New Roman"/>
          <w:color w:val="222222"/>
          <w:vertAlign w:val="superscript"/>
        </w:rPr>
        <w:footnoteReference w:id="197"/>
      </w:r>
      <w:r w:rsidRPr="00D63B51">
        <w:rPr>
          <w:color w:val="333333"/>
        </w:rPr>
        <w:t xml:space="preserve">  Because the requesting party’s counsel cannot verify reliability, they are concerned about the lack of insight into the responding party’s responsiveness decisions. Of course, in document reviews done exclusively by human reviewers without the assistance of machine-learning tools, opposing parties are similarly in the dark with respect to the responsiveness calls made by those reviewers. </w:t>
      </w:r>
      <w:r w:rsidRPr="00D63B51">
        <w:rPr>
          <w:rFonts w:cs="Times New Roman"/>
          <w:color w:val="333333"/>
        </w:rPr>
        <w:t>Commonly, the requesting party responds by pressing for expansive collections, review, and productions, and by challenging the review process as underinclusive.</w:t>
      </w:r>
      <w:r w:rsidRPr="00D63B51">
        <w:rPr>
          <w:rFonts w:eastAsia="Times New Roman" w:cs="Times New Roman"/>
          <w:color w:val="222222"/>
          <w:vertAlign w:val="superscript"/>
        </w:rPr>
        <w:footnoteReference w:id="198"/>
      </w:r>
      <w:r w:rsidRPr="00D63B51">
        <w:rPr>
          <w:rFonts w:eastAsia="Times New Roman" w:cs="Times New Roman"/>
          <w:color w:val="222222"/>
        </w:rPr>
        <w:t xml:space="preserve"> </w:t>
      </w:r>
      <w:r w:rsidRPr="00D63B51">
        <w:rPr>
          <w:rFonts w:cs="Times New Roman"/>
          <w:color w:val="333333"/>
        </w:rPr>
        <w:t xml:space="preserve"> </w:t>
      </w:r>
    </w:p>
    <w:p w14:paraId="1B54E1D0" w14:textId="77777777" w:rsidR="0089283E" w:rsidRPr="00D63B51" w:rsidRDefault="0089283E" w:rsidP="0089283E">
      <w:pPr>
        <w:shd w:val="clear" w:color="auto" w:fill="FFFFFF"/>
        <w:spacing w:after="160" w:line="360" w:lineRule="auto"/>
        <w:ind w:firstLine="720"/>
        <w:jc w:val="both"/>
        <w:rPr>
          <w:color w:val="333333"/>
        </w:rPr>
      </w:pPr>
      <w:r w:rsidRPr="00D63B51">
        <w:rPr>
          <w:rFonts w:cs="Times New Roman"/>
          <w:color w:val="333333"/>
        </w:rPr>
        <w:t>Transparent random-sampling or generative-AI validation process can effectively address the requesting party’s concerns about reliability.</w:t>
      </w:r>
      <w:r w:rsidRPr="00D63B51">
        <w:rPr>
          <w:rFonts w:cs="Times New Roman"/>
          <w:color w:val="333333"/>
          <w:vertAlign w:val="superscript"/>
        </w:rPr>
        <w:footnoteReference w:id="199"/>
      </w:r>
      <w:r w:rsidRPr="00D63B51">
        <w:rPr>
          <w:rFonts w:cs="Times New Roman"/>
          <w:color w:val="333333"/>
        </w:rPr>
        <w:t xml:space="preserve">  </w:t>
      </w:r>
      <w:r w:rsidRPr="00D63B51">
        <w:rPr>
          <w:color w:val="333333"/>
        </w:rPr>
        <w:t>In other words, for both the training documents and the validation sample documents, a responding party should disclose nonprivileged documents it coded nonresponsive, withholding documents for reasons other than non-responsiveness (such as those that may cause annoyance or embarrassment) for judicial</w:t>
      </w:r>
      <w:r w:rsidRPr="00D63B51">
        <w:rPr>
          <w:i/>
          <w:iCs/>
          <w:color w:val="333333"/>
        </w:rPr>
        <w:t xml:space="preserve"> in camera</w:t>
      </w:r>
      <w:r w:rsidRPr="00D63B51">
        <w:rPr>
          <w:color w:val="333333"/>
        </w:rPr>
        <w:t xml:space="preserve"> examination, if necessary.</w:t>
      </w:r>
      <w:r w:rsidRPr="00D63B51">
        <w:rPr>
          <w:color w:val="333333"/>
          <w:vertAlign w:val="superscript"/>
        </w:rPr>
        <w:footnoteReference w:id="200"/>
      </w:r>
      <w:r w:rsidRPr="00D63B51">
        <w:rPr>
          <w:color w:val="333333"/>
        </w:rPr>
        <w:t xml:space="preserve"> </w:t>
      </w:r>
    </w:p>
    <w:p w14:paraId="22679FDD" w14:textId="307EEBF8" w:rsidR="0089283E" w:rsidRPr="00D63B51" w:rsidRDefault="0089283E" w:rsidP="0089283E">
      <w:pPr>
        <w:spacing w:line="360" w:lineRule="auto"/>
        <w:ind w:firstLine="720"/>
        <w:contextualSpacing/>
        <w:jc w:val="both"/>
        <w:rPr>
          <w:rFonts w:eastAsia="Times New Roman" w:cs="Times New Roman"/>
          <w:color w:val="222222"/>
        </w:rPr>
      </w:pPr>
      <w:r w:rsidRPr="00D63B51">
        <w:rPr>
          <w:rFonts w:cs="Times New Roman"/>
          <w:color w:val="333333"/>
        </w:rPr>
        <w:t xml:space="preserve">To address concerns from the responding party that providing so much non-responsive material will </w:t>
      </w:r>
      <w:r w:rsidRPr="00D63B51">
        <w:rPr>
          <w:rFonts w:eastAsia="Times New Roman" w:cs="Times New Roman"/>
          <w:color w:val="222222"/>
        </w:rPr>
        <w:t>open a can of worms and invite unwarranted fishing expeditions,</w:t>
      </w:r>
      <w:r w:rsidRPr="00D63B51">
        <w:rPr>
          <w:rFonts w:eastAsia="Times New Roman" w:cs="Times New Roman"/>
          <w:color w:val="222222"/>
          <w:vertAlign w:val="superscript"/>
        </w:rPr>
        <w:footnoteReference w:id="201"/>
      </w:r>
      <w:r w:rsidRPr="00D63B51">
        <w:rPr>
          <w:rFonts w:eastAsia="Times New Roman" w:cs="Times New Roman"/>
          <w:color w:val="222222"/>
        </w:rPr>
        <w:t xml:space="preserve">  </w:t>
      </w:r>
      <w:r w:rsidRPr="00D63B51">
        <w:rPr>
          <w:rFonts w:cs="Times New Roman"/>
          <w:color w:val="333333"/>
        </w:rPr>
        <w:t xml:space="preserve">the </w:t>
      </w:r>
      <w:r w:rsidRPr="00D63B51">
        <w:rPr>
          <w:rFonts w:eastAsia="Times New Roman" w:cs="Times New Roman"/>
          <w:color w:val="222222"/>
        </w:rPr>
        <w:t xml:space="preserve">Center’s “Optimum Proportionality Ediscovery Standard” (OPES) endorses the transparent random-sampling and validation processes and </w:t>
      </w:r>
      <w:r w:rsidRPr="00D63B51">
        <w:rPr>
          <w:rFonts w:cs="Times New Roman"/>
          <w:color w:val="333333"/>
        </w:rPr>
        <w:t>provides the responding party the absolute right to withhold any document that it has concerns about</w:t>
      </w:r>
      <w:r w:rsidR="00426C7E" w:rsidRPr="00D63B51">
        <w:rPr>
          <w:rFonts w:cs="Times New Roman"/>
          <w:color w:val="333333"/>
        </w:rPr>
        <w:t xml:space="preserve">, subject to limits </w:t>
      </w:r>
      <w:r w:rsidR="00114B50" w:rsidRPr="00D63B51">
        <w:rPr>
          <w:rFonts w:cs="Times New Roman"/>
          <w:color w:val="333333"/>
        </w:rPr>
        <w:t xml:space="preserve">on the </w:t>
      </w:r>
      <w:r w:rsidR="00AE6DEC" w:rsidRPr="00D63B51">
        <w:rPr>
          <w:rFonts w:cs="Times New Roman"/>
          <w:color w:val="333333"/>
        </w:rPr>
        <w:t>maximum</w:t>
      </w:r>
      <w:r w:rsidR="00114B50" w:rsidRPr="00D63B51">
        <w:rPr>
          <w:rFonts w:cs="Times New Roman"/>
          <w:color w:val="333333"/>
        </w:rPr>
        <w:t xml:space="preserve"> </w:t>
      </w:r>
      <w:r w:rsidR="00F63F0D" w:rsidRPr="00D63B51">
        <w:rPr>
          <w:rFonts w:cs="Times New Roman"/>
          <w:color w:val="333333"/>
        </w:rPr>
        <w:t>number</w:t>
      </w:r>
      <w:r w:rsidR="00114B50" w:rsidRPr="00D63B51">
        <w:rPr>
          <w:rFonts w:cs="Times New Roman"/>
          <w:color w:val="333333"/>
        </w:rPr>
        <w:t xml:space="preserve"> of withheld </w:t>
      </w:r>
      <w:r w:rsidR="00114B50" w:rsidRPr="00D63B51">
        <w:rPr>
          <w:rFonts w:cs="Times New Roman"/>
          <w:color w:val="333333"/>
        </w:rPr>
        <w:lastRenderedPageBreak/>
        <w:t>documents agreed to by the parties</w:t>
      </w:r>
      <w:r w:rsidRPr="00D63B51">
        <w:rPr>
          <w:rFonts w:cs="Times New Roman"/>
          <w:color w:val="333333"/>
        </w:rPr>
        <w:t>.</w:t>
      </w:r>
      <w:r w:rsidRPr="00D63B51">
        <w:rPr>
          <w:rFonts w:eastAsia="Times New Roman" w:cs="Times New Roman"/>
          <w:color w:val="222222"/>
          <w:vertAlign w:val="superscript"/>
        </w:rPr>
        <w:footnoteReference w:id="202"/>
      </w:r>
      <w:r w:rsidRPr="00D63B51">
        <w:rPr>
          <w:rFonts w:eastAsia="Times New Roman" w:cs="Times New Roman"/>
          <w:color w:val="222222"/>
        </w:rPr>
        <w:t xml:space="preserve">  </w:t>
      </w:r>
      <w:r w:rsidRPr="00D63B51">
        <w:rPr>
          <w:rFonts w:cs="Times New Roman"/>
          <w:color w:val="333333"/>
        </w:rPr>
        <w:t xml:space="preserve"> Such withheld documents can then be reviewed in camera, provided there are not so many as to burden the judiciary.</w:t>
      </w:r>
      <w:r w:rsidR="002B4937" w:rsidRPr="00D63B51">
        <w:rPr>
          <w:rStyle w:val="FootnoteReference"/>
          <w:rFonts w:cs="Times New Roman"/>
          <w:color w:val="333333"/>
        </w:rPr>
        <w:footnoteReference w:id="203"/>
      </w:r>
      <w:r w:rsidRPr="00D63B51">
        <w:rPr>
          <w:rFonts w:cs="Times New Roman"/>
          <w:color w:val="333333"/>
        </w:rPr>
        <w:t xml:space="preserve"> </w:t>
      </w:r>
    </w:p>
    <w:p w14:paraId="6CDE8B26" w14:textId="71E79B26" w:rsidR="0089283E" w:rsidRPr="00D63B51" w:rsidRDefault="0089283E" w:rsidP="005967CF">
      <w:pPr>
        <w:spacing w:line="360" w:lineRule="auto"/>
        <w:ind w:firstLine="720"/>
        <w:jc w:val="both"/>
      </w:pPr>
      <w:r w:rsidRPr="00D63B51">
        <w:rPr>
          <w:rFonts w:eastAsia="Times New Roman" w:cs="Times New Roman"/>
          <w:color w:val="222222"/>
        </w:rPr>
        <w:t xml:space="preserve">To address the requesting party’s concerns that withholding individual documents might shield important documents from disclosure and shatter their confidence in the validation process, the withheld documents would be subject to an </w:t>
      </w:r>
      <w:r w:rsidRPr="00D63B51">
        <w:rPr>
          <w:rFonts w:eastAsia="Times New Roman" w:cs="Times New Roman"/>
          <w:i/>
          <w:iCs/>
          <w:color w:val="222222"/>
        </w:rPr>
        <w:t>in camera</w:t>
      </w:r>
      <w:r w:rsidRPr="00D63B51">
        <w:rPr>
          <w:rFonts w:eastAsia="Times New Roman" w:cs="Times New Roman"/>
          <w:color w:val="222222"/>
        </w:rPr>
        <w:t xml:space="preserve"> examination by a judge, magistrate judge, or a special master, who would evaluate whether the documents are indeed not relevant.</w:t>
      </w:r>
      <w:r w:rsidRPr="00D63B51">
        <w:rPr>
          <w:rFonts w:eastAsia="Times New Roman" w:cs="Times New Roman"/>
          <w:color w:val="222222"/>
          <w:vertAlign w:val="superscript"/>
        </w:rPr>
        <w:footnoteReference w:id="204"/>
      </w:r>
      <w:r w:rsidRPr="00D63B51">
        <w:rPr>
          <w:rFonts w:eastAsia="Times New Roman" w:cs="Times New Roman"/>
          <w:color w:val="222222"/>
        </w:rPr>
        <w:t xml:space="preserve">  By addressing the requesting party’s and responding party’s concerns, both sides should be in a better position to agree on what is and is not important discovery in resolving the issues. </w:t>
      </w:r>
    </w:p>
    <w:p w14:paraId="7C06B6B3" w14:textId="77777777" w:rsidR="00AF6312" w:rsidRPr="00D63B51" w:rsidRDefault="00AF6312" w:rsidP="00AF6312">
      <w:pPr>
        <w:pStyle w:val="ListParagraph"/>
        <w:spacing w:line="360" w:lineRule="auto"/>
        <w:ind w:left="0" w:firstLine="720"/>
        <w:jc w:val="both"/>
        <w:rPr>
          <w:rFonts w:eastAsia="Times New Roman" w:cs="Times New Roman"/>
          <w:color w:val="222222"/>
          <w:u w:val="single"/>
        </w:rPr>
      </w:pPr>
      <w:r w:rsidRPr="00D63B51">
        <w:rPr>
          <w:rFonts w:eastAsia="Times New Roman" w:cs="Times New Roman"/>
          <w:color w:val="222222"/>
          <w:u w:val="single"/>
        </w:rPr>
        <w:t>Determining Cutoff Point for Purposes of Training and Validation</w:t>
      </w:r>
    </w:p>
    <w:p w14:paraId="289BDC2D" w14:textId="77777777" w:rsidR="00AF6312" w:rsidRPr="00D63B51" w:rsidRDefault="00AF6312" w:rsidP="00AF6312">
      <w:pPr>
        <w:pStyle w:val="ListParagraph"/>
        <w:spacing w:line="360" w:lineRule="auto"/>
        <w:ind w:left="0" w:firstLine="720"/>
        <w:jc w:val="both"/>
        <w:rPr>
          <w:rFonts w:eastAsia="Times New Roman" w:cs="Times New Roman"/>
          <w:color w:val="222222"/>
        </w:rPr>
      </w:pPr>
      <w:r w:rsidRPr="00D63B51">
        <w:rPr>
          <w:rFonts w:eastAsia="Times New Roman" w:cs="Times New Roman"/>
          <w:color w:val="222222"/>
        </w:rPr>
        <w:t xml:space="preserve">OPES and the Center’s “New Framework Model” provide guidance on selecting an appropriate cutoff point, which limits production of otherwise relevant documents, </w:t>
      </w:r>
      <w:r w:rsidRPr="00D63B51">
        <w:rPr>
          <w:rFonts w:eastAsia="Times New Roman" w:cs="Times New Roman"/>
          <w:i/>
          <w:iCs/>
          <w:color w:val="222222"/>
        </w:rPr>
        <w:t>e.g.,</w:t>
      </w:r>
      <w:r w:rsidRPr="00D63B51">
        <w:rPr>
          <w:rFonts w:eastAsia="Times New Roman" w:cs="Times New Roman"/>
          <w:color w:val="222222"/>
        </w:rPr>
        <w:t xml:space="preserve"> document ranked 700,000</w:t>
      </w:r>
      <w:r w:rsidRPr="00D63B51">
        <w:rPr>
          <w:rFonts w:eastAsia="Times New Roman" w:cs="Times New Roman"/>
          <w:color w:val="222222"/>
          <w:vertAlign w:val="superscript"/>
        </w:rPr>
        <w:t>th</w:t>
      </w:r>
      <w:r w:rsidRPr="00D63B51">
        <w:rPr>
          <w:rFonts w:eastAsia="Times New Roman" w:cs="Times New Roman"/>
          <w:color w:val="222222"/>
        </w:rPr>
        <w:t xml:space="preserve"> out of three million. Setting the cutoff point too low defeats the purpose of the rankings, which identifies higher ranked documents that are consequential in resolving the issues so that lower ranked documents, though possibly relevant, are excluded from production. </w:t>
      </w:r>
    </w:p>
    <w:p w14:paraId="716415ED" w14:textId="2781A6A9" w:rsidR="001F78AA" w:rsidRPr="00D63B51" w:rsidRDefault="00AF6312" w:rsidP="00AF6312">
      <w:pPr>
        <w:pStyle w:val="ListParagraph"/>
        <w:spacing w:line="360" w:lineRule="auto"/>
        <w:ind w:left="0" w:firstLine="720"/>
        <w:jc w:val="both"/>
        <w:rPr>
          <w:rFonts w:eastAsia="Times New Roman" w:cs="Times New Roman"/>
          <w:color w:val="222222"/>
        </w:rPr>
      </w:pPr>
      <w:r w:rsidRPr="00D63B51">
        <w:rPr>
          <w:rFonts w:cs="Times New Roman"/>
          <w:color w:val="333333"/>
        </w:rPr>
        <w:t xml:space="preserve">Under </w:t>
      </w:r>
      <w:r w:rsidR="009C473E" w:rsidRPr="00D63B51">
        <w:rPr>
          <w:rFonts w:cs="Times New Roman"/>
          <w:color w:val="333333"/>
        </w:rPr>
        <w:t>FED. R. CIV. P.</w:t>
      </w:r>
      <w:r w:rsidRPr="00D63B51">
        <w:rPr>
          <w:rFonts w:cs="Times New Roman"/>
          <w:color w:val="333333"/>
        </w:rPr>
        <w:t xml:space="preserve">  1, a court should “construe, administer, and employ the rules to secure the just, speedy, and inexpensive determination of </w:t>
      </w:r>
      <w:r w:rsidRPr="00D63B51">
        <w:rPr>
          <w:rFonts w:cs="Times New Roman"/>
          <w:i/>
          <w:iCs/>
          <w:color w:val="333333"/>
        </w:rPr>
        <w:t>every</w:t>
      </w:r>
      <w:r w:rsidRPr="00D63B51">
        <w:rPr>
          <w:rFonts w:cs="Times New Roman"/>
          <w:color w:val="333333"/>
        </w:rPr>
        <w:t xml:space="preserve"> action and proceeding,” including mass-tort MDLs.</w:t>
      </w:r>
      <w:r w:rsidRPr="00D63B51">
        <w:rPr>
          <w:rStyle w:val="FootnoteReference"/>
          <w:rFonts w:cs="Times New Roman"/>
          <w:color w:val="333333"/>
        </w:rPr>
        <w:footnoteReference w:id="205"/>
      </w:r>
      <w:r w:rsidRPr="00D63B51">
        <w:rPr>
          <w:rFonts w:cs="Times New Roman"/>
          <w:color w:val="333333"/>
        </w:rPr>
        <w:t xml:space="preserve">  </w:t>
      </w:r>
      <w:r w:rsidRPr="00D63B51">
        <w:rPr>
          <w:rFonts w:cs="Times New Roman"/>
        </w:rPr>
        <w:t>OPES</w:t>
      </w:r>
      <w:r w:rsidRPr="00D63B51">
        <w:rPr>
          <w:rFonts w:eastAsia="Times New Roman" w:cs="Times New Roman"/>
          <w:color w:val="222222"/>
        </w:rPr>
        <w:t xml:space="preserve"> highlights the “importance of the requested discovery” at the cutoff point in resolving the issues and distinguishes “marginally relevant” information,</w:t>
      </w:r>
      <w:r w:rsidRPr="00D63B51">
        <w:rPr>
          <w:rStyle w:val="FootnoteReference"/>
          <w:rFonts w:eastAsia="Times New Roman" w:cs="Times New Roman"/>
          <w:color w:val="222222"/>
        </w:rPr>
        <w:footnoteReference w:id="206"/>
      </w:r>
      <w:r w:rsidRPr="00D63B51">
        <w:rPr>
          <w:rFonts w:eastAsia="Times New Roman" w:cs="Times New Roman"/>
          <w:color w:val="222222"/>
        </w:rPr>
        <w:t xml:space="preserve"> while the New </w:t>
      </w:r>
      <w:r w:rsidRPr="00D63B51">
        <w:rPr>
          <w:rFonts w:eastAsia="Times New Roman" w:cs="Times New Roman"/>
          <w:color w:val="222222"/>
        </w:rPr>
        <w:lastRenderedPageBreak/>
        <w:t>Framework Model provides guidance on how to apply Rule 26(b)(1) proportionality factors, including estimating costs and burdens, which provides additional guidance on fixing the cutoff point.</w:t>
      </w:r>
      <w:r w:rsidRPr="00D63B51">
        <w:rPr>
          <w:rStyle w:val="FootnoteReference"/>
          <w:rFonts w:eastAsia="Times New Roman" w:cs="Times New Roman"/>
          <w:color w:val="222222"/>
        </w:rPr>
        <w:footnoteReference w:id="207"/>
      </w:r>
      <w:r w:rsidRPr="00D63B51">
        <w:rPr>
          <w:rFonts w:eastAsia="Times New Roman" w:cs="Times New Roman"/>
          <w:color w:val="222222"/>
        </w:rPr>
        <w:t xml:space="preserve">  OPES and the New Framework can aid the parties in determining the cutoff point and provide useful information to a judge ruling on a disputed cutoff point.  The guidance is essential to address the requesting party’s claim for indeterminate ediscovery based on FOMO concerns.  Absent active judicial case management, FOMO concerns can quickly overwhelm any attempt to rein in excessive ediscovery.</w:t>
      </w:r>
      <w:r w:rsidRPr="00D63B51">
        <w:rPr>
          <w:rStyle w:val="FootnoteReference"/>
          <w:rFonts w:eastAsia="Times New Roman" w:cs="Times New Roman"/>
          <w:color w:val="222222"/>
        </w:rPr>
        <w:footnoteReference w:id="208"/>
      </w:r>
    </w:p>
    <w:p w14:paraId="701E07A9" w14:textId="77777777" w:rsidR="00AF6312" w:rsidRPr="00D63B51" w:rsidRDefault="00AF6312" w:rsidP="00AF6312">
      <w:pPr>
        <w:shd w:val="clear" w:color="auto" w:fill="FFFFFF"/>
        <w:spacing w:line="360" w:lineRule="auto"/>
        <w:jc w:val="both"/>
        <w:rPr>
          <w:rFonts w:eastAsia="Times New Roman" w:cs="Times New Roman"/>
          <w:color w:val="222222"/>
          <w:u w:val="single"/>
        </w:rPr>
      </w:pPr>
      <w:r w:rsidRPr="00D63B51">
        <w:rPr>
          <w:rFonts w:cs="Times New Roman"/>
          <w:color w:val="333333"/>
        </w:rPr>
        <w:tab/>
      </w:r>
      <w:r w:rsidRPr="00D63B51">
        <w:rPr>
          <w:rFonts w:eastAsia="Times New Roman" w:cs="Times New Roman"/>
          <w:color w:val="222222"/>
          <w:u w:val="single"/>
        </w:rPr>
        <w:t>Generative-AI Used for Validation Purposes</w:t>
      </w:r>
    </w:p>
    <w:p w14:paraId="4B18D4B5" w14:textId="77777777" w:rsidR="00AF6312" w:rsidRPr="00D63B51" w:rsidRDefault="00AF6312" w:rsidP="00AF6312">
      <w:pPr>
        <w:pStyle w:val="NoSpacing"/>
        <w:spacing w:line="360" w:lineRule="auto"/>
        <w:jc w:val="both"/>
      </w:pPr>
      <w:r w:rsidRPr="00D63B51">
        <w:tab/>
        <w:t>In mass-tort MDLs, FOMO concerns, no matter how attenuated, often drive excessive ediscovery.  No matter how good the validation process is, perfection is not attainable and FOMO concerns will persist.  Generative-AI is making remarkable improvements in accuracy and reliability in identifying consequential documents.  The same technology presumably can be deployed in validating search results.  And unlike random sampling, generative-AI can search through all nonresponsive documents, compare them with the responsive documents, and identify any that are consequential.  As generative-AI validation processes improve, FOMO concerns will become less significant.</w:t>
      </w:r>
    </w:p>
    <w:p w14:paraId="12A4F667" w14:textId="77777777" w:rsidR="00AF6312" w:rsidRPr="00D63B51" w:rsidRDefault="00AF6312" w:rsidP="00AF6312">
      <w:pPr>
        <w:ind w:left="720" w:right="720"/>
        <w:jc w:val="both"/>
      </w:pPr>
      <w:r w:rsidRPr="00D63B51">
        <w:rPr>
          <w:b/>
          <w:bCs/>
          <w:color w:val="333333"/>
        </w:rPr>
        <w:t xml:space="preserve">Best Practice </w:t>
      </w:r>
      <w:r w:rsidRPr="00D63B51">
        <w:rPr>
          <w:b/>
          <w:bCs/>
        </w:rPr>
        <w:t>MDL-§ 9(c):</w:t>
      </w:r>
      <w:r w:rsidRPr="00D63B51">
        <w:t xml:space="preserve"> The parties should consult with each other about the vendors and types of TAR and generative-AI search methods they plan to use. Permanent No. </w:t>
      </w:r>
      <w:r w:rsidRPr="00D63B51">
        <w:rPr>
          <w:rFonts w:cs="Times New Roman"/>
        </w:rPr>
        <w:t>MDL-§ 18(c).</w:t>
      </w:r>
    </w:p>
    <w:p w14:paraId="5D8D8E4E" w14:textId="77777777" w:rsidR="00AF6312" w:rsidRPr="00D63B51" w:rsidRDefault="00AF6312" w:rsidP="00AF6312"/>
    <w:p w14:paraId="1A992BB7" w14:textId="77777777" w:rsidR="00AF6312" w:rsidRPr="00D63B51" w:rsidRDefault="00AF6312" w:rsidP="00AF6312">
      <w:pPr>
        <w:spacing w:line="360" w:lineRule="auto"/>
        <w:ind w:firstLine="720"/>
        <w:jc w:val="both"/>
        <w:rPr>
          <w:color w:val="333333"/>
        </w:rPr>
      </w:pPr>
      <w:r w:rsidRPr="00D63B51">
        <w:rPr>
          <w:color w:val="333333"/>
        </w:rPr>
        <w:t xml:space="preserve">Linear review of all discoverable documents is not practical, and parties most often use some form of technology-assisted review (TAR) or other AI methods to narrow the volume of documents that is subject to human review.  Determining which method and vendor to use, the review process, and managing the extent of consultation between the parties in applying TAR and </w:t>
      </w:r>
      <w:r w:rsidRPr="00D63B51">
        <w:rPr>
          <w:color w:val="333333"/>
        </w:rPr>
        <w:lastRenderedPageBreak/>
        <w:t xml:space="preserve">other AI applications should be raised in the report to the court, though decisions deferred until leadership counsel is appointed.  </w:t>
      </w:r>
    </w:p>
    <w:p w14:paraId="30D4456D" w14:textId="77777777" w:rsidR="00487D91" w:rsidRPr="00D63B51" w:rsidRDefault="00487D91" w:rsidP="00487D91">
      <w:pPr>
        <w:ind w:left="720" w:right="720"/>
        <w:jc w:val="both"/>
      </w:pPr>
      <w:r w:rsidRPr="00D63B51">
        <w:rPr>
          <w:rFonts w:ascii="Times New Roman Bold" w:eastAsia="Times New Roman" w:hAnsi="Times New Roman Bold" w:cs="Times New Roman"/>
          <w:b/>
          <w:bCs/>
          <w:smallCaps/>
        </w:rPr>
        <w:t xml:space="preserve">Best Practice </w:t>
      </w:r>
      <w:r w:rsidRPr="00D63B51">
        <w:rPr>
          <w:rFonts w:cs="Times New Roman"/>
          <w:b/>
          <w:bCs/>
        </w:rPr>
        <w:t>MDL-§ 9(d)</w:t>
      </w:r>
      <w:r w:rsidRPr="00D63B51">
        <w:t xml:space="preserve">: The form that electronically stored information is produced varies among the courts, despite the strong policy of the Federal Rules of Practice and Procedure, which promotes, whenever practicable, uniform practices and procedures.  Permanent No. </w:t>
      </w:r>
      <w:r w:rsidRPr="00D63B51">
        <w:rPr>
          <w:rFonts w:cs="Times New Roman"/>
        </w:rPr>
        <w:t>MDL-§ 18</w:t>
      </w:r>
      <w:r w:rsidRPr="00D63B51">
        <w:t xml:space="preserve">(d). </w:t>
      </w:r>
    </w:p>
    <w:p w14:paraId="04C166BB" w14:textId="77777777" w:rsidR="00487D91" w:rsidRPr="00D63B51" w:rsidRDefault="00487D91" w:rsidP="00487D91">
      <w:pPr>
        <w:ind w:left="720" w:right="720"/>
        <w:jc w:val="both"/>
      </w:pPr>
    </w:p>
    <w:p w14:paraId="5A782277" w14:textId="77777777" w:rsidR="00487D91" w:rsidRPr="00D63B51" w:rsidRDefault="00487D91" w:rsidP="00487D91">
      <w:pPr>
        <w:spacing w:line="360" w:lineRule="auto"/>
        <w:ind w:firstLine="720"/>
        <w:jc w:val="both"/>
      </w:pPr>
      <w:r w:rsidRPr="00D63B51">
        <w:t>Under current practices, parties are expected to address the form or forms of production of discovery early in litigation. Within 14 days after the Rule 26(f) meeting, parties are to submit to the court a report on their discovery plan, which must state their views and proposals on any issues about the form or forms in which ESI should be produced.</w:t>
      </w:r>
      <w:r w:rsidRPr="00D63B51">
        <w:rPr>
          <w:vertAlign w:val="superscript"/>
        </w:rPr>
        <w:footnoteReference w:id="209"/>
      </w:r>
      <w:r w:rsidRPr="00D63B51">
        <w:t xml:space="preserve">  Under Rule 34, a requesting party may specify the form or forms of production that ESI is to be produced.</w:t>
      </w:r>
      <w:r w:rsidRPr="00D63B51">
        <w:rPr>
          <w:vertAlign w:val="superscript"/>
        </w:rPr>
        <w:footnoteReference w:id="210"/>
      </w:r>
      <w:r w:rsidRPr="00D63B51">
        <w:t xml:space="preserve">  The responding party may object to the requested form or forms of production, stating its reasons and the form or forms it intends to use, which must be reasonably usable. But the responding party may not convert the ESI as it is ordinarily maintained to a different form that makes it more difficult or burdensome for the requesting party to use the information efficiently. Absent agreement, the parties must meet and confer under Rule 37 and try to resolve the matter before a motion to compel is filed.</w:t>
      </w:r>
      <w:r w:rsidRPr="00D63B51">
        <w:rPr>
          <w:vertAlign w:val="superscript"/>
        </w:rPr>
        <w:footnoteReference w:id="211"/>
      </w:r>
      <w:r w:rsidRPr="00D63B51">
        <w:t xml:space="preserve"> </w:t>
      </w:r>
    </w:p>
    <w:p w14:paraId="4DCF0E17" w14:textId="33C07EC0" w:rsidR="00487D91" w:rsidRPr="00D63B51" w:rsidRDefault="00487D91" w:rsidP="00487D91">
      <w:pPr>
        <w:spacing w:line="360" w:lineRule="auto"/>
        <w:ind w:firstLine="720"/>
        <w:jc w:val="both"/>
      </w:pPr>
      <w:r w:rsidRPr="00D63B51">
        <w:t>Different types of ESI, including word-processing documents, e-mails, PDFs, electronic spreadsheets, image or sound files, text messages, and material from databases are produced primarily in native-file format or TIFF-Plus Image format.</w:t>
      </w:r>
      <w:r w:rsidRPr="00D63B51">
        <w:rPr>
          <w:vertAlign w:val="superscript"/>
        </w:rPr>
        <w:footnoteReference w:id="212"/>
      </w:r>
      <w:r w:rsidRPr="00D63B51">
        <w:t xml:space="preserve">  The respective forms of production contain features that can make their use more difficult or burdensome. Though comparatively inconsequential in non-MDL actions, expenses and burdens incurred by searching and reviewing ediscovery in either form can become significant in mass-tort MDLs, because they can involve the production of millions of discovery documents.  In non-MDL</w:t>
      </w:r>
      <w:r w:rsidRPr="00D63B51">
        <w:rPr>
          <w:vertAlign w:val="superscript"/>
        </w:rPr>
        <w:footnoteReference w:id="213"/>
      </w:r>
      <w:r w:rsidR="00BA6256" w:rsidRPr="00D63B51">
        <w:t xml:space="preserve"> </w:t>
      </w:r>
      <w:r w:rsidR="00B95E98" w:rsidRPr="00D63B51">
        <w:t>and mass-tort MDL</w:t>
      </w:r>
      <w:r w:rsidR="00BA6256" w:rsidRPr="00D63B51">
        <w:t xml:space="preserve"> </w:t>
      </w:r>
      <w:r w:rsidRPr="00D63B51">
        <w:t xml:space="preserve">actions, </w:t>
      </w:r>
      <w:r w:rsidRPr="00D63B51">
        <w:lastRenderedPageBreak/>
        <w:t>documents are often produced in TIFF-Plus format rather than native-file format</w:t>
      </w:r>
      <w:r w:rsidR="001506FB" w:rsidRPr="00D63B51">
        <w:t>.</w:t>
      </w:r>
      <w:r w:rsidRPr="00D63B51">
        <w:rPr>
          <w:vertAlign w:val="superscript"/>
        </w:rPr>
        <w:footnoteReference w:id="214"/>
      </w:r>
      <w:r w:rsidRPr="00D63B51">
        <w:t xml:space="preserve">  In most cases, as part of negotiated discovery protocols, the parties agree to produce documents in TIFF-Plus format for word-processing documents and emails, and native-file format for PDFs, electronic spreadsheets, powerpoints, and audio-visual files.  </w:t>
      </w:r>
    </w:p>
    <w:p w14:paraId="1B5C608C" w14:textId="0B1FE885" w:rsidR="00487D91" w:rsidRPr="00D63B51" w:rsidRDefault="00487D91" w:rsidP="00487D91">
      <w:pPr>
        <w:spacing w:line="360" w:lineRule="auto"/>
        <w:ind w:firstLine="720"/>
        <w:jc w:val="both"/>
      </w:pPr>
      <w:r w:rsidRPr="00D63B51">
        <w:t xml:space="preserve">In the absence of agreed protocols requiring a specified form of production, parties may raise disputes concerning the form of production with the court.  When such a dispute arises, the court must determine whether the </w:t>
      </w:r>
      <w:r w:rsidR="00757AAD" w:rsidRPr="00D63B51">
        <w:t xml:space="preserve">responding party’s proposed </w:t>
      </w:r>
      <w:r w:rsidRPr="00D63B51">
        <w:t xml:space="preserve">form or forms of production proposed by the are reasonably usable, and whether the proposed form </w:t>
      </w:r>
      <w:r w:rsidR="00B42A7B" w:rsidRPr="00D63B51">
        <w:t xml:space="preserve">of production </w:t>
      </w:r>
      <w:r w:rsidRPr="00D63B51">
        <w:t xml:space="preserve">can be used efficiently without making it more difficult or burdensome.  A judge has wide latitude in determining whether a proposed form of production can be efficiently used to review and search documents and data. </w:t>
      </w:r>
    </w:p>
    <w:p w14:paraId="41F0ACAE" w14:textId="0CABD673" w:rsidR="00487D91" w:rsidRPr="00D63B51" w:rsidRDefault="00487D91" w:rsidP="00487D91">
      <w:pPr>
        <w:spacing w:line="360" w:lineRule="auto"/>
        <w:ind w:firstLine="720"/>
        <w:jc w:val="both"/>
      </w:pPr>
      <w:r w:rsidRPr="00D63B51">
        <w:t>Given the discretion afforded to judges in resolving such production</w:t>
      </w:r>
      <w:r w:rsidR="00A37D84" w:rsidRPr="00D63B51">
        <w:t>-</w:t>
      </w:r>
      <w:r w:rsidRPr="00D63B51">
        <w:t>format disputes, parties may be incentivized to litigate these issues in the absence of a default rule governing the format of production.</w:t>
      </w:r>
      <w:r w:rsidRPr="00D63B51">
        <w:rPr>
          <w:vertAlign w:val="superscript"/>
        </w:rPr>
        <w:footnoteReference w:id="215"/>
      </w:r>
      <w:r w:rsidRPr="00D63B51">
        <w:t xml:space="preserve">  A default form of production would promote uniformity while maintaining a court’s flexibility and discretion in addressing limited, exigent circumstances.  Such a default rule makes particular sense in the context of production formats because, in most cases the facts of the specific case should not affect the production format.  Moreover, a default form of production serves the core principle of the federal judicial system that, unless good reasons exist otherwise, the same procedure should govern no matter the district or judge.  </w:t>
      </w:r>
    </w:p>
    <w:p w14:paraId="491D7689" w14:textId="77777777" w:rsidR="00487D91" w:rsidRPr="00D63B51" w:rsidRDefault="00487D91" w:rsidP="00487D91">
      <w:pPr>
        <w:ind w:left="720" w:right="720"/>
        <w:jc w:val="both"/>
      </w:pPr>
      <w:r w:rsidRPr="00D63B51">
        <w:rPr>
          <w:rFonts w:ascii="Times New Roman Bold" w:eastAsia="Times New Roman" w:hAnsi="Times New Roman Bold" w:cs="Times New Roman"/>
          <w:b/>
          <w:bCs/>
          <w:smallCaps/>
        </w:rPr>
        <w:t xml:space="preserve">Best Practice </w:t>
      </w:r>
      <w:r w:rsidRPr="00D63B51">
        <w:rPr>
          <w:rFonts w:cs="Times New Roman"/>
          <w:b/>
          <w:bCs/>
        </w:rPr>
        <w:t>MDL-§ 9(d)(i)</w:t>
      </w:r>
      <w:r w:rsidRPr="00D63B51">
        <w:t xml:space="preserve">:   The parties should address the form or forms of production of ESI in their Rule 16.1 report to the court, if they expect a dispute. Permanent No. </w:t>
      </w:r>
      <w:r w:rsidRPr="00D63B51">
        <w:rPr>
          <w:rFonts w:cs="Times New Roman"/>
        </w:rPr>
        <w:t>MDL-§ 18</w:t>
      </w:r>
      <w:r w:rsidRPr="00D63B51">
        <w:t>. Permanent(d)(i).</w:t>
      </w:r>
    </w:p>
    <w:p w14:paraId="0F344115" w14:textId="77777777" w:rsidR="00F14FA0" w:rsidRPr="00D63B51" w:rsidRDefault="00F14FA0" w:rsidP="00487D91">
      <w:pPr>
        <w:ind w:left="720" w:right="720"/>
        <w:jc w:val="both"/>
      </w:pPr>
    </w:p>
    <w:p w14:paraId="0A59521F" w14:textId="16A5818C" w:rsidR="00487D91" w:rsidRPr="00D63B51" w:rsidRDefault="00487D91" w:rsidP="00487D91">
      <w:pPr>
        <w:spacing w:line="360" w:lineRule="auto"/>
        <w:ind w:right="720" w:firstLine="720"/>
        <w:jc w:val="both"/>
      </w:pPr>
      <w:r w:rsidRPr="00D63B51">
        <w:t>Rule 16.1 requires that the parties’ initial case management conference report address the parties’ preliminary views on discovery, including highlighting any difficult issues that they believe may arise.</w:t>
      </w:r>
      <w:r w:rsidRPr="00D63B51">
        <w:rPr>
          <w:vertAlign w:val="superscript"/>
        </w:rPr>
        <w:footnoteReference w:id="216"/>
      </w:r>
      <w:r w:rsidRPr="00D63B51">
        <w:t xml:space="preserve"> In this report, the parties should identify for the court </w:t>
      </w:r>
      <w:r w:rsidRPr="00D63B51">
        <w:lastRenderedPageBreak/>
        <w:t>the types of ESI and the different forms of production that the parties are considering and whether they anticipate that the form of production will be disputed.</w:t>
      </w:r>
      <w:r w:rsidRPr="00D63B51">
        <w:rPr>
          <w:vertAlign w:val="superscript"/>
        </w:rPr>
        <w:footnoteReference w:id="217"/>
      </w:r>
      <w:r w:rsidRPr="00D63B51">
        <w:t xml:space="preserve">  Included among the potential disputes over production format should be a discussion, where applicable, of any potential inefficiencies related to the process for standardizing documents and data to enable searches of those materials on a single review platform. </w:t>
      </w:r>
    </w:p>
    <w:p w14:paraId="1FB01567" w14:textId="77777777" w:rsidR="00487D91" w:rsidRPr="00D63B51" w:rsidRDefault="00487D91" w:rsidP="00487D91">
      <w:pPr>
        <w:ind w:left="720" w:right="720"/>
        <w:jc w:val="both"/>
      </w:pPr>
      <w:r w:rsidRPr="00D63B51">
        <w:rPr>
          <w:rFonts w:ascii="Times New Roman Bold" w:eastAsia="Times New Roman" w:hAnsi="Times New Roman Bold" w:cs="Times New Roman"/>
          <w:b/>
          <w:bCs/>
          <w:smallCaps/>
        </w:rPr>
        <w:t xml:space="preserve">Best Practice </w:t>
      </w:r>
      <w:r w:rsidRPr="00D63B51">
        <w:rPr>
          <w:rFonts w:cs="Times New Roman"/>
          <w:b/>
          <w:bCs/>
        </w:rPr>
        <w:t>MDL-§ 9(d)(ii)</w:t>
      </w:r>
      <w:r w:rsidRPr="00D63B51">
        <w:t xml:space="preserve">:   Unless the parties agree or the court orders otherwise, the default form of production for word-processing documents and emails should be TIFF-Plus Image and the default form of production for PDFs, electronic spreadsheets, audio-visual, and databases and structured data files should be native-file format. Permanent No. </w:t>
      </w:r>
      <w:r w:rsidRPr="00D63B51">
        <w:rPr>
          <w:rFonts w:cs="Times New Roman"/>
        </w:rPr>
        <w:t>MDL-§ 18(d)(ii)</w:t>
      </w:r>
      <w:r w:rsidRPr="00D63B51">
        <w:t>.</w:t>
      </w:r>
    </w:p>
    <w:p w14:paraId="755D6DD4" w14:textId="77777777" w:rsidR="00F14FA0" w:rsidRPr="00D63B51" w:rsidRDefault="00F14FA0" w:rsidP="00487D91">
      <w:pPr>
        <w:ind w:left="720" w:right="720"/>
        <w:jc w:val="both"/>
      </w:pPr>
    </w:p>
    <w:p w14:paraId="4131D55A" w14:textId="305B0695" w:rsidR="00487D91" w:rsidRPr="00D63B51" w:rsidRDefault="00487D91" w:rsidP="00487D91">
      <w:pPr>
        <w:spacing w:line="360" w:lineRule="auto"/>
        <w:ind w:firstLine="720"/>
        <w:jc w:val="both"/>
      </w:pPr>
      <w:r w:rsidRPr="00D63B51">
        <w:t>Rule 34 sets the standard governing the form or forms of production of ESI. The requesting party must be able to reasonably use ESI to the extent it is produced in native-file format.  If ESI is converted from its native-file format to a TIFF-Plus format, the requesting party must be able to use the ESI efficiently (</w:t>
      </w:r>
      <w:r w:rsidRPr="00D63B51">
        <w:rPr>
          <w:i/>
          <w:iCs/>
        </w:rPr>
        <w:t>i.e</w:t>
      </w:r>
      <w:r w:rsidRPr="00D63B51">
        <w:t xml:space="preserve">., the conversion process cannot make </w:t>
      </w:r>
      <w:r w:rsidR="009475A5" w:rsidRPr="00D63B51">
        <w:t xml:space="preserve">the </w:t>
      </w:r>
      <w:r w:rsidRPr="00D63B51">
        <w:t>use of ESI more difficult or burdensome).</w:t>
      </w:r>
      <w:r w:rsidRPr="00D63B51">
        <w:rPr>
          <w:vertAlign w:val="superscript"/>
        </w:rPr>
        <w:footnoteReference w:id="218"/>
      </w:r>
    </w:p>
    <w:p w14:paraId="2FD2BBBB" w14:textId="2B052B8A" w:rsidR="00487D91" w:rsidRPr="00D63B51" w:rsidRDefault="00487D91" w:rsidP="00487D91">
      <w:pPr>
        <w:spacing w:line="360" w:lineRule="auto"/>
        <w:ind w:firstLine="720"/>
        <w:jc w:val="both"/>
      </w:pPr>
      <w:r w:rsidRPr="00D63B51">
        <w:t>ESI produced in native-file format may be unreasonably difficult to use if it was created on proprietary software or on a long-gone legacy system.</w:t>
      </w:r>
      <w:r w:rsidRPr="00D63B51">
        <w:rPr>
          <w:vertAlign w:val="superscript"/>
        </w:rPr>
        <w:footnoteReference w:id="219"/>
      </w:r>
      <w:r w:rsidRPr="00D63B51">
        <w:t xml:space="preserve">  Moreover, while most native-file formats of ESI are commonly used and capable of being efficiently searched, it requires that each native</w:t>
      </w:r>
      <w:r w:rsidR="009829BB" w:rsidRPr="00D63B51">
        <w:t>-</w:t>
      </w:r>
      <w:r w:rsidRPr="00D63B51">
        <w:t xml:space="preserve">file type be searched within its individual software program.  Converting the various native files of ESI to a uniform TIFF-Plus format allows for all of the information to be consolidated and simultaneously searched on a single review platform.  Thus, as parties and courts recognize, the production of ESI, whether in either native or TIFF-Plus form, presents varying efficiencies and burdens.  </w:t>
      </w:r>
    </w:p>
    <w:p w14:paraId="4278CD33" w14:textId="77777777" w:rsidR="00487D91" w:rsidRPr="00D63B51" w:rsidRDefault="00487D91" w:rsidP="00487D91">
      <w:pPr>
        <w:ind w:firstLine="360"/>
      </w:pPr>
      <w:r w:rsidRPr="00D63B51">
        <w:tab/>
        <w:t>Efficiencies in using native-file format include:</w:t>
      </w:r>
    </w:p>
    <w:p w14:paraId="2C3A2D5C" w14:textId="77777777" w:rsidR="00487D91" w:rsidRPr="00D63B51" w:rsidRDefault="00487D91" w:rsidP="00487D91">
      <w:pPr>
        <w:ind w:firstLine="360"/>
      </w:pPr>
    </w:p>
    <w:p w14:paraId="2F64F652" w14:textId="77777777" w:rsidR="00487D91" w:rsidRPr="00D63B51" w:rsidRDefault="00487D91" w:rsidP="00487D91">
      <w:pPr>
        <w:numPr>
          <w:ilvl w:val="0"/>
          <w:numId w:val="22"/>
        </w:numPr>
        <w:spacing w:after="160" w:line="259" w:lineRule="auto"/>
        <w:contextualSpacing/>
      </w:pPr>
      <w:r w:rsidRPr="00D63B51">
        <w:lastRenderedPageBreak/>
        <w:t>Embedded commentary and metadata are intact (editorial histories can be laced with conversations between collaborators); color identifies different editors; Word contains several useful tools designed to analyze edits.</w:t>
      </w:r>
    </w:p>
    <w:p w14:paraId="4F4A64A1" w14:textId="77777777" w:rsidR="00487D91" w:rsidRPr="00D63B51" w:rsidRDefault="00487D91" w:rsidP="00487D91">
      <w:pPr>
        <w:numPr>
          <w:ilvl w:val="0"/>
          <w:numId w:val="22"/>
        </w:numPr>
        <w:spacing w:after="160" w:line="259" w:lineRule="auto"/>
        <w:contextualSpacing/>
      </w:pPr>
      <w:r w:rsidRPr="00D63B51">
        <w:t>Deduplication is facilitated.</w:t>
      </w:r>
    </w:p>
    <w:p w14:paraId="74036135" w14:textId="77777777" w:rsidR="00487D91" w:rsidRPr="00D63B51" w:rsidRDefault="00487D91" w:rsidP="00487D91">
      <w:pPr>
        <w:numPr>
          <w:ilvl w:val="0"/>
          <w:numId w:val="22"/>
        </w:numPr>
        <w:spacing w:after="160" w:line="259" w:lineRule="auto"/>
        <w:contextualSpacing/>
      </w:pPr>
      <w:r w:rsidRPr="00D63B51">
        <w:t>Email messages may be threaded.</w:t>
      </w:r>
    </w:p>
    <w:p w14:paraId="40B51D99" w14:textId="77777777" w:rsidR="00487D91" w:rsidRPr="00D63B51" w:rsidRDefault="00487D91" w:rsidP="00487D91">
      <w:pPr>
        <w:numPr>
          <w:ilvl w:val="0"/>
          <w:numId w:val="22"/>
        </w:numPr>
        <w:spacing w:after="160" w:line="259" w:lineRule="auto"/>
        <w:contextualSpacing/>
      </w:pPr>
      <w:r w:rsidRPr="00D63B51">
        <w:t>Time zone irregularities can be reconciled.</w:t>
      </w:r>
    </w:p>
    <w:p w14:paraId="7F3D4D6C" w14:textId="77777777" w:rsidR="00487D91" w:rsidRPr="00D63B51" w:rsidRDefault="00487D91" w:rsidP="00487D91">
      <w:pPr>
        <w:ind w:left="720"/>
        <w:contextualSpacing/>
      </w:pPr>
    </w:p>
    <w:p w14:paraId="6DD01614" w14:textId="77777777" w:rsidR="00487D91" w:rsidRPr="00D63B51" w:rsidRDefault="00487D91" w:rsidP="00487D91">
      <w:pPr>
        <w:ind w:firstLine="720"/>
        <w:jc w:val="both"/>
      </w:pPr>
      <w:r w:rsidRPr="00D63B51">
        <w:t xml:space="preserve">Burdens in using native-file format include:  </w:t>
      </w:r>
    </w:p>
    <w:p w14:paraId="27B709B2" w14:textId="77777777" w:rsidR="00487D91" w:rsidRPr="00D63B51" w:rsidRDefault="00487D91" w:rsidP="00487D91">
      <w:pPr>
        <w:ind w:firstLine="720"/>
        <w:jc w:val="both"/>
      </w:pPr>
    </w:p>
    <w:p w14:paraId="62EBE231" w14:textId="77777777" w:rsidR="00487D91" w:rsidRPr="00D63B51" w:rsidRDefault="00487D91" w:rsidP="00487D91">
      <w:pPr>
        <w:numPr>
          <w:ilvl w:val="0"/>
          <w:numId w:val="23"/>
        </w:numPr>
        <w:spacing w:after="160" w:line="259" w:lineRule="auto"/>
        <w:contextualSpacing/>
      </w:pPr>
      <w:r w:rsidRPr="00D63B51">
        <w:t>Content and metadata can be unintentionally modified by any party handling the documents, requiring additional time and expense ensuring reliability of and authenticating documents.</w:t>
      </w:r>
    </w:p>
    <w:p w14:paraId="0E51656B" w14:textId="77777777" w:rsidR="00487D91" w:rsidRPr="00D63B51" w:rsidRDefault="00487D91" w:rsidP="00487D91">
      <w:pPr>
        <w:numPr>
          <w:ilvl w:val="0"/>
          <w:numId w:val="23"/>
        </w:numPr>
        <w:spacing w:after="160" w:line="259" w:lineRule="auto"/>
        <w:contextualSpacing/>
      </w:pPr>
      <w:r w:rsidRPr="00D63B51">
        <w:t>Native files cannot be Bates stamped, causing difficulty to pinpoint references.</w:t>
      </w:r>
    </w:p>
    <w:p w14:paraId="63AC77C3" w14:textId="77777777" w:rsidR="00487D91" w:rsidRPr="00D63B51" w:rsidRDefault="00487D91" w:rsidP="00487D91">
      <w:pPr>
        <w:numPr>
          <w:ilvl w:val="0"/>
          <w:numId w:val="23"/>
        </w:numPr>
        <w:spacing w:after="160" w:line="259" w:lineRule="auto"/>
        <w:contextualSpacing/>
      </w:pPr>
      <w:r w:rsidRPr="00D63B51">
        <w:t>Native files must be standardized for processing by converting various file formats into a uniform format to be inputted onto a single platform for search purposes, particularly burdensome if proprietary or nonstandard software applications created the document.</w:t>
      </w:r>
    </w:p>
    <w:p w14:paraId="6A7B4F06" w14:textId="77777777" w:rsidR="00487D91" w:rsidRPr="00D63B51" w:rsidRDefault="00487D91" w:rsidP="00487D91">
      <w:pPr>
        <w:numPr>
          <w:ilvl w:val="0"/>
          <w:numId w:val="23"/>
        </w:numPr>
        <w:spacing w:after="160" w:line="259" w:lineRule="auto"/>
        <w:contextualSpacing/>
      </w:pPr>
      <w:r w:rsidRPr="00D63B51">
        <w:t>More difficult to mark for “Confidentiality” without altering the properties of the document itself.</w:t>
      </w:r>
    </w:p>
    <w:p w14:paraId="17939B8F" w14:textId="77777777" w:rsidR="00487D91" w:rsidRPr="00D63B51" w:rsidRDefault="00487D91" w:rsidP="00487D91">
      <w:pPr>
        <w:ind w:left="720"/>
        <w:contextualSpacing/>
      </w:pPr>
    </w:p>
    <w:p w14:paraId="14C37287" w14:textId="77777777" w:rsidR="00487D91" w:rsidRPr="00D63B51" w:rsidRDefault="00487D91" w:rsidP="00487D91">
      <w:pPr>
        <w:spacing w:line="360" w:lineRule="auto"/>
        <w:ind w:firstLine="720"/>
        <w:jc w:val="both"/>
      </w:pPr>
      <w:r w:rsidRPr="00D63B51">
        <w:t>Efficiencies in using TIFF-Plus Images converted from native files include:</w:t>
      </w:r>
    </w:p>
    <w:p w14:paraId="290D53A6" w14:textId="77777777" w:rsidR="00487D91" w:rsidRPr="00D63B51" w:rsidRDefault="00487D91" w:rsidP="00487D91">
      <w:pPr>
        <w:numPr>
          <w:ilvl w:val="0"/>
          <w:numId w:val="21"/>
        </w:numPr>
        <w:spacing w:after="160" w:line="259" w:lineRule="auto"/>
        <w:contextualSpacing/>
      </w:pPr>
      <w:r w:rsidRPr="00D63B51">
        <w:t>Provides image of the document as if it were printed.</w:t>
      </w:r>
    </w:p>
    <w:p w14:paraId="7F4EE064" w14:textId="77777777" w:rsidR="00487D91" w:rsidRPr="00D63B51" w:rsidRDefault="00487D91" w:rsidP="00487D91">
      <w:pPr>
        <w:numPr>
          <w:ilvl w:val="0"/>
          <w:numId w:val="21"/>
        </w:numPr>
        <w:spacing w:after="160" w:line="259" w:lineRule="auto"/>
        <w:contextualSpacing/>
      </w:pPr>
      <w:r w:rsidRPr="00D63B51">
        <w:t>Authenticity disputes are relatively rare. TIFF images are not susceptible to unintended alteration.</w:t>
      </w:r>
    </w:p>
    <w:p w14:paraId="10035B69" w14:textId="77777777" w:rsidR="00487D91" w:rsidRPr="00D63B51" w:rsidRDefault="00487D91" w:rsidP="00487D91">
      <w:pPr>
        <w:numPr>
          <w:ilvl w:val="0"/>
          <w:numId w:val="21"/>
        </w:numPr>
        <w:spacing w:after="160" w:line="259" w:lineRule="auto"/>
        <w:contextualSpacing/>
      </w:pPr>
      <w:r w:rsidRPr="00D63B51">
        <w:t>Can be easily Bates-stamped, making it easier to reference and use.</w:t>
      </w:r>
    </w:p>
    <w:p w14:paraId="6BD68104" w14:textId="77777777" w:rsidR="00487D91" w:rsidRPr="00D63B51" w:rsidRDefault="00487D91" w:rsidP="00487D91">
      <w:pPr>
        <w:numPr>
          <w:ilvl w:val="0"/>
          <w:numId w:val="21"/>
        </w:numPr>
        <w:spacing w:before="240" w:after="160" w:line="259" w:lineRule="auto"/>
        <w:contextualSpacing/>
      </w:pPr>
      <w:r w:rsidRPr="00D63B51">
        <w:t>Documents are generally converted uniformly into an image that all reviewers can view and search in a document-review platform without the need to open each document using its own corresponding software.</w:t>
      </w:r>
    </w:p>
    <w:p w14:paraId="1F20674C" w14:textId="77777777" w:rsidR="00487D91" w:rsidRPr="00D63B51" w:rsidRDefault="00487D91" w:rsidP="00487D91">
      <w:pPr>
        <w:spacing w:before="240"/>
        <w:ind w:left="720"/>
        <w:contextualSpacing/>
      </w:pPr>
    </w:p>
    <w:p w14:paraId="3927975E" w14:textId="77777777" w:rsidR="00487D91" w:rsidRPr="00D63B51" w:rsidRDefault="00487D91" w:rsidP="00487D91">
      <w:pPr>
        <w:ind w:firstLine="720"/>
      </w:pPr>
      <w:r w:rsidRPr="00D63B51">
        <w:t>Burdens in using TIFF-Plus Images converted from native files include:</w:t>
      </w:r>
    </w:p>
    <w:p w14:paraId="5A316E46" w14:textId="77777777" w:rsidR="00487D91" w:rsidRPr="00D63B51" w:rsidRDefault="00487D91" w:rsidP="00487D91">
      <w:pPr>
        <w:ind w:firstLine="720"/>
      </w:pPr>
    </w:p>
    <w:p w14:paraId="3EE6B2F0" w14:textId="77777777" w:rsidR="00487D91" w:rsidRPr="00D63B51" w:rsidRDefault="00487D91" w:rsidP="00487D91">
      <w:pPr>
        <w:numPr>
          <w:ilvl w:val="0"/>
          <w:numId w:val="23"/>
        </w:numPr>
        <w:spacing w:after="160" w:line="259" w:lineRule="auto"/>
        <w:contextualSpacing/>
      </w:pPr>
      <w:r w:rsidRPr="00D63B51">
        <w:t>Critical information may be lost (removing metadata is laborious and counter-intuitive).</w:t>
      </w:r>
    </w:p>
    <w:p w14:paraId="336B6719" w14:textId="77777777" w:rsidR="00487D91" w:rsidRPr="00D63B51" w:rsidRDefault="00487D91" w:rsidP="00487D91">
      <w:pPr>
        <w:numPr>
          <w:ilvl w:val="0"/>
          <w:numId w:val="23"/>
        </w:numPr>
        <w:spacing w:after="160" w:line="259" w:lineRule="auto"/>
        <w:contextualSpacing/>
      </w:pPr>
      <w:r w:rsidRPr="00D63B51">
        <w:t>Color is lost, which may be important when reviewing the history of track changes involving multiple editors of a document.</w:t>
      </w:r>
    </w:p>
    <w:p w14:paraId="3A5EEF9E" w14:textId="77777777" w:rsidR="00487D91" w:rsidRPr="00D63B51" w:rsidRDefault="00487D91" w:rsidP="00487D91">
      <w:pPr>
        <w:numPr>
          <w:ilvl w:val="0"/>
          <w:numId w:val="23"/>
        </w:numPr>
        <w:spacing w:after="160" w:line="259" w:lineRule="auto"/>
        <w:contextualSpacing/>
      </w:pPr>
      <w:r w:rsidRPr="00D63B51">
        <w:t>Eliminates ability to use Word’s tools dealing with tracked changes, which identify time and editor by color, “balloons.”</w:t>
      </w:r>
    </w:p>
    <w:p w14:paraId="671B4974" w14:textId="77777777" w:rsidR="00487D91" w:rsidRPr="00D63B51" w:rsidRDefault="00487D91" w:rsidP="00487D91">
      <w:pPr>
        <w:numPr>
          <w:ilvl w:val="0"/>
          <w:numId w:val="23"/>
        </w:numPr>
        <w:spacing w:after="160" w:line="259" w:lineRule="auto"/>
        <w:contextualSpacing/>
      </w:pPr>
      <w:r w:rsidRPr="00D63B51">
        <w:t>Unable to navigate from revision to revision.</w:t>
      </w:r>
    </w:p>
    <w:p w14:paraId="1CDDC4CE" w14:textId="77777777" w:rsidR="00487D91" w:rsidRPr="00D63B51" w:rsidRDefault="00487D91" w:rsidP="00487D91">
      <w:pPr>
        <w:numPr>
          <w:ilvl w:val="0"/>
          <w:numId w:val="23"/>
        </w:numPr>
        <w:spacing w:after="160" w:line="259" w:lineRule="auto"/>
        <w:contextualSpacing/>
      </w:pPr>
      <w:r w:rsidRPr="00D63B51">
        <w:t>Difficult to search keyword hits in images, making reviews longer and costlier.</w:t>
      </w:r>
    </w:p>
    <w:p w14:paraId="02D3C844" w14:textId="77777777" w:rsidR="00487D91" w:rsidRPr="00D63B51" w:rsidRDefault="00487D91" w:rsidP="00487D91">
      <w:pPr>
        <w:numPr>
          <w:ilvl w:val="0"/>
          <w:numId w:val="23"/>
        </w:numPr>
        <w:spacing w:after="160" w:line="259" w:lineRule="auto"/>
        <w:contextualSpacing/>
      </w:pPr>
      <w:r w:rsidRPr="00D63B51">
        <w:t>Can take up more space and increase hosting costs substantially (TIFF image is many times larger byte wise than native file; native production and hosting cost about $30K less for 150 MB of data than TIFF images).</w:t>
      </w:r>
    </w:p>
    <w:p w14:paraId="49814D3F" w14:textId="77777777" w:rsidR="00487D91" w:rsidRPr="00D63B51" w:rsidRDefault="00487D91" w:rsidP="00487D91">
      <w:pPr>
        <w:spacing w:after="160" w:line="259" w:lineRule="auto"/>
        <w:ind w:left="720"/>
        <w:contextualSpacing/>
      </w:pPr>
    </w:p>
    <w:p w14:paraId="3491793D" w14:textId="77777777" w:rsidR="00AF6312" w:rsidRPr="00D63B51" w:rsidRDefault="00AF6312" w:rsidP="00AF6312">
      <w:pPr>
        <w:spacing w:line="360" w:lineRule="auto"/>
        <w:ind w:firstLine="360"/>
        <w:jc w:val="both"/>
      </w:pPr>
      <w:r w:rsidRPr="00D63B51">
        <w:lastRenderedPageBreak/>
        <w:t xml:space="preserve">The assessment of efficiencies, burdens, and difficulties in using and searching ESI in native files or in TIFF-Plus images has been well documented for more than 20 years.   Reasonable minds have disagreed on which form of production is </w:t>
      </w:r>
      <w:r w:rsidRPr="00D63B51">
        <w:rPr>
          <w:i/>
          <w:iCs/>
        </w:rPr>
        <w:t>best</w:t>
      </w:r>
      <w:r w:rsidRPr="00D63B51">
        <w:t>, but the test under Rule 34 is whether the form of production is reasonably usable and any conversion of the form cannot make it more difficult or burdensome to use the information efficiently in the litigation or remove or significantly degrade searching by electronic means.</w:t>
      </w:r>
      <w:r w:rsidRPr="00D63B51">
        <w:rPr>
          <w:vertAlign w:val="superscript"/>
        </w:rPr>
        <w:footnoteReference w:id="220"/>
      </w:r>
      <w:r w:rsidRPr="00D63B51">
        <w:t xml:space="preserve">  Each form of production has features that make it more or less efficient to use than the alternative form of production.  Adjustments can be made to each form of production, which address their respective shortcomings, the extent of which can be endlessly debated.</w:t>
      </w:r>
    </w:p>
    <w:p w14:paraId="4BE4ECC8" w14:textId="77777777" w:rsidR="00AF6312" w:rsidRPr="00D63B51" w:rsidRDefault="00AF6312" w:rsidP="00AF6312">
      <w:pPr>
        <w:spacing w:line="360" w:lineRule="auto"/>
        <w:ind w:firstLine="360"/>
        <w:jc w:val="both"/>
      </w:pPr>
      <w:r w:rsidRPr="00D63B51">
        <w:t xml:space="preserve">The federal rules of procedure have a strong preference for uniform procedures to ensure that litigants are not treated differently solely because of the district or judge in the litigation.  TIFF-Plus Image is the prevalent form of production for word-processing documents and emails not only in mass-tort MDLs but in civil litigation generally; while native-file format has been used for PDFs, electronic spreadsheets, and audio-visual files.  Recognizing these forms of production as defaults for the different types of electronically stored information will facilitate orderly, efficient, and cost effective ediscovery.  </w:t>
      </w:r>
    </w:p>
    <w:p w14:paraId="285C8368" w14:textId="77777777" w:rsidR="00AF6312" w:rsidRPr="00D63B51" w:rsidRDefault="00AF6312" w:rsidP="00AF6312">
      <w:pPr>
        <w:ind w:left="720" w:right="720"/>
        <w:jc w:val="both"/>
      </w:pPr>
      <w:r w:rsidRPr="00D63B51">
        <w:rPr>
          <w:rFonts w:ascii="Times New Roman Bold" w:eastAsia="Times New Roman" w:hAnsi="Times New Roman Bold" w:cs="Times New Roman"/>
          <w:b/>
          <w:bCs/>
          <w:smallCaps/>
        </w:rPr>
        <w:t xml:space="preserve">Best Practice </w:t>
      </w:r>
      <w:r w:rsidRPr="00D63B51">
        <w:rPr>
          <w:rFonts w:cs="Times New Roman"/>
          <w:b/>
          <w:bCs/>
        </w:rPr>
        <w:t>MDL-§ 9(d)(iii)</w:t>
      </w:r>
      <w:r w:rsidRPr="00D63B51">
        <w:t xml:space="preserve">: The parties should assess whether and to what extent exceptions to the TIFF-Plus Image default should be made for word-processing documents to efficiently review embedded track changes. Permanent No. </w:t>
      </w:r>
      <w:r w:rsidRPr="00D63B51">
        <w:rPr>
          <w:rFonts w:cs="Times New Roman"/>
        </w:rPr>
        <w:t>MDL-§ 18(d)(iii)</w:t>
      </w:r>
      <w:r w:rsidRPr="00D63B51">
        <w:t>.</w:t>
      </w:r>
    </w:p>
    <w:p w14:paraId="2702046C" w14:textId="77777777" w:rsidR="00B44578" w:rsidRPr="00D63B51" w:rsidRDefault="00B44578" w:rsidP="00AF6312">
      <w:pPr>
        <w:ind w:left="720" w:right="720"/>
        <w:jc w:val="both"/>
      </w:pPr>
    </w:p>
    <w:p w14:paraId="002A02F4" w14:textId="77777777" w:rsidR="00AF6312" w:rsidRPr="00D63B51" w:rsidRDefault="00AF6312" w:rsidP="00AF6312">
      <w:pPr>
        <w:spacing w:line="360" w:lineRule="auto"/>
        <w:ind w:firstLine="720"/>
        <w:jc w:val="both"/>
      </w:pPr>
      <w:r w:rsidRPr="00D63B51">
        <w:t>Producing word-processing documents, most notably Word documents, in native-file format permits easy review of commentary, which highlights edits and tracks changes in color.  If converted to TIFF-Plus image such review is more difficult and less efficient.</w:t>
      </w:r>
      <w:r w:rsidRPr="00D63B51">
        <w:rPr>
          <w:vertAlign w:val="superscript"/>
        </w:rPr>
        <w:footnoteReference w:id="221"/>
      </w:r>
      <w:r w:rsidRPr="00D63B51">
        <w:t xml:space="preserve"> </w:t>
      </w:r>
    </w:p>
    <w:p w14:paraId="66BFF9C5" w14:textId="77777777" w:rsidR="00AF6312" w:rsidRPr="00D63B51" w:rsidRDefault="00AF6312" w:rsidP="00AF6312">
      <w:pPr>
        <w:spacing w:line="360" w:lineRule="auto"/>
        <w:ind w:firstLine="720"/>
        <w:jc w:val="both"/>
        <w:rPr>
          <w:color w:val="333333"/>
        </w:rPr>
      </w:pPr>
      <w:r w:rsidRPr="00D63B51">
        <w:t xml:space="preserve">ESI protocols in mass-tort MDLs, which require production in TIFF-Plus images: (i) often provide an opportunity to designate specific Word documents that include tracked changes to be produced in native-file format; or (ii) require that all Word documents with tracked changes be </w:t>
      </w:r>
      <w:r w:rsidRPr="00D63B51">
        <w:lastRenderedPageBreak/>
        <w:t>produced in native-file format.</w:t>
      </w:r>
      <w:r w:rsidRPr="00D63B51">
        <w:rPr>
          <w:vertAlign w:val="superscript"/>
        </w:rPr>
        <w:footnoteReference w:id="222"/>
      </w:r>
      <w:r w:rsidRPr="00D63B51">
        <w:t xml:space="preserve"> Whether the added efficiencies to view track changes in native-file format outweigh the efficiencies of TIFF-Plus for word-processing documents depends on the facts of the case, most notably the volume of such tracked documents.</w:t>
      </w:r>
    </w:p>
    <w:p w14:paraId="6DDDDE12" w14:textId="77777777" w:rsidR="00AF6312" w:rsidRPr="00D63B51" w:rsidRDefault="00AF6312" w:rsidP="00AF6312">
      <w:pPr>
        <w:ind w:left="720" w:right="720"/>
        <w:jc w:val="both"/>
      </w:pPr>
      <w:bookmarkStart w:id="30" w:name="_Hlk209882602"/>
      <w:r w:rsidRPr="00D63B51">
        <w:rPr>
          <w:b/>
          <w:bCs/>
          <w:color w:val="333333"/>
        </w:rPr>
        <w:t xml:space="preserve">Best Practice </w:t>
      </w:r>
      <w:r w:rsidRPr="00D63B51">
        <w:rPr>
          <w:b/>
          <w:bCs/>
        </w:rPr>
        <w:t>MDL-§ 9(e):</w:t>
      </w:r>
      <w:r w:rsidRPr="00D63B51">
        <w:t xml:space="preserve"> The parties should consider suggesting that the court advise the parties early in </w:t>
      </w:r>
      <w:bookmarkEnd w:id="30"/>
      <w:r w:rsidRPr="00D63B51">
        <w:t xml:space="preserve">the litigation that in the event a dispute for more ediscovery arises it will focus either on the importance of the sought-after discovery in resolving the issues or alternatively will expect the parties to explain how the sought-after discovery bears on each of the six Rule 26(b)(1) factors in assessing proportionality. Permanent No. </w:t>
      </w:r>
      <w:r w:rsidRPr="00D63B51">
        <w:rPr>
          <w:rFonts w:cs="Times New Roman"/>
        </w:rPr>
        <w:t>MDL-§ 18(e)</w:t>
      </w:r>
      <w:r w:rsidRPr="00D63B51">
        <w:t>.</w:t>
      </w:r>
    </w:p>
    <w:p w14:paraId="739D4927" w14:textId="77777777" w:rsidR="00AF6312" w:rsidRPr="00D63B51" w:rsidRDefault="00AF6312" w:rsidP="00AF6312">
      <w:pPr>
        <w:ind w:left="720" w:right="720"/>
        <w:jc w:val="both"/>
      </w:pPr>
    </w:p>
    <w:p w14:paraId="740C5DAB" w14:textId="77777777" w:rsidR="00AF6312" w:rsidRPr="00D63B51" w:rsidRDefault="00AF6312" w:rsidP="00AF6312">
      <w:pPr>
        <w:spacing w:line="360" w:lineRule="auto"/>
        <w:ind w:firstLine="720"/>
        <w:jc w:val="both"/>
        <w:rPr>
          <w:rFonts w:cs="Times New Roman"/>
        </w:rPr>
      </w:pPr>
      <w:r w:rsidRPr="00D63B51">
        <w:rPr>
          <w:rFonts w:cs="Times New Roman"/>
        </w:rPr>
        <w:t>Many courts look at the importance of requested discovery, while others painstakingly apply the six-proportionality factor test under Rule 26(b)(2).</w:t>
      </w:r>
      <w:r w:rsidRPr="00D63B51">
        <w:rPr>
          <w:rFonts w:cs="Times New Roman"/>
          <w:vertAlign w:val="superscript"/>
        </w:rPr>
        <w:footnoteReference w:id="223"/>
      </w:r>
      <w:r w:rsidRPr="00D63B51">
        <w:rPr>
          <w:rFonts w:cs="Times New Roman"/>
        </w:rPr>
        <w:t xml:space="preserve"> The parties’ measures and methods obtaining discoverable matter are heavily influenced by the analysis it expects the court to take in ruling on ediscovery requests. </w:t>
      </w:r>
    </w:p>
    <w:p w14:paraId="197256BE" w14:textId="77777777" w:rsidR="00AF6312" w:rsidRPr="00D63B51" w:rsidRDefault="00AF6312" w:rsidP="00AF6312">
      <w:pPr>
        <w:spacing w:line="360" w:lineRule="auto"/>
        <w:ind w:firstLine="720"/>
        <w:jc w:val="both"/>
        <w:rPr>
          <w:rFonts w:cs="Times New Roman"/>
        </w:rPr>
      </w:pPr>
      <w:r w:rsidRPr="00D63B51">
        <w:rPr>
          <w:rFonts w:cs="Times New Roman"/>
        </w:rPr>
        <w:t xml:space="preserve">The court should inform the parties early in the litigation whether it intends to apply the six proportionality Rule 26(b)(2) factors to ediscovery disputes or whether it will focus its analysis on whether the requested ediscovery is important in resolving the issues. Alerting the parties to the court’s expectations will minimize unnecessary confusion and reduce the number of serious ediscovery problems from arising. </w:t>
      </w:r>
    </w:p>
    <w:p w14:paraId="527686F9" w14:textId="77777777" w:rsidR="00AF6312" w:rsidRPr="00D63B51" w:rsidRDefault="00AF6312" w:rsidP="00AF6312">
      <w:pPr>
        <w:ind w:left="720" w:right="720"/>
        <w:jc w:val="both"/>
      </w:pPr>
      <w:r w:rsidRPr="00D63B51">
        <w:rPr>
          <w:b/>
          <w:bCs/>
          <w:color w:val="333333"/>
        </w:rPr>
        <w:t xml:space="preserve">Best Practice </w:t>
      </w:r>
      <w:r w:rsidRPr="00D63B51">
        <w:rPr>
          <w:b/>
          <w:bCs/>
        </w:rPr>
        <w:t>MDL-§ 9(f):</w:t>
      </w:r>
      <w:r w:rsidRPr="00D63B51">
        <w:t xml:space="preserve"> The parties should provide their views on the contents of a plan required under Rule 26(f)(3) that address not only ediscovery, but all other aspects of discovery. Permanent No. </w:t>
      </w:r>
      <w:r w:rsidRPr="00D63B51">
        <w:rPr>
          <w:rFonts w:cs="Times New Roman"/>
        </w:rPr>
        <w:t>MDL-§ 18(f)</w:t>
      </w:r>
      <w:r w:rsidRPr="00D63B51">
        <w:t>.</w:t>
      </w:r>
    </w:p>
    <w:p w14:paraId="2824D108" w14:textId="77777777" w:rsidR="00AF6312" w:rsidRPr="00D63B51" w:rsidRDefault="00AF6312" w:rsidP="00AF6312">
      <w:pPr>
        <w:ind w:left="720" w:right="720"/>
        <w:jc w:val="both"/>
        <w:rPr>
          <w:rFonts w:cs="Times New Roman"/>
        </w:rPr>
      </w:pPr>
    </w:p>
    <w:p w14:paraId="2773D9D4" w14:textId="77777777" w:rsidR="00AF6312" w:rsidRPr="00D63B51" w:rsidRDefault="00AF6312" w:rsidP="00AF6312">
      <w:pPr>
        <w:spacing w:line="360" w:lineRule="auto"/>
        <w:ind w:firstLine="720"/>
        <w:jc w:val="both"/>
        <w:rPr>
          <w:rFonts w:cs="Times New Roman"/>
        </w:rPr>
      </w:pPr>
      <w:r w:rsidRPr="00D63B51">
        <w:rPr>
          <w:rFonts w:cs="Times New Roman"/>
        </w:rPr>
        <w:t>The parties have a duty to collaboratively develop an outline of a discovery plan under Rule 26(f)(3).</w:t>
      </w:r>
      <w:r w:rsidRPr="00D63B51">
        <w:rPr>
          <w:rStyle w:val="FootnoteReference"/>
          <w:rFonts w:cs="Times New Roman"/>
        </w:rPr>
        <w:footnoteReference w:id="224"/>
      </w:r>
      <w:r w:rsidRPr="00D63B51">
        <w:rPr>
          <w:rFonts w:cs="Times New Roman"/>
        </w:rPr>
        <w:t xml:space="preserve"> At the outset of a mass-tort MDL, a court with parties’ input usually is able to issue only a skeleton-discovery plan listing categories and general procedures with the understanding that they will be fleshed out and revised as the litigation progresses.</w:t>
      </w:r>
      <w:r w:rsidRPr="00D63B51">
        <w:rPr>
          <w:rStyle w:val="FootnoteReference"/>
          <w:rFonts w:cs="Times New Roman"/>
        </w:rPr>
        <w:footnoteReference w:id="225"/>
      </w:r>
      <w:r w:rsidRPr="00D63B51">
        <w:rPr>
          <w:rFonts w:cs="Times New Roman"/>
        </w:rPr>
        <w:t xml:space="preserve"> Though minimal, these </w:t>
      </w:r>
      <w:r w:rsidRPr="00D63B51">
        <w:rPr>
          <w:rFonts w:cs="Times New Roman"/>
        </w:rPr>
        <w:lastRenderedPageBreak/>
        <w:t xml:space="preserve">skeleton-discovery plans fix the procedural paths that hundreds of lawyers in the mass-tort MDL will follow for years of litigation. </w:t>
      </w:r>
    </w:p>
    <w:p w14:paraId="22785D27" w14:textId="77777777" w:rsidR="00AF6312" w:rsidRPr="00D63B51" w:rsidRDefault="00AF6312" w:rsidP="00AF6312">
      <w:pPr>
        <w:spacing w:line="360" w:lineRule="auto"/>
        <w:ind w:firstLine="720"/>
        <w:jc w:val="both"/>
        <w:rPr>
          <w:rFonts w:cs="Times New Roman"/>
        </w:rPr>
      </w:pPr>
      <w:r w:rsidRPr="00D63B51">
        <w:rPr>
          <w:rFonts w:cs="Times New Roman"/>
        </w:rPr>
        <w:t>There are some common discovery procedures that must be addressed in the discovery plan, though the details can be added as the litigation progresses and, most importantly, after the leadership has been appointed. Some matters require immediate attention, like evidence preservation, protective orders, and privilege-and-confidentiality protocols, including Fed. R. Evid 502(d) orders.</w:t>
      </w:r>
      <w:r w:rsidRPr="00D63B51">
        <w:rPr>
          <w:rFonts w:cs="Times New Roman"/>
          <w:vertAlign w:val="superscript"/>
        </w:rPr>
        <w:footnoteReference w:id="226"/>
      </w:r>
      <w:r w:rsidRPr="00D63B51">
        <w:rPr>
          <w:rFonts w:cs="Times New Roman"/>
        </w:rPr>
        <w:t xml:space="preserve">  </w:t>
      </w:r>
    </w:p>
    <w:p w14:paraId="7E9A716A" w14:textId="77777777" w:rsidR="00AF6312" w:rsidRPr="00D63B51" w:rsidRDefault="00AF6312" w:rsidP="00AF6312">
      <w:pPr>
        <w:spacing w:line="360" w:lineRule="auto"/>
        <w:ind w:firstLine="720"/>
        <w:jc w:val="both"/>
        <w:rPr>
          <w:rFonts w:cs="Times New Roman"/>
        </w:rPr>
      </w:pPr>
      <w:r w:rsidRPr="00D63B51">
        <w:rPr>
          <w:rFonts w:cs="Times New Roman"/>
        </w:rPr>
        <w:t xml:space="preserve">The principal issues in the MDL proceedings may help guide the discovery plan and avoid inefficiencies and unnecessary duplication. The parties should consider suggesting methods to handle discovery efficiently addressing the following: </w:t>
      </w:r>
    </w:p>
    <w:p w14:paraId="05FDDDF5" w14:textId="77777777" w:rsidR="00AF6312" w:rsidRPr="00D63B51" w:rsidRDefault="00AF6312" w:rsidP="00AF6312">
      <w:pPr>
        <w:numPr>
          <w:ilvl w:val="0"/>
          <w:numId w:val="17"/>
        </w:numPr>
        <w:rPr>
          <w:rFonts w:ascii="Century Schoolbook" w:hAnsi="Century Schoolbook"/>
        </w:rPr>
      </w:pPr>
      <w:r w:rsidRPr="00D63B51">
        <w:t>common-issue discovery;</w:t>
      </w:r>
    </w:p>
    <w:p w14:paraId="7738A996" w14:textId="77777777" w:rsidR="00AF6312" w:rsidRPr="00D63B51" w:rsidRDefault="00AF6312" w:rsidP="00AF6312">
      <w:pPr>
        <w:numPr>
          <w:ilvl w:val="0"/>
          <w:numId w:val="17"/>
        </w:numPr>
        <w:rPr>
          <w:rFonts w:ascii="Century Schoolbook" w:hAnsi="Century Schoolbook"/>
        </w:rPr>
      </w:pPr>
      <w:r w:rsidRPr="00D63B51">
        <w:t>staging of discovery;</w:t>
      </w:r>
    </w:p>
    <w:p w14:paraId="53CED86D" w14:textId="77777777" w:rsidR="00AF6312" w:rsidRPr="00D63B51" w:rsidRDefault="00AF6312" w:rsidP="00AF6312">
      <w:pPr>
        <w:numPr>
          <w:ilvl w:val="0"/>
          <w:numId w:val="17"/>
        </w:numPr>
        <w:rPr>
          <w:rFonts w:ascii="Century Schoolbook" w:hAnsi="Century Schoolbook"/>
        </w:rPr>
      </w:pPr>
      <w:r w:rsidRPr="00D63B51">
        <w:t>procedures for handling already-completed common-issue discovery in pre-MDL cases;</w:t>
      </w:r>
    </w:p>
    <w:p w14:paraId="4151AE08" w14:textId="77777777" w:rsidR="00AF6312" w:rsidRPr="00D63B51" w:rsidRDefault="00AF6312" w:rsidP="00AF6312">
      <w:pPr>
        <w:numPr>
          <w:ilvl w:val="0"/>
          <w:numId w:val="17"/>
        </w:numPr>
        <w:rPr>
          <w:rFonts w:ascii="Century Schoolbook" w:hAnsi="Century Schoolbook"/>
        </w:rPr>
      </w:pPr>
      <w:r w:rsidRPr="00D63B51">
        <w:t>establishment of early ESI protocols, including joint training of TAR and other generative-AI search tools;</w:t>
      </w:r>
    </w:p>
    <w:p w14:paraId="758E39FA" w14:textId="77777777" w:rsidR="00AF6312" w:rsidRPr="00D63B51" w:rsidRDefault="00AF6312" w:rsidP="00AF6312">
      <w:pPr>
        <w:numPr>
          <w:ilvl w:val="0"/>
          <w:numId w:val="17"/>
        </w:numPr>
      </w:pPr>
      <w:r w:rsidRPr="00D63B51">
        <w:t>overall time limits on each side’s number of deposition hours;</w:t>
      </w:r>
    </w:p>
    <w:p w14:paraId="6C531A30" w14:textId="77777777" w:rsidR="00AF6312" w:rsidRPr="00D63B51" w:rsidRDefault="00AF6312" w:rsidP="00AF6312">
      <w:pPr>
        <w:numPr>
          <w:ilvl w:val="0"/>
          <w:numId w:val="17"/>
        </w:numPr>
      </w:pPr>
      <w:r w:rsidRPr="00D63B51">
        <w:t xml:space="preserve">benefits of forbidding written discovery motions; </w:t>
      </w:r>
    </w:p>
    <w:p w14:paraId="4B2092B5" w14:textId="77777777" w:rsidR="00AF6312" w:rsidRPr="00D63B51" w:rsidRDefault="00AF6312" w:rsidP="00AF6312">
      <w:pPr>
        <w:numPr>
          <w:ilvl w:val="0"/>
          <w:numId w:val="17"/>
        </w:numPr>
      </w:pPr>
      <w:r w:rsidRPr="00D63B51">
        <w:t>early protective orders; and</w:t>
      </w:r>
    </w:p>
    <w:p w14:paraId="3BA8F98E" w14:textId="77777777" w:rsidR="00AF6312" w:rsidRPr="00D63B51" w:rsidRDefault="00AF6312" w:rsidP="00AF6312">
      <w:pPr>
        <w:numPr>
          <w:ilvl w:val="0"/>
          <w:numId w:val="17"/>
        </w:numPr>
        <w:ind w:right="720"/>
        <w:rPr>
          <w:b/>
          <w:bCs/>
          <w:color w:val="333333"/>
        </w:rPr>
      </w:pPr>
      <w:r w:rsidRPr="00D63B51">
        <w:t>procedures to handle privilege disputes.</w:t>
      </w:r>
      <w:r w:rsidRPr="00D63B51">
        <w:rPr>
          <w:sz w:val="20"/>
          <w:szCs w:val="20"/>
          <w:vertAlign w:val="superscript"/>
        </w:rPr>
        <w:footnoteReference w:id="227"/>
      </w:r>
      <w:r w:rsidRPr="00D63B51">
        <w:rPr>
          <w:sz w:val="20"/>
          <w:szCs w:val="20"/>
          <w:vertAlign w:val="superscript"/>
        </w:rPr>
        <w:t xml:space="preserve">  </w:t>
      </w:r>
    </w:p>
    <w:p w14:paraId="5C7A8138" w14:textId="77777777" w:rsidR="00AF6312" w:rsidRPr="00D63B51" w:rsidRDefault="00AF6312" w:rsidP="00AF6312">
      <w:pPr>
        <w:spacing w:line="360" w:lineRule="auto"/>
        <w:ind w:firstLine="720"/>
        <w:jc w:val="both"/>
        <w:rPr>
          <w:rFonts w:cs="Times New Roman"/>
        </w:rPr>
      </w:pPr>
    </w:p>
    <w:p w14:paraId="792C8787" w14:textId="77777777" w:rsidR="009602B5" w:rsidRPr="00D63B51" w:rsidRDefault="009602B5" w:rsidP="009602B5">
      <w:pPr>
        <w:ind w:left="720" w:right="720"/>
        <w:jc w:val="both"/>
      </w:pPr>
      <w:r w:rsidRPr="00D63B51">
        <w:rPr>
          <w:b/>
          <w:bCs/>
          <w:color w:val="333333"/>
        </w:rPr>
        <w:t xml:space="preserve">Best Practice </w:t>
      </w:r>
      <w:r w:rsidRPr="00D63B51">
        <w:rPr>
          <w:b/>
          <w:bCs/>
        </w:rPr>
        <w:t>MDL-§ 9(g):</w:t>
      </w:r>
      <w:r w:rsidRPr="00D63B51">
        <w:t xml:space="preserve"> The court should encourage, and defendant and plaintiff lawyers should agree to respond to early Rule 34 discovery requests for matter that is obviously relevant. Permanent No. </w:t>
      </w:r>
      <w:r w:rsidRPr="00D63B51">
        <w:rPr>
          <w:rFonts w:cs="Times New Roman"/>
        </w:rPr>
        <w:t>MDL-§ 18(g)</w:t>
      </w:r>
      <w:r w:rsidRPr="00D63B51">
        <w:t>.</w:t>
      </w:r>
    </w:p>
    <w:p w14:paraId="3C583157" w14:textId="77777777" w:rsidR="009602B5" w:rsidRPr="00D63B51" w:rsidRDefault="009602B5" w:rsidP="009602B5">
      <w:pPr>
        <w:rPr>
          <w:rFonts w:cs="Times New Roman"/>
        </w:rPr>
      </w:pPr>
    </w:p>
    <w:p w14:paraId="1E69B4A5" w14:textId="77777777" w:rsidR="009602B5" w:rsidRPr="00D63B51" w:rsidRDefault="009602B5" w:rsidP="009602B5">
      <w:pPr>
        <w:spacing w:line="360" w:lineRule="auto"/>
        <w:ind w:firstLine="720"/>
        <w:jc w:val="both"/>
        <w:rPr>
          <w:rFonts w:cs="Times New Roman"/>
        </w:rPr>
      </w:pPr>
      <w:r w:rsidRPr="00D63B51">
        <w:rPr>
          <w:rFonts w:cs="Times New Roman"/>
        </w:rPr>
        <w:t xml:space="preserve">Production of discovery begins as late as 6 to 12 months after actions have been centralized in a mass-tort MDL.  In some cases, discovery production is delayed until the court rules on a dispositive motion, while in other cases delay occurs until the parties agree on the terms of a </w:t>
      </w:r>
      <w:r w:rsidRPr="00D63B51">
        <w:rPr>
          <w:rFonts w:cs="Times New Roman"/>
        </w:rPr>
        <w:lastRenderedPageBreak/>
        <w:t>protective order and various protocols.</w:t>
      </w:r>
      <w:r w:rsidRPr="00D63B51">
        <w:rPr>
          <w:rFonts w:cs="Times New Roman"/>
          <w:vertAlign w:val="superscript"/>
        </w:rPr>
        <w:footnoteReference w:id="228"/>
      </w:r>
      <w:r w:rsidRPr="00D63B51">
        <w:rPr>
          <w:rFonts w:cs="Times New Roman"/>
        </w:rPr>
        <w:t xml:space="preserve"> In the meantime, production of relevant materials is stalled, and months are added to the lifetime of the litigation.  </w:t>
      </w:r>
    </w:p>
    <w:p w14:paraId="5843CFD8" w14:textId="77777777" w:rsidR="009602B5" w:rsidRPr="00D63B51" w:rsidRDefault="009602B5" w:rsidP="009602B5">
      <w:pPr>
        <w:spacing w:line="360" w:lineRule="auto"/>
        <w:ind w:firstLine="720"/>
        <w:jc w:val="both"/>
        <w:rPr>
          <w:rFonts w:cs="Times New Roman"/>
        </w:rPr>
      </w:pPr>
      <w:r w:rsidRPr="00D63B51">
        <w:rPr>
          <w:rFonts w:cs="Times New Roman"/>
        </w:rPr>
        <w:t>Given the incredible volume of discovery produced in mass-tort MDLs (oftentimes totaling millions of pages), the interests of the litigation are better served by commencing discovery early, rather than delaying until after the resolution of dispositive motions.  In particular, early discovery responses and the rolling production of documents from the outset of the case allow the parties to home in on the key issues in the litigation.  For example, early production of Federal Drug Administration reports and studies, in-house testing results, NDA agreements, and, to the extent permissible, previously-produced discovery from related litigation, are all low-hanging fruit that can be made available early and potentially curtail overbroad and irrelevant discovery requests down the road.</w:t>
      </w:r>
      <w:r w:rsidRPr="00D63B51">
        <w:rPr>
          <w:rFonts w:cs="Times New Roman"/>
          <w:vertAlign w:val="superscript"/>
        </w:rPr>
        <w:footnoteReference w:id="229"/>
      </w:r>
      <w:r w:rsidRPr="00D63B51">
        <w:rPr>
          <w:rFonts w:cs="Times New Roman"/>
        </w:rPr>
        <w:t xml:space="preserve">  Moreover, early discovery in a federal MDL can oftentimes be reproduced in ancillary state court litigation to avoid duplicative requests, and vice versa.   </w:t>
      </w:r>
    </w:p>
    <w:p w14:paraId="3C896A42" w14:textId="31C307CF" w:rsidR="009602B5" w:rsidRPr="00D63B51" w:rsidRDefault="009C473E" w:rsidP="009602B5">
      <w:pPr>
        <w:spacing w:line="360" w:lineRule="auto"/>
        <w:ind w:firstLine="720"/>
        <w:jc w:val="both"/>
        <w:rPr>
          <w:rFonts w:cs="Times New Roman"/>
        </w:rPr>
      </w:pPr>
      <w:r w:rsidRPr="00D63B51">
        <w:rPr>
          <w:rFonts w:cs="Times New Roman"/>
        </w:rPr>
        <w:t>FED. R. CIV. P.</w:t>
      </w:r>
      <w:r w:rsidR="009602B5" w:rsidRPr="00D63B51">
        <w:rPr>
          <w:rFonts w:cs="Times New Roman"/>
        </w:rPr>
        <w:t xml:space="preserve"> 26(d)(2) sets out the procedures governing early production requests under </w:t>
      </w:r>
      <w:r w:rsidRPr="00D63B51">
        <w:rPr>
          <w:rFonts w:cs="Times New Roman"/>
        </w:rPr>
        <w:t>FED. R. CIV. P.</w:t>
      </w:r>
      <w:r w:rsidR="009602B5" w:rsidRPr="00D63B51">
        <w:rPr>
          <w:rFonts w:cs="Times New Roman"/>
        </w:rPr>
        <w:t xml:space="preserve"> 34(b)(2)(A).  The court should encourage both parties to engage in early Rule 34 production requests, without either party conceding the merits of the MDL.</w:t>
      </w:r>
    </w:p>
    <w:p w14:paraId="7EBE492E" w14:textId="77777777" w:rsidR="009602B5" w:rsidRPr="00D63B51" w:rsidRDefault="009602B5" w:rsidP="009602B5">
      <w:pPr>
        <w:ind w:left="720"/>
        <w:contextualSpacing/>
      </w:pPr>
    </w:p>
    <w:p w14:paraId="650A566E" w14:textId="77777777" w:rsidR="009602B5" w:rsidRPr="00D63B51" w:rsidRDefault="009602B5" w:rsidP="009602B5">
      <w:pPr>
        <w:ind w:left="720" w:right="720"/>
        <w:jc w:val="both"/>
      </w:pPr>
      <w:r w:rsidRPr="00D63B51">
        <w:rPr>
          <w:b/>
          <w:bCs/>
        </w:rPr>
        <w:t xml:space="preserve">Best Practice </w:t>
      </w:r>
      <w:r w:rsidRPr="00D63B51">
        <w:rPr>
          <w:rFonts w:cs="Times New Roman"/>
          <w:b/>
          <w:bCs/>
        </w:rPr>
        <w:t>MDL-§ 9</w:t>
      </w:r>
      <w:r w:rsidRPr="00D63B51">
        <w:rPr>
          <w:b/>
          <w:bCs/>
        </w:rPr>
        <w:t>(h):</w:t>
      </w:r>
      <w:r w:rsidRPr="00D63B51">
        <w:t xml:space="preserve"> </w:t>
      </w:r>
      <w:r w:rsidRPr="00D63B51">
        <w:rPr>
          <w:rFonts w:cs="Times New Roman"/>
        </w:rPr>
        <w:t xml:space="preserve">Unless the court orders otherwise, </w:t>
      </w:r>
      <w:r w:rsidRPr="00D63B51">
        <w:t xml:space="preserve">the parties should </w:t>
      </w:r>
      <w:r w:rsidRPr="00D63B51">
        <w:rPr>
          <w:rFonts w:cs="Times New Roman"/>
        </w:rPr>
        <w:t xml:space="preserve">address their initial views on and suggest </w:t>
      </w:r>
      <w:r w:rsidRPr="00D63B51">
        <w:t xml:space="preserve">procedures governing privilege logs in the Rule 16.1 report, including the method of describing the privilege or protection and submission of a list of lawyers’ names and the types of responsibilities they handle. Permanent No. </w:t>
      </w:r>
      <w:r w:rsidRPr="00D63B51">
        <w:rPr>
          <w:rFonts w:cs="Times New Roman"/>
        </w:rPr>
        <w:t>MDL-§ 18(h)</w:t>
      </w:r>
      <w:r w:rsidRPr="00D63B51">
        <w:t xml:space="preserve">. </w:t>
      </w:r>
    </w:p>
    <w:p w14:paraId="58A2A961" w14:textId="77777777" w:rsidR="009602B5" w:rsidRPr="00D63B51" w:rsidRDefault="009602B5" w:rsidP="009602B5">
      <w:pPr>
        <w:ind w:left="720" w:right="720"/>
        <w:jc w:val="both"/>
      </w:pPr>
    </w:p>
    <w:p w14:paraId="7348CBE5" w14:textId="1E8DAA57" w:rsidR="009602B5" w:rsidRPr="00D63B51" w:rsidRDefault="009602B5" w:rsidP="009602B5">
      <w:pPr>
        <w:spacing w:line="360" w:lineRule="auto"/>
        <w:ind w:firstLine="720"/>
        <w:jc w:val="both"/>
        <w:rPr>
          <w:rFonts w:eastAsia="Times New Roman" w:cs="Times New Roman"/>
          <w:color w:val="222222"/>
        </w:rPr>
      </w:pPr>
      <w:r w:rsidRPr="00D63B51">
        <w:rPr>
          <w:rFonts w:eastAsia="Times New Roman" w:cs="Times New Roman"/>
          <w:color w:val="222222"/>
        </w:rPr>
        <w:t xml:space="preserve">Rule 26(b)(5) requires the party who asserts attorney-client privilege or work-product protection claims to provide information sufficient to allow the requesting party to assess the claims, typically in a privilege log. The cost and burden of preparing a privilege log </w:t>
      </w:r>
      <w:r w:rsidRPr="00D63B51">
        <w:t xml:space="preserve">in a mass-tort MDL </w:t>
      </w:r>
      <w:r w:rsidRPr="00D63B51">
        <w:rPr>
          <w:rFonts w:eastAsia="Times New Roman" w:cs="Times New Roman"/>
          <w:color w:val="222222"/>
        </w:rPr>
        <w:t xml:space="preserve">on a document-by-document basis for potentially </w:t>
      </w:r>
      <w:r w:rsidR="003B1538" w:rsidRPr="00D63B51">
        <w:rPr>
          <w:rFonts w:eastAsia="Times New Roman" w:cs="Times New Roman"/>
          <w:color w:val="222222"/>
        </w:rPr>
        <w:t>tens of thousands</w:t>
      </w:r>
      <w:r w:rsidRPr="00D63B51">
        <w:rPr>
          <w:rFonts w:eastAsia="Times New Roman" w:cs="Times New Roman"/>
          <w:color w:val="222222"/>
        </w:rPr>
        <w:t xml:space="preserve"> of documents is considerable, and oftentimes the withheld documents are of minimal relevance to the underlying </w:t>
      </w:r>
      <w:r w:rsidRPr="00D63B51">
        <w:rPr>
          <w:rFonts w:eastAsia="Times New Roman" w:cs="Times New Roman"/>
          <w:color w:val="222222"/>
        </w:rPr>
        <w:lastRenderedPageBreak/>
        <w:t>claims.</w:t>
      </w:r>
      <w:r w:rsidRPr="00D63B51">
        <w:rPr>
          <w:vertAlign w:val="superscript"/>
        </w:rPr>
        <w:footnoteReference w:id="230"/>
      </w:r>
      <w:r w:rsidRPr="00D63B51">
        <w:rPr>
          <w:rFonts w:eastAsia="Times New Roman" w:cs="Times New Roman"/>
          <w:color w:val="222222"/>
        </w:rPr>
        <w:t>  For this reason, the Committee Note to Rule 26(b)(5) permits parties to describe privileged or protected documents by category, rather than on an individual document basis.</w:t>
      </w:r>
      <w:r w:rsidRPr="00D63B51">
        <w:rPr>
          <w:rFonts w:eastAsia="Times New Roman" w:cs="Times New Roman"/>
          <w:color w:val="222222"/>
          <w:vertAlign w:val="superscript"/>
        </w:rPr>
        <w:footnoteReference w:id="231"/>
      </w:r>
      <w:r w:rsidRPr="00D63B51">
        <w:rPr>
          <w:rFonts w:eastAsia="Times New Roman" w:cs="Times New Roman"/>
          <w:color w:val="222222"/>
        </w:rPr>
        <w:t xml:space="preserve">  Parties and courts, however, have struggled to develop a process that provides adequate information to assess the claims of privilege and protection when they are being applied to large swaths of documents.  </w:t>
      </w:r>
    </w:p>
    <w:p w14:paraId="4AC31257" w14:textId="3D163880" w:rsidR="009602B5" w:rsidRPr="00D63B51" w:rsidRDefault="009602B5" w:rsidP="009602B5">
      <w:pPr>
        <w:spacing w:line="360" w:lineRule="auto"/>
        <w:ind w:firstLine="720"/>
        <w:jc w:val="both"/>
        <w:rPr>
          <w:rFonts w:eastAsia="Times New Roman" w:cs="Times New Roman"/>
          <w:color w:val="222222"/>
        </w:rPr>
      </w:pPr>
      <w:r w:rsidRPr="00D63B51">
        <w:rPr>
          <w:rFonts w:eastAsia="Times New Roman" w:cs="Times New Roman"/>
          <w:color w:val="222222"/>
        </w:rPr>
        <w:t>In 2025, Rule 26(f) was amended to require the parties to include in their discovery plan their views and proposals on “the timing and method for complying with Rule 26(b)(5)(A).”</w:t>
      </w:r>
      <w:r w:rsidRPr="00D63B51">
        <w:rPr>
          <w:rFonts w:eastAsia="Times New Roman" w:cs="Times New Roman"/>
          <w:color w:val="222222"/>
          <w:vertAlign w:val="superscript"/>
        </w:rPr>
        <w:footnoteReference w:id="232"/>
      </w:r>
      <w:r w:rsidRPr="00D63B51">
        <w:rPr>
          <w:rFonts w:eastAsia="Times New Roman" w:cs="Times New Roman"/>
          <w:color w:val="222222"/>
        </w:rPr>
        <w:t xml:space="preserve">  This duty is independent of Rule 16.1’s duty to include in an initial MDL case management report any views on discovery issues.  The amended language of Rule 26(f), however, provides no further guidance as to the manner in which parties should comply with their duty to describe the documents being withheld on a claim of privilege or other protection</w:t>
      </w:r>
      <w:r w:rsidR="003A3552" w:rsidRPr="00D63B51">
        <w:rPr>
          <w:rFonts w:eastAsia="Times New Roman" w:cs="Times New Roman"/>
          <w:color w:val="222222"/>
        </w:rPr>
        <w:t>,</w:t>
      </w:r>
      <w:r w:rsidRPr="00D63B51">
        <w:rPr>
          <w:rFonts w:eastAsia="Times New Roman" w:cs="Times New Roman"/>
          <w:color w:val="222222"/>
        </w:rPr>
        <w:t xml:space="preserve"> whether on a categorical basis or otherwise.       </w:t>
      </w:r>
    </w:p>
    <w:p w14:paraId="38A38114" w14:textId="09A39CE4" w:rsidR="009602B5" w:rsidRPr="00D63B51" w:rsidRDefault="009602B5" w:rsidP="009602B5">
      <w:pPr>
        <w:spacing w:line="360" w:lineRule="auto"/>
        <w:ind w:firstLine="720"/>
        <w:jc w:val="both"/>
      </w:pPr>
      <w:r w:rsidRPr="00D63B51">
        <w:t>In light of the ambiguity surrounding privilege</w:t>
      </w:r>
      <w:r w:rsidR="00AD2D8A" w:rsidRPr="00D63B51">
        <w:t>-</w:t>
      </w:r>
      <w:r w:rsidRPr="00D63B51">
        <w:t>log requirements, mass-tort MDLs have adopted varying protocols governing privilege logs.  For instance, some MDLs require document-by-document descriptions,</w:t>
      </w:r>
      <w:r w:rsidRPr="00D63B51">
        <w:rPr>
          <w:vertAlign w:val="superscript"/>
        </w:rPr>
        <w:footnoteReference w:id="233"/>
      </w:r>
      <w:r w:rsidRPr="00D63B51">
        <w:t xml:space="preserve"> while others exclude broad categories of information from the logging requirement altogether;</w:t>
      </w:r>
      <w:r w:rsidRPr="00D63B51">
        <w:rPr>
          <w:vertAlign w:val="superscript"/>
        </w:rPr>
        <w:footnoteReference w:id="234"/>
      </w:r>
      <w:r w:rsidRPr="00D63B51">
        <w:t xml:space="preserve"> some require metadata to be provided in a privilege log as the default,</w:t>
      </w:r>
      <w:r w:rsidRPr="00D63B51">
        <w:rPr>
          <w:vertAlign w:val="superscript"/>
        </w:rPr>
        <w:footnoteReference w:id="235"/>
      </w:r>
      <w:r w:rsidRPr="00D63B51">
        <w:t xml:space="preserve"> and others merely afford an opportunity to request more detailed descriptions on a document-by-</w:t>
      </w:r>
      <w:r w:rsidRPr="00D63B51">
        <w:lastRenderedPageBreak/>
        <w:t>document basis if there is insufficient information to assess the privilege or protection claim.</w:t>
      </w:r>
      <w:r w:rsidRPr="00D63B51">
        <w:rPr>
          <w:vertAlign w:val="superscript"/>
        </w:rPr>
        <w:footnoteReference w:id="236"/>
      </w:r>
      <w:r w:rsidRPr="00D63B51">
        <w:rPr>
          <w:vertAlign w:val="superscript"/>
        </w:rPr>
        <w:t xml:space="preserve">  </w:t>
      </w:r>
      <w:r w:rsidRPr="00D63B51">
        <w:t>Some commentators have further suggested adopting an alternative “privilege-screener search-term model,” which limits document-specific logging to only those documents that contain certain key search terms.</w:t>
      </w:r>
      <w:r w:rsidRPr="00D63B51">
        <w:rPr>
          <w:vertAlign w:val="superscript"/>
        </w:rPr>
        <w:footnoteReference w:id="237"/>
      </w:r>
      <w:r w:rsidRPr="00D63B51">
        <w:t xml:space="preserve"> But the same fundamental flaw remains with each of these approaches:  they invariably require the logging of significant volumes of documents that are of limited relevance to the litigation and consequently create a disproportionate discovery burden on the party asserting the privilege.  </w:t>
      </w:r>
    </w:p>
    <w:p w14:paraId="739B9E33" w14:textId="26F47C08" w:rsidR="009602B5" w:rsidRPr="00D63B51" w:rsidRDefault="009602B5" w:rsidP="009602B5">
      <w:pPr>
        <w:spacing w:line="360" w:lineRule="auto"/>
        <w:ind w:firstLine="720"/>
        <w:jc w:val="both"/>
      </w:pPr>
      <w:r w:rsidRPr="00D63B51">
        <w:t>Instead of placing an onerous logging burden on any party, a common sense and innovative approach would leverage the technology available to prioritize the most relevant documents.  Specifically, TAR and generative-AI search tools have the ability to rank documents in order of the level of responsiveness.  The parties could therefore agree to the use of these tools and their rankings, and then further agree on a number or percentage of highly-ranked responsive documents to log on a document-by-document basis.  In conjunction with this approach, parties may also consider additional, agreed-upon limitations to document-specific privilege</w:t>
      </w:r>
      <w:r w:rsidR="002F614A" w:rsidRPr="00D63B51">
        <w:t>-</w:t>
      </w:r>
      <w:r w:rsidRPr="00D63B51">
        <w:t xml:space="preserve">log requirements, including, for example, limiting logging to documents in the possession of key custodians.  </w:t>
      </w:r>
    </w:p>
    <w:p w14:paraId="0BEF8408" w14:textId="3182025A" w:rsidR="009602B5" w:rsidRPr="00D63B51" w:rsidRDefault="009602B5" w:rsidP="00BA4030">
      <w:pPr>
        <w:spacing w:line="360" w:lineRule="auto"/>
        <w:ind w:firstLine="720"/>
        <w:jc w:val="both"/>
      </w:pPr>
      <w:r w:rsidRPr="00D63B51">
        <w:t xml:space="preserve">While restricting the universe of documents to be individually logged is obviously beneficial to the responding party in that it reduces that party’s burden, the requesting party can also gain an important advantage by requiring, as a term of limiting document-specific logging requirements, more expansive descriptions of, or metadata fields pertaining to, the documents being withheld. </w:t>
      </w:r>
      <w:r w:rsidR="000C3519" w:rsidRPr="00D63B51">
        <w:t xml:space="preserve">The added information on significant documents </w:t>
      </w:r>
      <w:r w:rsidR="007B34AF" w:rsidRPr="00D63B51">
        <w:t>would provide a fairer, more effective, and more efficient process.</w:t>
      </w:r>
      <w:r w:rsidRPr="00D63B51">
        <w:t xml:space="preserve"> </w:t>
      </w:r>
    </w:p>
    <w:p w14:paraId="355C32AA" w14:textId="77777777" w:rsidR="00AF6312" w:rsidRPr="00D63B51" w:rsidRDefault="00AF6312" w:rsidP="00AF6312">
      <w:pPr>
        <w:spacing w:line="360" w:lineRule="auto"/>
        <w:ind w:firstLine="720"/>
        <w:jc w:val="both"/>
      </w:pPr>
      <w:r w:rsidRPr="00D63B51">
        <w:t xml:space="preserve">Corporations may have several departments of lawyers responsible for various distinct functions, including litigation, regulatory affairs, personnel, intellectual property, and taxation. The party asserting the privilege claim or protection should list the names and types of responsibilities of all lawyers mentioned in any privileged or protected document so that the other parties and the court can better assess the claims.  The list should indicate whether the lawyer’s </w:t>
      </w:r>
      <w:r w:rsidRPr="00D63B51">
        <w:lastRenderedPageBreak/>
        <w:t xml:space="preserve">responsibilities are exclusive or extend to two or more other types of responsibilities.  The list should be provided to the other parties at the same time as the privilege log. </w:t>
      </w:r>
    </w:p>
    <w:p w14:paraId="2D106193" w14:textId="5F1C259F" w:rsidR="00AF6312" w:rsidRPr="00D63B51" w:rsidRDefault="00AF6312" w:rsidP="00AF6312">
      <w:pPr>
        <w:ind w:left="720" w:right="720"/>
        <w:jc w:val="both"/>
      </w:pPr>
      <w:r w:rsidRPr="00D63B51">
        <w:rPr>
          <w:b/>
          <w:bCs/>
        </w:rPr>
        <w:t>Best Practice MDL-§ 9(i):</w:t>
      </w:r>
      <w:r w:rsidRPr="00D63B51">
        <w:t xml:space="preserve"> As part of the </w:t>
      </w:r>
      <w:r w:rsidR="003912E4" w:rsidRPr="00D63B51">
        <w:t xml:space="preserve">Rule 16.1 </w:t>
      </w:r>
      <w:r w:rsidRPr="00D63B51">
        <w:t xml:space="preserve">report addressing discovery, the parties should also address sundry topics that often arise. Permanent No. </w:t>
      </w:r>
      <w:r w:rsidRPr="00D63B51">
        <w:rPr>
          <w:rFonts w:cs="Times New Roman"/>
        </w:rPr>
        <w:t>MDL-§ 18(i)</w:t>
      </w:r>
      <w:r w:rsidRPr="00D63B51">
        <w:t>.</w:t>
      </w:r>
    </w:p>
    <w:p w14:paraId="687C189F" w14:textId="77777777" w:rsidR="00AF6312" w:rsidRPr="00D63B51" w:rsidRDefault="00AF6312" w:rsidP="00AF6312">
      <w:pPr>
        <w:ind w:left="720" w:right="720"/>
        <w:jc w:val="both"/>
      </w:pPr>
    </w:p>
    <w:p w14:paraId="7BC96BE4" w14:textId="0018FCF7" w:rsidR="00AF6312" w:rsidRPr="00D63B51" w:rsidRDefault="003912E4" w:rsidP="00AF6312">
      <w:pPr>
        <w:spacing w:line="360" w:lineRule="auto"/>
        <w:ind w:firstLine="720"/>
        <w:jc w:val="both"/>
      </w:pPr>
      <w:r w:rsidRPr="00D63B51">
        <w:rPr>
          <w:rFonts w:cs="Times New Roman"/>
        </w:rPr>
        <w:t xml:space="preserve">Rule 16.1 gives parties </w:t>
      </w:r>
      <w:r w:rsidR="00AD2779" w:rsidRPr="00D63B51">
        <w:rPr>
          <w:rFonts w:cs="Times New Roman"/>
        </w:rPr>
        <w:t>the opportunity to address their initial views on any discovery issue.  A common discovery issue in a mass-tort MDL</w:t>
      </w:r>
      <w:r w:rsidR="00A24767" w:rsidRPr="00D63B51">
        <w:rPr>
          <w:rFonts w:cs="Times New Roman"/>
        </w:rPr>
        <w:t xml:space="preserve"> </w:t>
      </w:r>
      <w:r w:rsidR="00AF6312" w:rsidRPr="00D63B51">
        <w:rPr>
          <w:rFonts w:cs="Times New Roman"/>
        </w:rPr>
        <w:t>that may be raised in the report to the court is whether discovery should be limited to general-causation issues instead of individual-fact discovery.</w:t>
      </w:r>
      <w:r w:rsidR="00AF6312" w:rsidRPr="00D63B51">
        <w:rPr>
          <w:rFonts w:cs="Times New Roman"/>
          <w:vertAlign w:val="superscript"/>
        </w:rPr>
        <w:t xml:space="preserve"> </w:t>
      </w:r>
      <w:r w:rsidR="00AF6312" w:rsidRPr="00D63B51">
        <w:rPr>
          <w:rFonts w:cs="Times New Roman"/>
          <w:vertAlign w:val="superscript"/>
        </w:rPr>
        <w:footnoteReference w:id="238"/>
      </w:r>
      <w:r w:rsidR="00AF6312" w:rsidRPr="00D63B51">
        <w:rPr>
          <w:rFonts w:cs="Times New Roman"/>
        </w:rPr>
        <w:t xml:space="preserve"> Some MDLs may benefit from staying all discovery at the outset of the proceedings pending a decision on a threshold legal issue that could lead to the speedy and efficient resolution of large groups of cases within the MDL, if not the entire litigation.</w:t>
      </w:r>
      <w:r w:rsidR="00AF6312" w:rsidRPr="00D63B51">
        <w:rPr>
          <w:rFonts w:cs="Times New Roman"/>
          <w:vertAlign w:val="superscript"/>
        </w:rPr>
        <w:footnoteReference w:id="239"/>
      </w:r>
      <w:r w:rsidR="00AF6312" w:rsidRPr="00D63B51">
        <w:rPr>
          <w:rFonts w:cs="Times New Roman"/>
        </w:rPr>
        <w:t xml:space="preserve"> </w:t>
      </w:r>
      <w:r w:rsidR="00AF6312" w:rsidRPr="00D63B51">
        <w:rPr>
          <w:rFonts w:ascii="Century Schoolbook" w:hAnsi="Century Schoolbook"/>
        </w:rPr>
        <w:t>Other MDLs may benefit from staged or bifurcated discovery designed to address common issues, such as general causation, before getting to more case-specific issues usually reserved for bellwether trials.</w:t>
      </w:r>
      <w:r w:rsidR="00AF6312" w:rsidRPr="00D63B51">
        <w:rPr>
          <w:rFonts w:ascii="Century Schoolbook" w:hAnsi="Century Schoolbook"/>
          <w:vertAlign w:val="superscript"/>
        </w:rPr>
        <w:footnoteReference w:id="240"/>
      </w:r>
      <w:r w:rsidR="00AF6312" w:rsidRPr="00D63B51">
        <w:rPr>
          <w:rFonts w:ascii="Century Schoolbook" w:hAnsi="Century Schoolbook"/>
        </w:rPr>
        <w:t xml:space="preserve"> </w:t>
      </w:r>
    </w:p>
    <w:p w14:paraId="793D0BC0" w14:textId="77777777" w:rsidR="00AF6312" w:rsidRPr="00D63B51" w:rsidRDefault="00AF6312" w:rsidP="00AF6312">
      <w:pPr>
        <w:spacing w:line="360" w:lineRule="auto"/>
        <w:ind w:firstLine="720"/>
        <w:jc w:val="both"/>
        <w:rPr>
          <w:rFonts w:cs="Times New Roman"/>
        </w:rPr>
      </w:pPr>
      <w:r w:rsidRPr="00D63B51">
        <w:rPr>
          <w:rFonts w:cs="Times New Roman"/>
        </w:rPr>
        <w:t xml:space="preserve">Individual states and countries have enacted privacy and data-protection laws that impose obligations on litigants, which may limit disclosure of protected information in discovery. Violations can be subject to severe penalties and compliance may entail significant burdens and expense, which the parties should alert the judge to.   For example, some MDLs may involve hundreds of thousands of claimants whose individual medical condition(s) are integral to the litigation. Witnesses may reside or be located outside the United States and may or may not submit to the Hague Convention.  Plaintiffs may be represented by dozens of law firms and an even greater number of lawyers from diverse areas of the country, each of whom may have a different idea of, among other things, the signature injuries, causation, damages, and the best way to prove same. Such discovery raises difficult and complex issues that the judge may be unfamiliar with and should be raised by the parties in the report to the court.  </w:t>
      </w:r>
    </w:p>
    <w:p w14:paraId="35F8C3C1" w14:textId="77777777" w:rsidR="00AF6312" w:rsidRPr="00D63B51" w:rsidRDefault="00AF6312" w:rsidP="00AF6312">
      <w:pPr>
        <w:spacing w:line="360" w:lineRule="auto"/>
        <w:ind w:firstLine="720"/>
        <w:jc w:val="both"/>
        <w:rPr>
          <w:rFonts w:cs="Times New Roman"/>
        </w:rPr>
      </w:pPr>
      <w:r w:rsidRPr="00D63B51">
        <w:rPr>
          <w:rFonts w:cs="Times New Roman"/>
        </w:rPr>
        <w:lastRenderedPageBreak/>
        <w:t>Evidence Rule 702 motion practice is often key in mass-tort MDLs.  Courts have relied on the parties’ input to manage the number of experts and their depositions and avoid duplication, facilitating an orderly process.</w:t>
      </w:r>
    </w:p>
    <w:p w14:paraId="237A9875" w14:textId="77777777" w:rsidR="00AF6312" w:rsidRPr="00D63B51" w:rsidRDefault="00AF6312" w:rsidP="00AF6312">
      <w:pPr>
        <w:spacing w:line="360" w:lineRule="auto"/>
        <w:ind w:firstLine="720"/>
        <w:jc w:val="both"/>
        <w:rPr>
          <w:rFonts w:cs="Times New Roman"/>
        </w:rPr>
      </w:pPr>
      <w:r w:rsidRPr="00D63B51">
        <w:rPr>
          <w:rFonts w:cs="Times New Roman"/>
        </w:rPr>
        <w:t xml:space="preserve">Efficient dispute-resolution methods, often involving the appointment of neutrals, are necessary to handle discovery disputes that are likely to arise and can inform decisions on limiting the overall expense of discovery proportional to the needs of the MDL. </w:t>
      </w:r>
    </w:p>
    <w:p w14:paraId="31379613" w14:textId="77777777" w:rsidR="00AF6312" w:rsidRPr="00D63B51" w:rsidRDefault="00AF6312" w:rsidP="00AF6312">
      <w:pPr>
        <w:spacing w:line="360" w:lineRule="auto"/>
        <w:ind w:firstLine="720"/>
        <w:jc w:val="both"/>
        <w:rPr>
          <w:rFonts w:cs="Times New Roman"/>
        </w:rPr>
      </w:pPr>
      <w:r w:rsidRPr="00D63B51">
        <w:rPr>
          <w:rFonts w:cs="Times New Roman"/>
        </w:rPr>
        <w:t>Although judges are familiar with deposition practices, the number of depositions and coordination necessary in large-scale litigation can raise unique challenges and opportunities that the parties should alert the judge to or the judge may raise independently.</w:t>
      </w:r>
      <w:r w:rsidRPr="00D63B51">
        <w:rPr>
          <w:rFonts w:cs="Times New Roman"/>
          <w:vertAlign w:val="superscript"/>
        </w:rPr>
        <w:footnoteReference w:id="241"/>
      </w:r>
      <w:r w:rsidRPr="00D63B51">
        <w:rPr>
          <w:rFonts w:cs="Times New Roman"/>
        </w:rPr>
        <w:t xml:space="preserve"> For example, a new generation of lawyers are replacing senior lawyers who have handled mass-tort MDLs for the past three decades, and they need experience that only court appearances can provide.  Sharing the time of the lawyer examining a deponent with a colleague with less familiarity with mass-tort MDLs provides such experience as well as an excellent learning tool. Many courts have adopted policies that are sensitive to concerns about opportunities for lawyers to participate in mass-tort MDLs.</w:t>
      </w:r>
      <w:r w:rsidRPr="00D63B51">
        <w:rPr>
          <w:vertAlign w:val="superscript"/>
        </w:rPr>
        <w:footnoteReference w:id="242"/>
      </w:r>
      <w:r w:rsidRPr="00D63B51">
        <w:t xml:space="preserve"> Not only can these policies benefit younger lawyers, but they also benefit the newer generation of women and diverse lawyers as well as more senior lawyers who have little familiarity with mass-tort MDLs.</w:t>
      </w:r>
      <w:r w:rsidRPr="00D63B51">
        <w:rPr>
          <w:vertAlign w:val="superscript"/>
        </w:rPr>
        <w:footnoteReference w:id="243"/>
      </w:r>
      <w:r w:rsidRPr="00D63B51">
        <w:rPr>
          <w:rFonts w:cs="Times New Roman"/>
        </w:rPr>
        <w:t xml:space="preserve"> And  the addition of new lawyers making court appearances helps not only experienced colleagues but also judges better assess the qualifications of individual lawyers for future assignments, which will strengthen the competency of future generations of lawyers to handle mass-tort MDLs. But courts should be careful not to condition any order in favor of one </w:t>
      </w:r>
      <w:r w:rsidRPr="00D63B51">
        <w:rPr>
          <w:rFonts w:cs="Times New Roman"/>
        </w:rPr>
        <w:lastRenderedPageBreak/>
        <w:t>group of lawyers, which may discriminate against other lawyers.</w:t>
      </w:r>
      <w:r w:rsidRPr="00D63B51">
        <w:rPr>
          <w:rFonts w:cs="Times New Roman"/>
          <w:vertAlign w:val="superscript"/>
        </w:rPr>
        <w:footnoteReference w:id="244"/>
      </w:r>
      <w:r w:rsidRPr="00D63B51">
        <w:rPr>
          <w:rFonts w:cs="Times New Roman"/>
        </w:rPr>
        <w:t xml:space="preserve">  The court may consider raising the matter at the initial-management conference as part of the discussion on discovery.  </w:t>
      </w:r>
    </w:p>
    <w:p w14:paraId="3C851B03" w14:textId="77777777" w:rsidR="00AF6312" w:rsidRPr="00D63B51" w:rsidRDefault="00AF6312" w:rsidP="00AF6312">
      <w:pPr>
        <w:spacing w:line="360" w:lineRule="auto"/>
        <w:ind w:firstLine="720"/>
        <w:jc w:val="both"/>
        <w:rPr>
          <w:rFonts w:cs="Times New Roman"/>
        </w:rPr>
      </w:pPr>
      <w:r w:rsidRPr="00D63B51">
        <w:rPr>
          <w:rFonts w:cs="Times New Roman"/>
        </w:rPr>
        <w:t>Third-party discovery is essential in an MDL, which often, at least, touches upon proprietary secrets, privileged information that must be located, retrieved, and then subjected to multiple levels of review prior to being produced. Third-party discovery initiated in foreign jurisdictions is particularly complicated. All these issues and topics may be appropriately addressed in the report at the initial-management conference.</w:t>
      </w:r>
    </w:p>
    <w:p w14:paraId="596A2033" w14:textId="16B3BCEF" w:rsidR="00AF6312" w:rsidRPr="00D63B51" w:rsidRDefault="00AF6312" w:rsidP="00AF6312">
      <w:pPr>
        <w:ind w:left="720" w:right="720"/>
        <w:jc w:val="both"/>
        <w:rPr>
          <w:rFonts w:cs="Times New Roman"/>
        </w:rPr>
      </w:pPr>
      <w:r w:rsidRPr="00D63B51">
        <w:rPr>
          <w:rFonts w:ascii="Times New Roman Bold" w:eastAsia="Times New Roman" w:hAnsi="Times New Roman Bold" w:cs="Times New Roman"/>
          <w:b/>
          <w:bCs/>
          <w:smallCaps/>
        </w:rPr>
        <w:t xml:space="preserve">Best Practice </w:t>
      </w:r>
      <w:r w:rsidRPr="00D63B51">
        <w:rPr>
          <w:rFonts w:cs="Times New Roman"/>
          <w:b/>
          <w:bCs/>
        </w:rPr>
        <w:t>MDL-§ 9(i)(i):</w:t>
      </w:r>
      <w:r w:rsidRPr="00D63B51">
        <w:rPr>
          <w:rFonts w:eastAsia="Times New Roman" w:cs="Times New Roman"/>
          <w:b/>
          <w:bCs/>
        </w:rPr>
        <w:t xml:space="preserve"> </w:t>
      </w:r>
      <w:r w:rsidRPr="00D63B51">
        <w:rPr>
          <w:rFonts w:cs="Times New Roman"/>
        </w:rPr>
        <w:t xml:space="preserve">Parties should consider designating a single vendor who is responsible under conditions agreed by the parties for obtaining authorizations to release medical and other records from plaintiffs, collecting the records, forwarding them to plaintiffs for redaction, </w:t>
      </w:r>
      <w:r w:rsidR="00887ABF" w:rsidRPr="00D63B51">
        <w:rPr>
          <w:rFonts w:cs="Times New Roman"/>
        </w:rPr>
        <w:t xml:space="preserve">if requested, </w:t>
      </w:r>
      <w:r w:rsidRPr="00D63B51">
        <w:rPr>
          <w:rFonts w:cs="Times New Roman"/>
        </w:rPr>
        <w:t xml:space="preserve">and transmitting them to defendants in a timely manner. </w:t>
      </w:r>
      <w:r w:rsidRPr="00D63B51">
        <w:t xml:space="preserve">Permanent No. </w:t>
      </w:r>
      <w:r w:rsidRPr="00D63B51">
        <w:rPr>
          <w:rFonts w:cs="Times New Roman"/>
        </w:rPr>
        <w:t>MDL-§ 18(h)(i)</w:t>
      </w:r>
      <w:r w:rsidRPr="00D63B51">
        <w:t>.</w:t>
      </w:r>
    </w:p>
    <w:p w14:paraId="576223C3" w14:textId="77777777" w:rsidR="00AF6312" w:rsidRPr="00D63B51" w:rsidRDefault="00AF6312" w:rsidP="00AF6312">
      <w:pPr>
        <w:ind w:left="720" w:right="720"/>
        <w:jc w:val="both"/>
      </w:pPr>
    </w:p>
    <w:p w14:paraId="6B02C482" w14:textId="40D26D05" w:rsidR="00AF6312" w:rsidRPr="00D63B51" w:rsidRDefault="00AF6312" w:rsidP="00AF6312">
      <w:pPr>
        <w:spacing w:line="360" w:lineRule="auto"/>
        <w:ind w:firstLine="720"/>
        <w:jc w:val="both"/>
      </w:pPr>
      <w:r w:rsidRPr="00D63B51">
        <w:t xml:space="preserve">In a personal-injury mass-tort MDL, medical records often are critical evidence supporting </w:t>
      </w:r>
      <w:r w:rsidR="00975513" w:rsidRPr="00D63B51">
        <w:t>a</w:t>
      </w:r>
      <w:r w:rsidRPr="00D63B51">
        <w:t xml:space="preserve"> plaintiff’s claim, including billing, radiology, and pathology records.  Other records may contain personal information that is significant in particular cases, </w:t>
      </w:r>
      <w:r w:rsidRPr="00D63B51">
        <w:rPr>
          <w:i/>
          <w:iCs/>
        </w:rPr>
        <w:t>e.g</w:t>
      </w:r>
      <w:r w:rsidRPr="00D63B51">
        <w:t>., social security, Medicare and Medicaid, union, veteran, and employment records.  An institution will release such records only upon written authorization from the plaintiff. The release of these records can be significantly delayed for any number of reasons, including limited resources to promptly handle large number of record releases.</w:t>
      </w:r>
      <w:r w:rsidR="00A24767" w:rsidRPr="00D63B51">
        <w:t xml:space="preserve"> </w:t>
      </w:r>
      <w:r w:rsidR="006D5DFB" w:rsidRPr="00D63B51">
        <w:t xml:space="preserve">The parties should consider </w:t>
      </w:r>
      <w:r w:rsidR="005A3012" w:rsidRPr="00D63B51">
        <w:t xml:space="preserve">addressing their initial views on designating a single vendor </w:t>
      </w:r>
      <w:r w:rsidR="00480FB2" w:rsidRPr="00D63B51">
        <w:t xml:space="preserve">who is responsible for </w:t>
      </w:r>
      <w:r w:rsidR="00D540E8" w:rsidRPr="00D63B51">
        <w:t>handl</w:t>
      </w:r>
      <w:r w:rsidR="00480FB2" w:rsidRPr="00D63B51">
        <w:t>ing</w:t>
      </w:r>
      <w:r w:rsidR="00D540E8" w:rsidRPr="00D63B51">
        <w:t xml:space="preserve"> the </w:t>
      </w:r>
      <w:r w:rsidR="00480FB2" w:rsidRPr="00D63B51">
        <w:t xml:space="preserve">entire </w:t>
      </w:r>
      <w:r w:rsidR="00FC5765" w:rsidRPr="00D63B51">
        <w:t xml:space="preserve">process </w:t>
      </w:r>
      <w:r w:rsidR="00480FB2" w:rsidRPr="00D63B51">
        <w:t>of obtaining such records in their Rule 16.1 report.</w:t>
      </w:r>
      <w:r w:rsidR="005A3012" w:rsidRPr="00D63B51">
        <w:t xml:space="preserve"> </w:t>
      </w:r>
      <w:r w:rsidRPr="00D63B51">
        <w:t xml:space="preserve"> </w:t>
      </w:r>
    </w:p>
    <w:p w14:paraId="078CB999" w14:textId="17D432C9" w:rsidR="003531BD" w:rsidRPr="00D63B51" w:rsidRDefault="00AF6312" w:rsidP="00AF6312">
      <w:pPr>
        <w:spacing w:line="360" w:lineRule="auto"/>
        <w:ind w:firstLine="720"/>
        <w:jc w:val="both"/>
      </w:pPr>
      <w:r w:rsidRPr="00D63B51">
        <w:t xml:space="preserve">The Superior Court of the State of California for the County of Los Angeles issued a general case-management order for </w:t>
      </w:r>
      <w:r w:rsidR="00464707" w:rsidRPr="00D63B51">
        <w:t>mass-tort</w:t>
      </w:r>
      <w:r w:rsidR="007020F1" w:rsidRPr="00D63B51">
        <w:t xml:space="preserve"> </w:t>
      </w:r>
      <w:r w:rsidRPr="00D63B51">
        <w:t>asbestos litigation, which provides for the defendant’s designation of a single third-party vendor to collect and process authorizations for release of records within 30-60 days from the date of filing the complaint.</w:t>
      </w:r>
      <w:r w:rsidRPr="00D63B51">
        <w:rPr>
          <w:vertAlign w:val="superscript"/>
        </w:rPr>
        <w:footnoteReference w:id="245"/>
      </w:r>
      <w:r w:rsidRPr="00D63B51">
        <w:t xml:space="preserve">  The order contains step-by-step procedures governing the authorization-release process</w:t>
      </w:r>
      <w:r w:rsidR="00BE723E" w:rsidRPr="00D63B51">
        <w:t xml:space="preserve">. </w:t>
      </w:r>
      <w:r w:rsidR="00F37EA8" w:rsidRPr="00D63B51">
        <w:t xml:space="preserve"> It </w:t>
      </w:r>
      <w:r w:rsidR="00673F6B" w:rsidRPr="00D63B51">
        <w:t>prescribes a standard authorization-</w:t>
      </w:r>
      <w:r w:rsidR="00052B2A" w:rsidRPr="00D63B51">
        <w:t xml:space="preserve">medical-records </w:t>
      </w:r>
      <w:r w:rsidR="00673F6B" w:rsidRPr="00D63B51">
        <w:t xml:space="preserve">release form </w:t>
      </w:r>
      <w:r w:rsidR="00D7547F" w:rsidRPr="00D63B51">
        <w:t>that must be submitted for every case</w:t>
      </w:r>
      <w:r w:rsidR="004227E4" w:rsidRPr="00D63B51">
        <w:t xml:space="preserve">.  </w:t>
      </w:r>
      <w:r w:rsidR="00BC2925" w:rsidRPr="00D63B51">
        <w:t>And</w:t>
      </w:r>
      <w:r w:rsidR="00136074" w:rsidRPr="00D63B51">
        <w:t xml:space="preserve"> i</w:t>
      </w:r>
      <w:r w:rsidR="004227E4" w:rsidRPr="00D63B51">
        <w:t xml:space="preserve">f the </w:t>
      </w:r>
      <w:r w:rsidR="004227E4" w:rsidRPr="00D63B51">
        <w:lastRenderedPageBreak/>
        <w:t xml:space="preserve">vendor </w:t>
      </w:r>
      <w:r w:rsidR="00BC2925" w:rsidRPr="00D63B51">
        <w:t xml:space="preserve">later </w:t>
      </w:r>
      <w:r w:rsidR="00EF210F" w:rsidRPr="00D63B51">
        <w:t xml:space="preserve">requests an additional </w:t>
      </w:r>
      <w:r w:rsidR="00A341EB" w:rsidRPr="00D63B51">
        <w:t xml:space="preserve">medical-records </w:t>
      </w:r>
      <w:r w:rsidR="00EF210F" w:rsidRPr="00D63B51">
        <w:t xml:space="preserve">release </w:t>
      </w:r>
      <w:r w:rsidR="00DD5FCF" w:rsidRPr="00D63B51">
        <w:t>form</w:t>
      </w:r>
      <w:r w:rsidR="00EF210F" w:rsidRPr="00D63B51">
        <w:t xml:space="preserve"> </w:t>
      </w:r>
      <w:r w:rsidR="00DD5FCF" w:rsidRPr="00D63B51">
        <w:t xml:space="preserve">that is </w:t>
      </w:r>
      <w:r w:rsidR="00EF210F" w:rsidRPr="00D63B51">
        <w:t xml:space="preserve">required by an individual </w:t>
      </w:r>
      <w:r w:rsidR="00DD5FCF" w:rsidRPr="00D63B51">
        <w:t xml:space="preserve">defendant or institution, </w:t>
      </w:r>
      <w:r w:rsidR="00544377" w:rsidRPr="00D63B51">
        <w:t xml:space="preserve">the plaintiff has seven days to submit </w:t>
      </w:r>
      <w:r w:rsidR="00BC2925" w:rsidRPr="00D63B51">
        <w:t>it</w:t>
      </w:r>
      <w:r w:rsidR="00544377" w:rsidRPr="00D63B51">
        <w:t>.</w:t>
      </w:r>
      <w:r w:rsidR="00673F6B" w:rsidRPr="00D63B51">
        <w:t xml:space="preserve"> </w:t>
      </w:r>
      <w:r w:rsidR="00BE723E" w:rsidRPr="00D63B51">
        <w:t xml:space="preserve"> </w:t>
      </w:r>
    </w:p>
    <w:p w14:paraId="5621A1DE" w14:textId="1B36CDF0" w:rsidR="000A6E69" w:rsidRPr="00D63B51" w:rsidRDefault="00AF6312" w:rsidP="00AF6312">
      <w:pPr>
        <w:spacing w:line="360" w:lineRule="auto"/>
        <w:ind w:firstLine="720"/>
        <w:jc w:val="both"/>
      </w:pPr>
      <w:r w:rsidRPr="00D63B51">
        <w:t>Under th</w:t>
      </w:r>
      <w:r w:rsidR="008B71EC" w:rsidRPr="00D63B51">
        <w:t xml:space="preserve">e </w:t>
      </w:r>
      <w:r w:rsidR="000A6E69" w:rsidRPr="00D63B51">
        <w:t>Los Angeles model</w:t>
      </w:r>
      <w:r w:rsidRPr="00D63B51">
        <w:t xml:space="preserve">, the vendor may not discuss the contents of any records with the defendant without first giving the plaintiffs an opportunity to review and redact read-only copies of the records.  The order provides for disclosure of supplemental information discovered after the initial submission to the vendor.  The defendant compensates the vendor for the service. </w:t>
      </w:r>
    </w:p>
    <w:p w14:paraId="79EA183E" w14:textId="77777777" w:rsidR="00887ABF" w:rsidRPr="00D63B51" w:rsidRDefault="002B0F1D" w:rsidP="00AF6312">
      <w:pPr>
        <w:spacing w:line="360" w:lineRule="auto"/>
        <w:ind w:firstLine="720"/>
        <w:jc w:val="both"/>
      </w:pPr>
      <w:r w:rsidRPr="00D63B51">
        <w:t>The</w:t>
      </w:r>
      <w:r w:rsidR="000A6E69" w:rsidRPr="00D63B51">
        <w:t xml:space="preserve"> Los Angeles </w:t>
      </w:r>
      <w:r w:rsidRPr="00D63B51">
        <w:t xml:space="preserve">procedures can serve as a model, which </w:t>
      </w:r>
      <w:r w:rsidR="00EC7D2D" w:rsidRPr="00D63B51">
        <w:t>can</w:t>
      </w:r>
      <w:r w:rsidRPr="00D63B51">
        <w:t xml:space="preserve"> be adjusted to fit the particular circumstances as agreed to by the parties.</w:t>
      </w:r>
      <w:r w:rsidRPr="00D63B51">
        <w:rPr>
          <w:vertAlign w:val="superscript"/>
        </w:rPr>
        <w:footnoteReference w:id="246"/>
      </w:r>
      <w:r w:rsidRPr="00D63B51">
        <w:t xml:space="preserve">  Common adjustments to fit the circumstances include provisions addressing: </w:t>
      </w:r>
    </w:p>
    <w:p w14:paraId="5C4A4B98" w14:textId="77777777" w:rsidR="00626AC3" w:rsidRPr="00D63B51" w:rsidRDefault="00DD5F8F" w:rsidP="00887ABF">
      <w:pPr>
        <w:pStyle w:val="ListParagraph"/>
        <w:numPr>
          <w:ilvl w:val="0"/>
          <w:numId w:val="50"/>
        </w:numPr>
        <w:spacing w:line="360" w:lineRule="auto"/>
        <w:jc w:val="both"/>
      </w:pPr>
      <w:r w:rsidRPr="00D63B51">
        <w:t xml:space="preserve">varying </w:t>
      </w:r>
      <w:r w:rsidR="002B0F1D" w:rsidRPr="00D63B51">
        <w:t xml:space="preserve">state-law requirements; </w:t>
      </w:r>
    </w:p>
    <w:p w14:paraId="175A3C76" w14:textId="77777777" w:rsidR="00626AC3" w:rsidRPr="00D63B51" w:rsidRDefault="002B0F1D" w:rsidP="00887ABF">
      <w:pPr>
        <w:pStyle w:val="ListParagraph"/>
        <w:numPr>
          <w:ilvl w:val="0"/>
          <w:numId w:val="50"/>
        </w:numPr>
        <w:spacing w:line="360" w:lineRule="auto"/>
        <w:jc w:val="both"/>
      </w:pPr>
      <w:r w:rsidRPr="00D63B51">
        <w:t xml:space="preserve">privacy concerns; </w:t>
      </w:r>
    </w:p>
    <w:p w14:paraId="0C78EC62" w14:textId="77777777" w:rsidR="00626AC3" w:rsidRPr="00D63B51" w:rsidRDefault="002B0F1D" w:rsidP="00887ABF">
      <w:pPr>
        <w:pStyle w:val="ListParagraph"/>
        <w:numPr>
          <w:ilvl w:val="0"/>
          <w:numId w:val="50"/>
        </w:numPr>
        <w:spacing w:line="360" w:lineRule="auto"/>
        <w:jc w:val="both"/>
      </w:pPr>
      <w:r w:rsidRPr="00D63B51">
        <w:t xml:space="preserve">additional medical-release authorization forms required under state laws regarding records for incompetent, incapacitated, minor, or deceased persons; </w:t>
      </w:r>
    </w:p>
    <w:p w14:paraId="2BC0F694" w14:textId="77777777" w:rsidR="00626AC3" w:rsidRPr="00D63B51" w:rsidRDefault="002B0F1D" w:rsidP="00887ABF">
      <w:pPr>
        <w:pStyle w:val="ListParagraph"/>
        <w:numPr>
          <w:ilvl w:val="0"/>
          <w:numId w:val="50"/>
        </w:numPr>
        <w:spacing w:line="360" w:lineRule="auto"/>
        <w:jc w:val="both"/>
      </w:pPr>
      <w:r w:rsidRPr="00D63B51">
        <w:t xml:space="preserve">options to use electronic signatures; </w:t>
      </w:r>
    </w:p>
    <w:p w14:paraId="3B3C1B47" w14:textId="77777777" w:rsidR="00626AC3" w:rsidRPr="00D63B51" w:rsidRDefault="002B0F1D" w:rsidP="00887ABF">
      <w:pPr>
        <w:pStyle w:val="ListParagraph"/>
        <w:numPr>
          <w:ilvl w:val="0"/>
          <w:numId w:val="50"/>
        </w:numPr>
        <w:spacing w:line="360" w:lineRule="auto"/>
        <w:jc w:val="both"/>
      </w:pPr>
      <w:r w:rsidRPr="00D63B51">
        <w:t xml:space="preserve">cost-sharing agreement, which may account for a </w:t>
      </w:r>
      <w:r w:rsidR="00DB59DE" w:rsidRPr="00D63B51">
        <w:t xml:space="preserve">premium for </w:t>
      </w:r>
      <w:r w:rsidR="00EF6BF1" w:rsidRPr="00D63B51">
        <w:t xml:space="preserve">selecting </w:t>
      </w:r>
      <w:r w:rsidR="00DB59DE" w:rsidRPr="00D63B51">
        <w:t xml:space="preserve">a </w:t>
      </w:r>
      <w:r w:rsidRPr="00D63B51">
        <w:t xml:space="preserve">party’s preferred vendor; </w:t>
      </w:r>
    </w:p>
    <w:p w14:paraId="4537634B" w14:textId="77777777" w:rsidR="00626AC3" w:rsidRPr="00D63B51" w:rsidRDefault="001B6483" w:rsidP="00887ABF">
      <w:pPr>
        <w:pStyle w:val="ListParagraph"/>
        <w:numPr>
          <w:ilvl w:val="0"/>
          <w:numId w:val="50"/>
        </w:numPr>
        <w:spacing w:line="360" w:lineRule="auto"/>
        <w:jc w:val="both"/>
      </w:pPr>
      <w:r w:rsidRPr="00D63B51">
        <w:t xml:space="preserve">option </w:t>
      </w:r>
      <w:r w:rsidR="00407D55" w:rsidRPr="00D63B51">
        <w:t xml:space="preserve">for plaintiff to </w:t>
      </w:r>
      <w:r w:rsidR="001B2312" w:rsidRPr="00D63B51">
        <w:t>decline opportunity to</w:t>
      </w:r>
      <w:r w:rsidR="00407D55" w:rsidRPr="00D63B51">
        <w:t xml:space="preserve"> redact material from </w:t>
      </w:r>
      <w:r w:rsidR="00683935" w:rsidRPr="00D63B51">
        <w:t xml:space="preserve">some or all </w:t>
      </w:r>
      <w:r w:rsidR="00407D55" w:rsidRPr="00D63B51">
        <w:t xml:space="preserve">records; and </w:t>
      </w:r>
    </w:p>
    <w:p w14:paraId="643992CE" w14:textId="42F7B05E" w:rsidR="00AF6312" w:rsidRPr="00D63B51" w:rsidRDefault="002B0F1D" w:rsidP="00887ABF">
      <w:pPr>
        <w:pStyle w:val="ListParagraph"/>
        <w:numPr>
          <w:ilvl w:val="0"/>
          <w:numId w:val="50"/>
        </w:numPr>
        <w:spacing w:line="360" w:lineRule="auto"/>
        <w:jc w:val="both"/>
      </w:pPr>
      <w:r w:rsidRPr="00D63B51">
        <w:t xml:space="preserve">use of central information platform </w:t>
      </w:r>
      <w:r w:rsidR="002E5F8C" w:rsidRPr="00D63B51">
        <w:t xml:space="preserve">used in the MDL </w:t>
      </w:r>
      <w:r w:rsidRPr="00D63B51">
        <w:t xml:space="preserve">for storing and transmitting records, </w:t>
      </w:r>
      <w:r w:rsidRPr="00D63B51">
        <w:rPr>
          <w:i/>
          <w:iCs/>
        </w:rPr>
        <w:t>e.g</w:t>
      </w:r>
      <w:r w:rsidRPr="00D63B51">
        <w:t xml:space="preserve">., Rubris or MDL Centrality.  </w:t>
      </w:r>
    </w:p>
    <w:p w14:paraId="7DA1C413" w14:textId="03A9ED92" w:rsidR="00667400" w:rsidRPr="00D63B51" w:rsidRDefault="00AF6312" w:rsidP="00AF6312">
      <w:pPr>
        <w:spacing w:line="360" w:lineRule="auto"/>
        <w:ind w:firstLine="720"/>
        <w:jc w:val="both"/>
      </w:pPr>
      <w:r w:rsidRPr="00D63B51">
        <w:t xml:space="preserve">Authorizing a single entity to promptly collect and process </w:t>
      </w:r>
      <w:r w:rsidR="00B76D56" w:rsidRPr="00D63B51">
        <w:t>medical-</w:t>
      </w:r>
      <w:r w:rsidRPr="00D63B51">
        <w:t xml:space="preserve">records releases relieves plaintiffs from considerable time and expense in collecting the records and relieves defendants from time and expense in pursuing receipt of the records.  It also makes a single point responsible for the entire records-collection process, adding to the efficiencies. Depending upon </w:t>
      </w:r>
      <w:r w:rsidRPr="00D63B51">
        <w:lastRenderedPageBreak/>
        <w:t xml:space="preserve">the MDL, the parties may consider expanding the collection process to include not only medical records but also pharmacy/prescription, </w:t>
      </w:r>
      <w:bookmarkStart w:id="31" w:name="_Hlk204061412"/>
      <w:r w:rsidRPr="00D63B51">
        <w:t>social security, Medicare and Medicaid, union, veteran, and employment record</w:t>
      </w:r>
      <w:bookmarkEnd w:id="31"/>
      <w:r w:rsidRPr="00D63B51">
        <w:t>s.</w:t>
      </w:r>
      <w:r w:rsidRPr="00D63B51">
        <w:rPr>
          <w:vertAlign w:val="superscript"/>
        </w:rPr>
        <w:footnoteReference w:id="247"/>
      </w:r>
      <w:r w:rsidRPr="00D63B51">
        <w:t xml:space="preserve"> </w:t>
      </w:r>
    </w:p>
    <w:p w14:paraId="419640E8" w14:textId="77777777" w:rsidR="00F67D0C" w:rsidRPr="00D63B51" w:rsidRDefault="00F67D0C" w:rsidP="00AF6312">
      <w:pPr>
        <w:spacing w:line="360" w:lineRule="auto"/>
        <w:ind w:firstLine="720"/>
        <w:jc w:val="both"/>
      </w:pPr>
    </w:p>
    <w:p w14:paraId="62424879" w14:textId="29C39A50" w:rsidR="008D011F" w:rsidRPr="00D63B51" w:rsidRDefault="00395E23" w:rsidP="00A70B4E">
      <w:pPr>
        <w:pStyle w:val="NoSpacing"/>
        <w:ind w:right="720"/>
        <w:rPr>
          <w:rFonts w:cs="Times New Roman"/>
          <w:b/>
          <w:bCs/>
          <w:sz w:val="28"/>
          <w:szCs w:val="28"/>
        </w:rPr>
      </w:pPr>
      <w:r w:rsidRPr="00D63B51">
        <w:rPr>
          <w:rFonts w:cs="Times New Roman"/>
          <w:b/>
          <w:bCs/>
          <w:sz w:val="28"/>
          <w:szCs w:val="28"/>
        </w:rPr>
        <w:t>D.</w:t>
      </w:r>
      <w:r w:rsidR="005C6C1F" w:rsidRPr="00D63B51">
        <w:rPr>
          <w:rFonts w:cs="Times New Roman"/>
          <w:b/>
          <w:bCs/>
          <w:sz w:val="28"/>
          <w:szCs w:val="28"/>
        </w:rPr>
        <w:t xml:space="preserve">   </w:t>
      </w:r>
      <w:r w:rsidR="003165EB" w:rsidRPr="00D63B51">
        <w:rPr>
          <w:rFonts w:cs="Times New Roman"/>
          <w:b/>
          <w:bCs/>
          <w:sz w:val="28"/>
          <w:szCs w:val="28"/>
        </w:rPr>
        <w:t xml:space="preserve">METHODS TO FACILITATE </w:t>
      </w:r>
      <w:r w:rsidR="003A66B6" w:rsidRPr="00D63B51">
        <w:rPr>
          <w:rFonts w:cs="Times New Roman"/>
          <w:b/>
          <w:bCs/>
          <w:smallCaps/>
          <w:sz w:val="28"/>
          <w:szCs w:val="28"/>
        </w:rPr>
        <w:t>RESOLVING</w:t>
      </w:r>
      <w:r w:rsidR="003A66B6" w:rsidRPr="00D63B51">
        <w:rPr>
          <w:rFonts w:cs="Times New Roman"/>
          <w:b/>
          <w:bCs/>
          <w:sz w:val="28"/>
          <w:szCs w:val="28"/>
        </w:rPr>
        <w:t xml:space="preserve"> </w:t>
      </w:r>
      <w:r w:rsidR="005C6C1F" w:rsidRPr="00D63B51">
        <w:rPr>
          <w:rFonts w:cs="Times New Roman"/>
          <w:b/>
          <w:bCs/>
          <w:sz w:val="28"/>
          <w:szCs w:val="28"/>
        </w:rPr>
        <w:t>MASS-TORT MDLS</w:t>
      </w:r>
    </w:p>
    <w:p w14:paraId="1DA63F04" w14:textId="77777777" w:rsidR="003165EB" w:rsidRPr="00D63B51" w:rsidRDefault="003165EB" w:rsidP="00A70B4E">
      <w:pPr>
        <w:pStyle w:val="NoSpacing"/>
        <w:rPr>
          <w:b/>
          <w:bCs/>
        </w:rPr>
      </w:pPr>
    </w:p>
    <w:p w14:paraId="49D8661C" w14:textId="2A733475" w:rsidR="00F62B2D" w:rsidRPr="00D63B51" w:rsidRDefault="00482C32" w:rsidP="00035A0D">
      <w:pPr>
        <w:pStyle w:val="NoSpacing"/>
      </w:pPr>
      <w:r w:rsidRPr="00D63B51">
        <w:rPr>
          <w:b/>
          <w:bCs/>
          <w:u w:val="single"/>
        </w:rPr>
        <w:t xml:space="preserve">GUIDELINE MDL-§ </w:t>
      </w:r>
      <w:r w:rsidR="00885E65" w:rsidRPr="00D63B51">
        <w:rPr>
          <w:b/>
          <w:bCs/>
          <w:u w:val="single"/>
        </w:rPr>
        <w:t>10</w:t>
      </w:r>
      <w:r w:rsidRPr="00D63B51">
        <w:rPr>
          <w:b/>
          <w:bCs/>
        </w:rPr>
        <w:t>:</w:t>
      </w:r>
      <w:r w:rsidRPr="00D63B51">
        <w:t xml:space="preserve"> Unless the court orders otherwise, the parties must address their initial views on and suggest procedures</w:t>
      </w:r>
      <w:r w:rsidR="00A46516" w:rsidRPr="00D63B51">
        <w:t xml:space="preserve"> </w:t>
      </w:r>
      <w:r w:rsidR="00F62B2D" w:rsidRPr="00D63B51">
        <w:t>on</w:t>
      </w:r>
      <w:r w:rsidR="00F62B2D" w:rsidRPr="00D63B51">
        <w:rPr>
          <w:rFonts w:cs="Times New Roman"/>
          <w:szCs w:val="24"/>
        </w:rPr>
        <w:t xml:space="preserve"> whether the court should consider any measures to facilitate resolving some or all actions before the court</w:t>
      </w:r>
      <w:r w:rsidR="00F62B2D" w:rsidRPr="00D63B51">
        <w:t xml:space="preserve">. Permanent No. </w:t>
      </w:r>
      <w:r w:rsidR="00F62B2D" w:rsidRPr="00D63B51">
        <w:rPr>
          <w:rFonts w:cs="Times New Roman"/>
          <w:szCs w:val="24"/>
        </w:rPr>
        <w:t>MDL-§ 15</w:t>
      </w:r>
      <w:r w:rsidR="00F62B2D" w:rsidRPr="00D63B51">
        <w:t>(d).</w:t>
      </w:r>
    </w:p>
    <w:p w14:paraId="0DD21DFC" w14:textId="77777777" w:rsidR="00F62B2D" w:rsidRPr="00D63B51" w:rsidRDefault="00F62B2D" w:rsidP="00F62B2D">
      <w:pPr>
        <w:pStyle w:val="NoSpacing"/>
        <w:ind w:left="720" w:right="720"/>
        <w:jc w:val="both"/>
      </w:pPr>
    </w:p>
    <w:p w14:paraId="50D50FE8" w14:textId="77777777" w:rsidR="00F62B2D" w:rsidRPr="00D63B51" w:rsidRDefault="00F62B2D" w:rsidP="00F62B2D">
      <w:pPr>
        <w:spacing w:line="360" w:lineRule="auto"/>
        <w:ind w:firstLine="720"/>
        <w:jc w:val="both"/>
        <w:rPr>
          <w:rFonts w:cs="Times New Roman"/>
        </w:rPr>
      </w:pPr>
      <w:r w:rsidRPr="00D63B51">
        <w:rPr>
          <w:rFonts w:cs="Times New Roman"/>
        </w:rPr>
        <w:t>More than 90,000 individual actions are pending in 27 MDLs, which were filed seven or more years ago as of June 1, 2024.</w:t>
      </w:r>
      <w:r w:rsidRPr="00D63B51">
        <w:rPr>
          <w:rStyle w:val="FootnoteReference"/>
          <w:rFonts w:cs="Times New Roman"/>
        </w:rPr>
        <w:footnoteReference w:id="248"/>
      </w:r>
      <w:r w:rsidRPr="00D63B51">
        <w:rPr>
          <w:rFonts w:cs="Times New Roman"/>
        </w:rPr>
        <w:t xml:space="preserve"> Several recent mass-tort MDLs have collected and processed nine terabytes of data, produced three million pages, and spent more than $100 million on discovery for each side. The twin evils of undue cost and delay fly in the face of the admonitions of Rule 1, which states that the rules should be construed and administered to secure the just speedy, and inexpensive determination of </w:t>
      </w:r>
      <w:r w:rsidRPr="00D63B51">
        <w:rPr>
          <w:rFonts w:cs="Times New Roman"/>
          <w:i/>
          <w:iCs/>
        </w:rPr>
        <w:t>every action and proceeding</w:t>
      </w:r>
      <w:r w:rsidRPr="00D63B51">
        <w:rPr>
          <w:rFonts w:cs="Times New Roman"/>
        </w:rPr>
        <w:t xml:space="preserve">.” (emphasis added) The Committee Note puts a fine point on it and says that the purpose of adding the word “administered” is “to recognize the </w:t>
      </w:r>
      <w:r w:rsidRPr="00D63B51">
        <w:rPr>
          <w:rFonts w:cs="Times New Roman"/>
          <w:i/>
          <w:iCs/>
        </w:rPr>
        <w:t xml:space="preserve">affirmative duty of the court </w:t>
      </w:r>
      <w:r w:rsidRPr="00D63B51">
        <w:rPr>
          <w:rFonts w:cs="Times New Roman"/>
        </w:rPr>
        <w:t>to exercise the authority conferred by these rules to ensure that civil litigation is resolved not only fairly, but also without undue cost or delay.” (emphasis added)</w:t>
      </w:r>
    </w:p>
    <w:p w14:paraId="18D01C70" w14:textId="77777777" w:rsidR="00F62B2D" w:rsidRPr="00D63B51" w:rsidRDefault="00F62B2D" w:rsidP="00F62B2D">
      <w:pPr>
        <w:spacing w:line="360" w:lineRule="auto"/>
        <w:ind w:firstLine="720"/>
        <w:jc w:val="both"/>
        <w:rPr>
          <w:rFonts w:cs="Times New Roman"/>
        </w:rPr>
      </w:pPr>
      <w:r w:rsidRPr="00D63B51">
        <w:rPr>
          <w:rFonts w:cs="Times New Roman"/>
        </w:rPr>
        <w:t xml:space="preserve">Rule 16.1(b)(2)(A)(iv) and Rule 16.1(b)(3)(E) require the parties to address whether the court should consider measures to facilitate resolving some or all actions.  The indefinite text of Rule 16.1(b)(2) invites the parties to suggest procedures “to facilitate resolving some or all actions” in the MDL.  The Committee Notes to Rule 16.1 identify illustrative resolution measures without elaboration, including early exchange of information, focused discovery orders, expedited discovery, timely adjudication of principal legal issues, selection of representative bellwether trials, coordination with state courts, and mediation, settlement negotiations, and other dispute-resolution alternatives. These two catch-all provisions provide little guidance and invite suggestions, proposals, and innovative thinking to fill the void.  </w:t>
      </w:r>
    </w:p>
    <w:p w14:paraId="02DFB069" w14:textId="4B6CBEEF" w:rsidR="00F62B2D" w:rsidRPr="00D63B51" w:rsidRDefault="00F62B2D" w:rsidP="00F62B2D">
      <w:pPr>
        <w:spacing w:line="360" w:lineRule="auto"/>
        <w:ind w:firstLine="720"/>
        <w:jc w:val="both"/>
        <w:rPr>
          <w:rFonts w:cs="Times New Roman"/>
        </w:rPr>
      </w:pPr>
      <w:r w:rsidRPr="00D63B51">
        <w:rPr>
          <w:rFonts w:cs="Times New Roman"/>
        </w:rPr>
        <w:lastRenderedPageBreak/>
        <w:t>Without conceding the merits of the MDL, which the parties may contest in later dispositive motions, the parties and court should consider resolution measures, including settlement terms, early in the litigation because they require much advance planning and groundwork.</w:t>
      </w:r>
      <w:r w:rsidRPr="00D63B51">
        <w:rPr>
          <w:rStyle w:val="FootnoteReference"/>
          <w:rFonts w:cs="Times New Roman"/>
        </w:rPr>
        <w:footnoteReference w:id="249"/>
      </w:r>
      <w:r w:rsidRPr="00D63B51">
        <w:rPr>
          <w:rFonts w:cs="Times New Roman"/>
        </w:rPr>
        <w:t xml:space="preserve">  Advance and lengthy planning is particularly important in a mass-tort MDL that will likely include hundreds or thousands of actions, where effective resolution measures would improve efficiencies, reduce the filings of actions without any evidentiary basis, and ultimately shorten disposition times.</w:t>
      </w:r>
      <w:r w:rsidRPr="00D63B51">
        <w:rPr>
          <w:rStyle w:val="FootnoteReference"/>
          <w:rFonts w:cs="Times New Roman"/>
        </w:rPr>
        <w:t xml:space="preserve"> </w:t>
      </w:r>
      <w:r w:rsidRPr="00D63B51">
        <w:rPr>
          <w:rStyle w:val="FootnoteReference"/>
          <w:rFonts w:cs="Times New Roman"/>
        </w:rPr>
        <w:footnoteReference w:id="250"/>
      </w:r>
      <w:r w:rsidRPr="00D63B51">
        <w:rPr>
          <w:rFonts w:cs="Times New Roman"/>
        </w:rPr>
        <w:t xml:space="preserve">    </w:t>
      </w:r>
    </w:p>
    <w:p w14:paraId="5A7F56B4" w14:textId="77777777" w:rsidR="00F62B2D" w:rsidRPr="00D63B51" w:rsidRDefault="00F62B2D" w:rsidP="00F62B2D">
      <w:pPr>
        <w:spacing w:line="360" w:lineRule="auto"/>
        <w:ind w:firstLine="720"/>
        <w:jc w:val="both"/>
        <w:rPr>
          <w:rFonts w:cs="Times New Roman"/>
        </w:rPr>
      </w:pPr>
      <w:r w:rsidRPr="00D63B51">
        <w:rPr>
          <w:rFonts w:cs="Times New Roman"/>
        </w:rPr>
        <w:t xml:space="preserve">The following best practices describe several effective resolution measures used in mass-tort MDLs that parties should consider raising in the report to the court not necessarily to suggest immediate action, but to begin strategizing about various measures that could be used later in the litigation, likely after the first bellwether trials, and what steps would need to be taken to initiate them. </w:t>
      </w:r>
    </w:p>
    <w:p w14:paraId="622E17D3" w14:textId="34EEAE9A" w:rsidR="00F62B2D" w:rsidRPr="00D63B51" w:rsidRDefault="00F62B2D" w:rsidP="00F62B2D">
      <w:pPr>
        <w:pStyle w:val="NoSpacing"/>
        <w:ind w:left="720" w:right="720"/>
        <w:jc w:val="both"/>
        <w:rPr>
          <w:rFonts w:cs="Times New Roman"/>
          <w:szCs w:val="24"/>
        </w:rPr>
      </w:pPr>
      <w:bookmarkStart w:id="32" w:name="_Hlk167192591"/>
      <w:r w:rsidRPr="00D63B51">
        <w:rPr>
          <w:b/>
          <w:bCs/>
        </w:rPr>
        <w:t xml:space="preserve">Best Practice </w:t>
      </w:r>
      <w:r w:rsidRPr="00D63B51">
        <w:rPr>
          <w:rFonts w:cs="Times New Roman"/>
          <w:b/>
          <w:bCs/>
          <w:szCs w:val="24"/>
        </w:rPr>
        <w:t xml:space="preserve">MDL-§ </w:t>
      </w:r>
      <w:r w:rsidR="0046529F" w:rsidRPr="00D63B51">
        <w:rPr>
          <w:rFonts w:cs="Times New Roman"/>
          <w:b/>
          <w:bCs/>
          <w:szCs w:val="24"/>
        </w:rPr>
        <w:t>10(a)</w:t>
      </w:r>
      <w:r w:rsidRPr="00D63B51">
        <w:rPr>
          <w:b/>
          <w:bCs/>
        </w:rPr>
        <w:t>:</w:t>
      </w:r>
      <w:r w:rsidRPr="00D63B51">
        <w:t xml:space="preserve"> </w:t>
      </w:r>
      <w:r w:rsidRPr="00D63B51">
        <w:rPr>
          <w:rFonts w:cs="Times New Roman"/>
          <w:szCs w:val="24"/>
        </w:rPr>
        <w:t xml:space="preserve">The parties should consider suggesting that the court </w:t>
      </w:r>
      <w:bookmarkEnd w:id="32"/>
      <w:r w:rsidRPr="00D63B51">
        <w:rPr>
          <w:rFonts w:cs="Times New Roman"/>
          <w:szCs w:val="24"/>
        </w:rPr>
        <w:t>establish a settlement track separate from a litigation track, which selects and manages bellwether cases for trial, to better inform their risk analysis.</w:t>
      </w:r>
      <w:r w:rsidRPr="00D63B51">
        <w:rPr>
          <w:rStyle w:val="FootnoteReference"/>
          <w:rFonts w:cs="Times New Roman"/>
          <w:szCs w:val="24"/>
        </w:rPr>
        <w:footnoteReference w:id="251"/>
      </w:r>
      <w:r w:rsidRPr="00D63B51">
        <w:t xml:space="preserve"> Permanent No. </w:t>
      </w:r>
      <w:r w:rsidRPr="00D63B51">
        <w:rPr>
          <w:rFonts w:cs="Times New Roman"/>
          <w:szCs w:val="24"/>
        </w:rPr>
        <w:t>MDL-§ 15</w:t>
      </w:r>
      <w:r w:rsidRPr="00D63B51">
        <w:t>(d)(i).</w:t>
      </w:r>
    </w:p>
    <w:p w14:paraId="1D54E1BB" w14:textId="77777777" w:rsidR="00F62B2D" w:rsidRPr="00D63B51" w:rsidRDefault="00F62B2D" w:rsidP="00F62B2D">
      <w:pPr>
        <w:pStyle w:val="NoSpacing"/>
        <w:ind w:right="720"/>
        <w:jc w:val="both"/>
        <w:rPr>
          <w:rFonts w:cs="Times New Roman"/>
          <w:szCs w:val="24"/>
        </w:rPr>
      </w:pPr>
    </w:p>
    <w:p w14:paraId="5C6481DF"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 xml:space="preserve">The goals of settlement and bellwether trials are different. The parties should consider suggesting that the court establish separate settlement and litigation tracks early in the litigation without conceding the merits of the actions.  </w:t>
      </w:r>
    </w:p>
    <w:p w14:paraId="16D73808"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In many mass-tort MDLs, the litigation and settlement tracks intersect at the bellwether trial stage because the outcomes of bellwether trials drive settlements. A purpose of bellwether trials is to “produce a sufficient number of representative verdicts” to “enable the parties and the court to determine the nature and strength of the claims, whether they can be fairly developed and litigated on a group basis, and what range of values the cases may have if resolution is attempted on a group basis.”</w:t>
      </w:r>
      <w:r w:rsidRPr="00D63B51">
        <w:rPr>
          <w:rStyle w:val="FootnoteReference"/>
          <w:rFonts w:cs="Times New Roman"/>
          <w:szCs w:val="24"/>
        </w:rPr>
        <w:footnoteReference w:id="252"/>
      </w:r>
      <w:r w:rsidRPr="00D63B51">
        <w:rPr>
          <w:rFonts w:cs="Times New Roman"/>
          <w:szCs w:val="24"/>
        </w:rPr>
        <w:t xml:space="preserve">   Another purpose is to see how the case tries, including assessing the effectiveness of witnesses and experts.  The transferee judge and the parties should begin planning </w:t>
      </w:r>
      <w:r w:rsidRPr="00D63B51">
        <w:rPr>
          <w:rFonts w:cs="Times New Roman"/>
          <w:szCs w:val="24"/>
        </w:rPr>
        <w:lastRenderedPageBreak/>
        <w:t xml:space="preserve">for a process based on collaborative selection of bellwether-trial cases. In its planning, the court should anticipate strategic manipulation by the parties when they settle or dismiss particularly strong or weak bellwether cases. </w:t>
      </w:r>
    </w:p>
    <w:p w14:paraId="598D5396"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 xml:space="preserve">The parties should suggest a strategy for reaching the broadest possible pool of candidates from which to select bellwether cases. Many mass-tort MDL courts request parties to sign </w:t>
      </w:r>
      <w:r w:rsidRPr="00D63B51">
        <w:rPr>
          <w:rFonts w:cs="Times New Roman"/>
          <w:i/>
          <w:iCs/>
          <w:szCs w:val="24"/>
        </w:rPr>
        <w:t>Lexicon</w:t>
      </w:r>
      <w:r w:rsidRPr="00D63B51">
        <w:rPr>
          <w:rFonts w:cs="Times New Roman"/>
          <w:szCs w:val="24"/>
        </w:rPr>
        <w:t xml:space="preserve"> waivers, which waive the right to object to venue before the MDL court for cases that were directly filed from outside the district.  </w:t>
      </w:r>
    </w:p>
    <w:p w14:paraId="1DCC82AD"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 xml:space="preserve">Courts have used different methods to select cases for bellwether trials, including: (i) random-selection method; (ii) parties’-selection method (usually with strikes); and (iii) hybrid-selection method with the judge selecting cases proposed by the parties. Courts have developed many variations to fit their particular circumstances.  </w:t>
      </w:r>
    </w:p>
    <w:p w14:paraId="49BDF0E0" w14:textId="77777777" w:rsidR="00F62B2D" w:rsidRPr="00D63B51" w:rsidRDefault="00F62B2D" w:rsidP="00F62B2D">
      <w:pPr>
        <w:pStyle w:val="NoSpacing"/>
        <w:spacing w:line="360" w:lineRule="auto"/>
        <w:ind w:firstLine="720"/>
        <w:jc w:val="both"/>
        <w:rPr>
          <w:rFonts w:cs="Times New Roman"/>
          <w:szCs w:val="24"/>
        </w:rPr>
      </w:pPr>
      <w:r w:rsidRPr="00D63B51">
        <w:rPr>
          <w:rFonts w:cs="Times New Roman"/>
          <w:szCs w:val="24"/>
        </w:rPr>
        <w:t>The parties should also consider suggesting using bellwether alternatives, including mini-trials and mediation.</w:t>
      </w:r>
    </w:p>
    <w:p w14:paraId="3E97F063" w14:textId="5FA6FE25" w:rsidR="00EB3261" w:rsidRPr="00D63B51" w:rsidRDefault="00EB3261" w:rsidP="00EB3261">
      <w:pPr>
        <w:ind w:left="720" w:right="720"/>
        <w:jc w:val="both"/>
      </w:pPr>
      <w:r w:rsidRPr="00D63B51">
        <w:rPr>
          <w:b/>
          <w:bCs/>
        </w:rPr>
        <w:t xml:space="preserve">Best Practice </w:t>
      </w:r>
      <w:r w:rsidRPr="00D63B51">
        <w:rPr>
          <w:rFonts w:cs="Times New Roman"/>
          <w:b/>
          <w:bCs/>
        </w:rPr>
        <w:t xml:space="preserve">MDL-§ </w:t>
      </w:r>
      <w:r w:rsidR="00624639" w:rsidRPr="00D63B51">
        <w:rPr>
          <w:rFonts w:cs="Times New Roman"/>
          <w:b/>
          <w:bCs/>
        </w:rPr>
        <w:t>10</w:t>
      </w:r>
      <w:r w:rsidRPr="00D63B51">
        <w:rPr>
          <w:rFonts w:cs="Times New Roman"/>
          <w:b/>
          <w:bCs/>
        </w:rPr>
        <w:t>(</w:t>
      </w:r>
      <w:r w:rsidR="00624639" w:rsidRPr="00D63B51">
        <w:rPr>
          <w:rFonts w:cs="Times New Roman"/>
          <w:b/>
          <w:bCs/>
        </w:rPr>
        <w:t>b</w:t>
      </w:r>
      <w:r w:rsidRPr="00D63B51">
        <w:rPr>
          <w:rFonts w:cs="Times New Roman"/>
          <w:b/>
          <w:bCs/>
        </w:rPr>
        <w:t>):</w:t>
      </w:r>
      <w:r w:rsidRPr="00D63B51">
        <w:t xml:space="preserve"> The parties must address their initial views on </w:t>
      </w:r>
      <w:r w:rsidRPr="00D63B51">
        <w:rPr>
          <w:rFonts w:cs="Times New Roman"/>
        </w:rPr>
        <w:t xml:space="preserve">“whether any matters should be referred to a magistrate judge (including a recalled magistrate judge) or a master.” </w:t>
      </w:r>
      <w:r w:rsidRPr="00D63B51">
        <w:t xml:space="preserve">Permanent No. </w:t>
      </w:r>
      <w:r w:rsidRPr="00D63B51">
        <w:rPr>
          <w:rFonts w:cs="Times New Roman"/>
        </w:rPr>
        <w:t>MDL-§ 15</w:t>
      </w:r>
      <w:r w:rsidRPr="00D63B51">
        <w:t>(e).</w:t>
      </w:r>
    </w:p>
    <w:p w14:paraId="65EDD370" w14:textId="77777777" w:rsidR="00EB3261" w:rsidRPr="00D63B51" w:rsidRDefault="00EB3261" w:rsidP="00EB3261">
      <w:pPr>
        <w:tabs>
          <w:tab w:val="left" w:pos="3315"/>
        </w:tabs>
        <w:ind w:left="720" w:right="720"/>
        <w:jc w:val="both"/>
      </w:pPr>
      <w:r w:rsidRPr="00D63B51">
        <w:tab/>
      </w:r>
    </w:p>
    <w:p w14:paraId="6FD568D8" w14:textId="77777777" w:rsidR="00EB3261" w:rsidRPr="00D63B51" w:rsidRDefault="00EB3261" w:rsidP="00EB3261">
      <w:pPr>
        <w:spacing w:line="360" w:lineRule="auto"/>
        <w:ind w:firstLine="720"/>
        <w:jc w:val="both"/>
        <w:rPr>
          <w:rFonts w:cs="Times New Roman"/>
        </w:rPr>
      </w:pPr>
      <w:r w:rsidRPr="00D63B51">
        <w:rPr>
          <w:rFonts w:cs="Times New Roman"/>
        </w:rPr>
        <w:t>Rule 16.1(b)(3)(F) requires the parties to address “whether any matters should be referred to a magistrate judge or a master” in their report to the court for the initial-management conference.  A transferee judge in a mass-tort MDL commonly designates a magistrate judge, or a special master when a magistrate judge is not otherwise available, to handle and oversee specific tasks, including discovery, monitoring of a census or registry, or attorney’s fee reports as well as general case-management responsibilities as assigned by the transferee judge.</w:t>
      </w:r>
      <w:r w:rsidRPr="00D63B51">
        <w:rPr>
          <w:rFonts w:cs="Times New Roman"/>
          <w:vertAlign w:val="superscript"/>
        </w:rPr>
        <w:footnoteReference w:id="253"/>
      </w:r>
      <w:r w:rsidRPr="00D63B51">
        <w:rPr>
          <w:rFonts w:cs="Times New Roman"/>
        </w:rPr>
        <w:t xml:space="preserve"> </w:t>
      </w:r>
    </w:p>
    <w:p w14:paraId="69241BA8" w14:textId="73DDD80F" w:rsidR="00EB3261" w:rsidRPr="00D63B51" w:rsidRDefault="00EB3261" w:rsidP="00EB3261">
      <w:pPr>
        <w:spacing w:line="360" w:lineRule="auto"/>
        <w:ind w:firstLine="720"/>
        <w:jc w:val="both"/>
        <w:rPr>
          <w:rFonts w:cs="Times New Roman"/>
        </w:rPr>
      </w:pPr>
      <w:r w:rsidRPr="00D63B51">
        <w:rPr>
          <w:rFonts w:cs="Times New Roman"/>
        </w:rPr>
        <w:t xml:space="preserve">Although Rule 16.1 does not explicitly express a preference, </w:t>
      </w:r>
      <w:r w:rsidR="00F60D57" w:rsidRPr="00D63B51">
        <w:rPr>
          <w:rFonts w:cs="Times New Roman"/>
          <w:smallCaps/>
        </w:rPr>
        <w:t>fed. r. civ. p.</w:t>
      </w:r>
      <w:r w:rsidR="00F60D57" w:rsidRPr="00D63B51">
        <w:rPr>
          <w:rFonts w:cs="Times New Roman"/>
        </w:rPr>
        <w:t xml:space="preserve"> </w:t>
      </w:r>
      <w:r w:rsidRPr="00D63B51">
        <w:rPr>
          <w:rFonts w:cs="Times New Roman"/>
        </w:rPr>
        <w:t xml:space="preserve">53(a)(1)(C) makes clear that the court should designate a magistrate judge to handle pretrial matters, unless no magistrate judge in the district is available to effectively and timely address the matter or, alternatively, the parties otherwise consent to the appointment of a special master to perform designated duties or some exceptional condition warrants a special-master appointment.  </w:t>
      </w:r>
      <w:r w:rsidRPr="00D63B51">
        <w:rPr>
          <w:rFonts w:cs="Times New Roman"/>
        </w:rPr>
        <w:lastRenderedPageBreak/>
        <w:t>Transferee judges often find magistrate judges to be unavailable to assign protracted duties because of their competing responsibilities, including criminal matters.</w:t>
      </w:r>
      <w:r w:rsidRPr="00D63B51">
        <w:rPr>
          <w:rFonts w:cs="Times New Roman"/>
          <w:vertAlign w:val="superscript"/>
        </w:rPr>
        <w:footnoteReference w:id="254"/>
      </w:r>
      <w:r w:rsidRPr="00D63B51">
        <w:rPr>
          <w:rFonts w:cs="Times New Roman"/>
        </w:rPr>
        <w:t xml:space="preserve"> </w:t>
      </w:r>
      <w:r w:rsidR="009C473E" w:rsidRPr="00D63B51">
        <w:rPr>
          <w:rFonts w:cs="Times New Roman"/>
        </w:rPr>
        <w:t xml:space="preserve"> </w:t>
      </w:r>
    </w:p>
    <w:p w14:paraId="2945D92B" w14:textId="5D307CCA" w:rsidR="00EB3261" w:rsidRPr="00D63B51" w:rsidRDefault="00EB3261" w:rsidP="00EB3261">
      <w:pPr>
        <w:spacing w:line="360" w:lineRule="auto"/>
        <w:ind w:firstLine="720"/>
        <w:jc w:val="both"/>
        <w:rPr>
          <w:rFonts w:cs="Times New Roman"/>
        </w:rPr>
      </w:pPr>
      <w:r w:rsidRPr="00D63B51">
        <w:rPr>
          <w:rFonts w:cs="Times New Roman"/>
        </w:rPr>
        <w:t>In a district where a magistrate judge is unavailable to devote substantial time to a mass-tort MDL because of commitments, the court should consider appointing a recalled magistrate judge.</w:t>
      </w:r>
      <w:r w:rsidR="002A3EA1" w:rsidRPr="00D63B51">
        <w:rPr>
          <w:rStyle w:val="FootnoteReference"/>
          <w:rFonts w:cs="Times New Roman"/>
        </w:rPr>
        <w:footnoteReference w:id="255"/>
      </w:r>
      <w:r w:rsidRPr="00D63B51">
        <w:rPr>
          <w:rFonts w:cs="Times New Roman"/>
        </w:rPr>
        <w:t xml:space="preserve">  A recalled magistrate judge may be appointed in a district other than the district where the MDL is litigated.</w:t>
      </w:r>
      <w:r w:rsidRPr="00D63B51">
        <w:rPr>
          <w:rFonts w:cs="Times New Roman"/>
          <w:vertAlign w:val="superscript"/>
        </w:rPr>
        <w:footnoteReference w:id="256"/>
      </w:r>
      <w:r w:rsidRPr="00D63B51">
        <w:rPr>
          <w:rFonts w:cs="Times New Roman"/>
        </w:rPr>
        <w:t xml:space="preserve">  The JPML should consider maintaining a list of recalled magistrate judges who have an interest in assisting transferee judges in mass-tort MDLs and alerting transferee judges to this available resource.</w:t>
      </w:r>
      <w:r w:rsidRPr="00D63B51">
        <w:rPr>
          <w:rFonts w:cs="Times New Roman"/>
          <w:vertAlign w:val="superscript"/>
        </w:rPr>
        <w:footnoteReference w:id="257"/>
      </w:r>
      <w:r w:rsidRPr="00D63B51">
        <w:rPr>
          <w:rFonts w:cs="Times New Roman"/>
        </w:rPr>
        <w:t xml:space="preserve">   </w:t>
      </w:r>
    </w:p>
    <w:p w14:paraId="77A917FD" w14:textId="4FB763BC" w:rsidR="00EB3261" w:rsidRPr="00D63B51" w:rsidRDefault="00EB3261" w:rsidP="00EB3261">
      <w:pPr>
        <w:spacing w:line="360" w:lineRule="auto"/>
        <w:ind w:firstLine="720"/>
        <w:jc w:val="both"/>
        <w:rPr>
          <w:rFonts w:cs="Times New Roman"/>
        </w:rPr>
      </w:pPr>
      <w:r w:rsidRPr="00D63B51">
        <w:rPr>
          <w:rFonts w:cs="Times New Roman"/>
        </w:rPr>
        <w:t xml:space="preserve">If a magistrate judge, including a recalled magistrate judge, is unavailable to effectively and timely address a matter, or if the parties consent, or some exceptional condition exists, the court may appoint a special master to handle the matter. </w:t>
      </w:r>
      <w:r w:rsidR="00864491" w:rsidRPr="00D63B51">
        <w:rPr>
          <w:rFonts w:cs="Times New Roman"/>
        </w:rPr>
        <w:t xml:space="preserve"> Indeed</w:t>
      </w:r>
      <w:r w:rsidR="00BD026E" w:rsidRPr="00D63B51">
        <w:rPr>
          <w:rFonts w:cs="Times New Roman"/>
        </w:rPr>
        <w:t xml:space="preserve">, mass-tort MDL courts frequently appoint special masters to handle a variety of </w:t>
      </w:r>
      <w:r w:rsidR="003E29DA" w:rsidRPr="00D63B51">
        <w:rPr>
          <w:rFonts w:cs="Times New Roman"/>
        </w:rPr>
        <w:t>tasks, including discovery, fee applications, and mediation.</w:t>
      </w:r>
      <w:r w:rsidR="004553AB" w:rsidRPr="00D63B51">
        <w:rPr>
          <w:rFonts w:cs="Times New Roman"/>
        </w:rPr>
        <w:t xml:space="preserve"> </w:t>
      </w:r>
      <w:r w:rsidRPr="00D63B51">
        <w:rPr>
          <w:rFonts w:cs="Times New Roman"/>
        </w:rPr>
        <w:t>The Committee Note to Rule 16.1 suggests that a special master should be considered only after the court considers the parties’ views</w:t>
      </w:r>
      <w:r w:rsidR="002B0AF7" w:rsidRPr="00D63B51">
        <w:rPr>
          <w:rFonts w:cs="Times New Roman"/>
        </w:rPr>
        <w:t xml:space="preserve"> as special masters are compensated by the parties and can be expensive. </w:t>
      </w:r>
      <w:r w:rsidR="003E54EE" w:rsidRPr="00D63B51">
        <w:rPr>
          <w:rFonts w:cs="Times New Roman"/>
        </w:rPr>
        <w:t>P</w:t>
      </w:r>
      <w:r w:rsidRPr="00D63B51">
        <w:rPr>
          <w:rFonts w:cs="Times New Roman"/>
        </w:rPr>
        <w:t>arties know when the services of a special master could be useful</w:t>
      </w:r>
      <w:r w:rsidR="00D520B5" w:rsidRPr="00D63B51">
        <w:rPr>
          <w:rFonts w:cs="Times New Roman"/>
        </w:rPr>
        <w:t xml:space="preserve"> and should indicate in their </w:t>
      </w:r>
      <w:r w:rsidR="0053794F" w:rsidRPr="00D63B51">
        <w:rPr>
          <w:rFonts w:cs="Times New Roman"/>
        </w:rPr>
        <w:t>R</w:t>
      </w:r>
      <w:r w:rsidR="00D520B5" w:rsidRPr="00D63B51">
        <w:rPr>
          <w:rFonts w:cs="Times New Roman"/>
        </w:rPr>
        <w:t xml:space="preserve">ule 16.1 report which duties the </w:t>
      </w:r>
      <w:r w:rsidR="00D1401E" w:rsidRPr="00D63B51">
        <w:rPr>
          <w:rFonts w:cs="Times New Roman"/>
        </w:rPr>
        <w:t>court</w:t>
      </w:r>
      <w:r w:rsidR="00D520B5" w:rsidRPr="00D63B51">
        <w:rPr>
          <w:rFonts w:cs="Times New Roman"/>
        </w:rPr>
        <w:t xml:space="preserve"> should delegate</w:t>
      </w:r>
      <w:r w:rsidR="004D39FA" w:rsidRPr="00D63B51">
        <w:rPr>
          <w:rFonts w:cs="Times New Roman"/>
        </w:rPr>
        <w:t xml:space="preserve"> and whether a magistrate judge </w:t>
      </w:r>
      <w:r w:rsidR="0053794F" w:rsidRPr="00D63B51">
        <w:rPr>
          <w:rFonts w:cs="Times New Roman"/>
        </w:rPr>
        <w:t>o</w:t>
      </w:r>
      <w:r w:rsidR="004D39FA" w:rsidRPr="00D63B51">
        <w:rPr>
          <w:rFonts w:cs="Times New Roman"/>
        </w:rPr>
        <w:t xml:space="preserve">r a special master should handle the duties. </w:t>
      </w:r>
    </w:p>
    <w:p w14:paraId="2D0A4F28" w14:textId="6C8FDD50" w:rsidR="00EB3261" w:rsidRPr="00D63B51" w:rsidRDefault="00EB3261" w:rsidP="00EB3261">
      <w:pPr>
        <w:ind w:left="720" w:right="720"/>
        <w:jc w:val="both"/>
      </w:pPr>
      <w:r w:rsidRPr="00D63B51">
        <w:rPr>
          <w:rFonts w:cs="Times New Roman"/>
          <w:b/>
          <w:bCs/>
        </w:rPr>
        <w:t xml:space="preserve">Best Practice MDL-§ </w:t>
      </w:r>
      <w:r w:rsidR="00B154C0" w:rsidRPr="00D63B51">
        <w:rPr>
          <w:rFonts w:cs="Times New Roman"/>
          <w:b/>
          <w:bCs/>
        </w:rPr>
        <w:t>10</w:t>
      </w:r>
      <w:r w:rsidRPr="00D63B51">
        <w:rPr>
          <w:rFonts w:cs="Times New Roman"/>
          <w:b/>
          <w:bCs/>
        </w:rPr>
        <w:t>(</w:t>
      </w:r>
      <w:r w:rsidR="00B154C0" w:rsidRPr="00D63B51">
        <w:rPr>
          <w:rFonts w:cs="Times New Roman"/>
          <w:b/>
          <w:bCs/>
        </w:rPr>
        <w:t>b</w:t>
      </w:r>
      <w:r w:rsidRPr="00D63B51">
        <w:rPr>
          <w:rFonts w:cs="Times New Roman"/>
          <w:b/>
          <w:bCs/>
        </w:rPr>
        <w:t>)(i):</w:t>
      </w:r>
      <w:r w:rsidRPr="00D63B51">
        <w:rPr>
          <w:rFonts w:cs="Times New Roman"/>
        </w:rPr>
        <w:t xml:space="preserve"> </w:t>
      </w:r>
      <w:r w:rsidRPr="00D63B51">
        <w:t xml:space="preserve">The court should consider providing the parties an opportunity to consent to have a magistrate judge, including a recalled magistrate judge, try a bellwether trial in accordance with 28 U.S.C. </w:t>
      </w:r>
      <w:r w:rsidRPr="00D63B51">
        <w:rPr>
          <w:rFonts w:cs="Times New Roman"/>
        </w:rPr>
        <w:t xml:space="preserve">§ </w:t>
      </w:r>
      <w:r w:rsidRPr="00D63B51">
        <w:t xml:space="preserve">636(c). Permanent No. </w:t>
      </w:r>
      <w:r w:rsidRPr="00D63B51">
        <w:rPr>
          <w:rFonts w:cs="Times New Roman"/>
        </w:rPr>
        <w:t>MDL-§ 15</w:t>
      </w:r>
      <w:r w:rsidRPr="00D63B51">
        <w:t>(f)(i).</w:t>
      </w:r>
    </w:p>
    <w:p w14:paraId="7F8B69F3" w14:textId="77777777" w:rsidR="00EB3261" w:rsidRPr="00D63B51" w:rsidRDefault="00EB3261" w:rsidP="00EB3261">
      <w:pPr>
        <w:ind w:left="720" w:right="720"/>
        <w:jc w:val="both"/>
        <w:rPr>
          <w:rFonts w:cs="Times New Roman"/>
          <w:b/>
          <w:bCs/>
        </w:rPr>
      </w:pPr>
    </w:p>
    <w:p w14:paraId="226C86DD" w14:textId="09272CED" w:rsidR="00EB3261" w:rsidRPr="00D63B51" w:rsidRDefault="00B00CE5" w:rsidP="00EB3261">
      <w:pPr>
        <w:spacing w:line="360" w:lineRule="auto"/>
        <w:ind w:firstLine="720"/>
        <w:jc w:val="both"/>
        <w:rPr>
          <w:rFonts w:cs="Times New Roman"/>
        </w:rPr>
      </w:pPr>
      <w:r w:rsidRPr="00D63B51">
        <w:rPr>
          <w:rFonts w:cs="Times New Roman"/>
        </w:rPr>
        <w:t>If the parties consent</w:t>
      </w:r>
      <w:r w:rsidR="00D90FDA" w:rsidRPr="00D63B51">
        <w:rPr>
          <w:rFonts w:cs="Times New Roman"/>
        </w:rPr>
        <w:t>, a</w:t>
      </w:r>
      <w:r w:rsidR="00EB3261" w:rsidRPr="00D63B51">
        <w:rPr>
          <w:rFonts w:cs="Times New Roman"/>
        </w:rPr>
        <w:t xml:space="preserve"> court may designate a magistrate judge to conduct any or all proceedings in a civil case, including trying a bellwether trial and order</w:t>
      </w:r>
      <w:r w:rsidR="00D90FDA" w:rsidRPr="00D63B51">
        <w:rPr>
          <w:rFonts w:cs="Times New Roman"/>
        </w:rPr>
        <w:t>ing</w:t>
      </w:r>
      <w:r w:rsidR="00EB3261" w:rsidRPr="00D63B51">
        <w:rPr>
          <w:rFonts w:cs="Times New Roman"/>
        </w:rPr>
        <w:t xml:space="preserve"> the entry of judgment.</w:t>
      </w:r>
      <w:r w:rsidR="00EB3261" w:rsidRPr="00D63B51">
        <w:rPr>
          <w:rFonts w:cs="Times New Roman"/>
          <w:vertAlign w:val="superscript"/>
        </w:rPr>
        <w:footnoteReference w:id="258"/>
      </w:r>
      <w:r w:rsidR="00EB3261" w:rsidRPr="00D63B51">
        <w:rPr>
          <w:rFonts w:cs="Times New Roman"/>
        </w:rPr>
        <w:t xml:space="preserve">  </w:t>
      </w:r>
      <w:r w:rsidR="00EB3261" w:rsidRPr="00D63B51">
        <w:rPr>
          <w:rFonts w:cs="Times New Roman"/>
        </w:rPr>
        <w:lastRenderedPageBreak/>
        <w:t>At the time an action is filed, the clerk of court is responsible for notifying parties of a magistrate judge</w:t>
      </w:r>
      <w:r w:rsidR="00015FAD" w:rsidRPr="00D63B51">
        <w:rPr>
          <w:rFonts w:cs="Times New Roman"/>
        </w:rPr>
        <w:t>’s</w:t>
      </w:r>
      <w:r w:rsidR="003A0769" w:rsidRPr="00D63B51">
        <w:rPr>
          <w:rFonts w:cs="Times New Roman"/>
        </w:rPr>
        <w:t xml:space="preserve"> availability</w:t>
      </w:r>
      <w:r w:rsidR="00015FAD" w:rsidRPr="00D63B51">
        <w:rPr>
          <w:rFonts w:cs="Times New Roman"/>
        </w:rPr>
        <w:t xml:space="preserve"> to perform these functions</w:t>
      </w:r>
      <w:r w:rsidR="00EB3261" w:rsidRPr="00D63B51">
        <w:rPr>
          <w:rFonts w:cs="Times New Roman"/>
        </w:rPr>
        <w:t xml:space="preserve"> on the parties’ consent.</w:t>
      </w:r>
      <w:r w:rsidR="00EB3261" w:rsidRPr="00D63B51">
        <w:rPr>
          <w:rStyle w:val="FootnoteReference"/>
          <w:rFonts w:cs="Times New Roman"/>
        </w:rPr>
        <w:footnoteReference w:id="259"/>
      </w:r>
      <w:r w:rsidR="00EB3261" w:rsidRPr="00D63B51">
        <w:rPr>
          <w:rFonts w:cs="Times New Roman"/>
        </w:rPr>
        <w:t xml:space="preserve">  The Administrative Office of the United States Courts provides clerks of court with a standard form (AO 85 (Rev. 02/17)) that notifies parties of a magistrate judge</w:t>
      </w:r>
      <w:r w:rsidR="00E832CF" w:rsidRPr="00D63B51">
        <w:rPr>
          <w:rFonts w:cs="Times New Roman"/>
        </w:rPr>
        <w:t>’s availability</w:t>
      </w:r>
      <w:r w:rsidR="00EB3261" w:rsidRPr="00D63B51">
        <w:rPr>
          <w:rFonts w:cs="Times New Roman"/>
        </w:rPr>
        <w:t xml:space="preserve"> to “conduct any or all proceedings in a jury or nonjury civil matter and order the entry of judgment in the case, when specially designated to exercise such jurisdiction by the district court or courts he serves.” The form includes instructions for parties to consent and a reference order. </w:t>
      </w:r>
      <w:r w:rsidR="00EB3261" w:rsidRPr="00D63B51">
        <w:rPr>
          <w:rStyle w:val="FootnoteReference"/>
          <w:rFonts w:cs="Times New Roman"/>
        </w:rPr>
        <w:footnoteReference w:id="260"/>
      </w:r>
    </w:p>
    <w:p w14:paraId="387EA23B" w14:textId="3EB99614" w:rsidR="00EB3261" w:rsidRPr="00D63B51" w:rsidRDefault="00EB3261" w:rsidP="00EB3261">
      <w:pPr>
        <w:spacing w:line="360" w:lineRule="auto"/>
        <w:ind w:firstLine="720"/>
        <w:jc w:val="both"/>
        <w:rPr>
          <w:rFonts w:cs="Times New Roman"/>
        </w:rPr>
      </w:pPr>
      <w:r w:rsidRPr="00D63B51">
        <w:rPr>
          <w:rFonts w:cs="Times New Roman"/>
        </w:rPr>
        <w:t xml:space="preserve">Parties learn the strengths and weaknesses of their cases in bellwether trials. </w:t>
      </w:r>
      <w:r w:rsidR="00FD45E4" w:rsidRPr="00D63B51">
        <w:rPr>
          <w:rFonts w:cs="Times New Roman"/>
        </w:rPr>
        <w:t>A</w:t>
      </w:r>
      <w:r w:rsidRPr="00D63B51">
        <w:rPr>
          <w:rFonts w:cs="Times New Roman"/>
        </w:rPr>
        <w:t xml:space="preserve"> transferee judge</w:t>
      </w:r>
      <w:r w:rsidR="00FD45E4" w:rsidRPr="00D63B51">
        <w:rPr>
          <w:rFonts w:cs="Times New Roman"/>
        </w:rPr>
        <w:t>’s rulings</w:t>
      </w:r>
      <w:r w:rsidRPr="00D63B51">
        <w:rPr>
          <w:rFonts w:cs="Times New Roman"/>
        </w:rPr>
        <w:t xml:space="preserve"> </w:t>
      </w:r>
      <w:r w:rsidR="00451561" w:rsidRPr="00D63B51">
        <w:rPr>
          <w:rFonts w:cs="Times New Roman"/>
        </w:rPr>
        <w:t>during</w:t>
      </w:r>
      <w:r w:rsidRPr="00D63B51">
        <w:rPr>
          <w:rFonts w:cs="Times New Roman"/>
        </w:rPr>
        <w:t xml:space="preserve"> these trials provide precedential guidance that parties rely on in future trials. Magistrate judges often sit with the transferee judge during mass-tort MDL proceedings, including evidentiary and other hearings, and are familiar with the case and the court’s rulings</w:t>
      </w:r>
      <w:r w:rsidR="003F74A9" w:rsidRPr="00D63B51">
        <w:rPr>
          <w:rFonts w:cs="Times New Roman"/>
        </w:rPr>
        <w:t>, and many have experience pr</w:t>
      </w:r>
      <w:r w:rsidR="00D00D6A" w:rsidRPr="00D63B51">
        <w:rPr>
          <w:rFonts w:cs="Times New Roman"/>
        </w:rPr>
        <w:t>e</w:t>
      </w:r>
      <w:r w:rsidR="003F74A9" w:rsidRPr="00D63B51">
        <w:rPr>
          <w:rFonts w:cs="Times New Roman"/>
        </w:rPr>
        <w:t>siding over</w:t>
      </w:r>
      <w:r w:rsidRPr="00D63B51">
        <w:rPr>
          <w:rFonts w:cs="Times New Roman"/>
        </w:rPr>
        <w:t xml:space="preserve"> complex </w:t>
      </w:r>
      <w:r w:rsidR="00D00D6A" w:rsidRPr="00D63B51">
        <w:rPr>
          <w:rFonts w:cs="Times New Roman"/>
        </w:rPr>
        <w:t>trials</w:t>
      </w:r>
      <w:r w:rsidRPr="00D63B51">
        <w:rPr>
          <w:rFonts w:cs="Times New Roman"/>
        </w:rPr>
        <w:t xml:space="preserve"> under 28 U.S.C. § 636(c).</w:t>
      </w:r>
      <w:r w:rsidRPr="00D63B51">
        <w:rPr>
          <w:rStyle w:val="FootnoteReference"/>
          <w:rFonts w:cs="Times New Roman"/>
        </w:rPr>
        <w:footnoteReference w:id="261"/>
      </w:r>
      <w:r w:rsidRPr="00D63B51">
        <w:rPr>
          <w:rFonts w:cs="Times New Roman"/>
        </w:rPr>
        <w:t xml:space="preserve">  The </w:t>
      </w:r>
      <w:r w:rsidR="003D3749" w:rsidRPr="00D63B51">
        <w:rPr>
          <w:rFonts w:cs="Times New Roman"/>
        </w:rPr>
        <w:t>option to rely</w:t>
      </w:r>
      <w:r w:rsidRPr="00D63B51">
        <w:rPr>
          <w:rFonts w:cs="Times New Roman"/>
        </w:rPr>
        <w:t xml:space="preserve"> </w:t>
      </w:r>
      <w:r w:rsidR="00105C15" w:rsidRPr="00D63B51">
        <w:rPr>
          <w:rFonts w:cs="Times New Roman"/>
        </w:rPr>
        <w:t xml:space="preserve">on </w:t>
      </w:r>
      <w:r w:rsidRPr="00D63B51">
        <w:rPr>
          <w:rFonts w:cs="Times New Roman"/>
        </w:rPr>
        <w:t xml:space="preserve">a magistrate judge to </w:t>
      </w:r>
      <w:r w:rsidR="00105C15" w:rsidRPr="00D63B51">
        <w:rPr>
          <w:rFonts w:cs="Times New Roman"/>
        </w:rPr>
        <w:t>preside over</w:t>
      </w:r>
      <w:r w:rsidRPr="00D63B51">
        <w:rPr>
          <w:rFonts w:cs="Times New Roman"/>
        </w:rPr>
        <w:t xml:space="preserve"> the third, fourth, or later bellwether trials </w:t>
      </w:r>
      <w:r w:rsidR="004B0852" w:rsidRPr="00D63B51">
        <w:rPr>
          <w:rFonts w:cs="Times New Roman"/>
        </w:rPr>
        <w:t>holds the potential for added</w:t>
      </w:r>
      <w:r w:rsidR="0024304E" w:rsidRPr="00D63B51">
        <w:rPr>
          <w:rFonts w:cs="Times New Roman"/>
        </w:rPr>
        <w:t xml:space="preserve"> </w:t>
      </w:r>
      <w:r w:rsidR="004B0852" w:rsidRPr="00D63B51">
        <w:rPr>
          <w:rFonts w:cs="Times New Roman"/>
        </w:rPr>
        <w:t xml:space="preserve">efficiencies.  For example, </w:t>
      </w:r>
      <w:r w:rsidRPr="00D63B51">
        <w:rPr>
          <w:rFonts w:cs="Times New Roman"/>
        </w:rPr>
        <w:t xml:space="preserve">the </w:t>
      </w:r>
      <w:r w:rsidR="00391E8F" w:rsidRPr="00D63B51">
        <w:rPr>
          <w:rFonts w:cs="Times New Roman"/>
        </w:rPr>
        <w:t xml:space="preserve">trial </w:t>
      </w:r>
      <w:r w:rsidRPr="00D63B51">
        <w:rPr>
          <w:rFonts w:cs="Times New Roman"/>
        </w:rPr>
        <w:t xml:space="preserve">schedule is </w:t>
      </w:r>
      <w:r w:rsidR="00E56A20" w:rsidRPr="00D63B51">
        <w:rPr>
          <w:rFonts w:cs="Times New Roman"/>
        </w:rPr>
        <w:t xml:space="preserve">often </w:t>
      </w:r>
      <w:r w:rsidRPr="00D63B51">
        <w:rPr>
          <w:rFonts w:cs="Times New Roman"/>
        </w:rPr>
        <w:t>upset because parties voluntarily</w:t>
      </w:r>
      <w:r w:rsidR="00BB1ACB" w:rsidRPr="00D63B51">
        <w:rPr>
          <w:rFonts w:cs="Times New Roman"/>
        </w:rPr>
        <w:t xml:space="preserve"> dismiss</w:t>
      </w:r>
      <w:r w:rsidRPr="00D63B51">
        <w:rPr>
          <w:rFonts w:cs="Times New Roman"/>
        </w:rPr>
        <w:t xml:space="preserve"> or settle them on the eve of trial. If the transferee judge is the only judge </w:t>
      </w:r>
      <w:r w:rsidR="00694521" w:rsidRPr="00D63B51">
        <w:rPr>
          <w:rFonts w:cs="Times New Roman"/>
        </w:rPr>
        <w:t>conducting</w:t>
      </w:r>
      <w:r w:rsidRPr="00D63B51">
        <w:rPr>
          <w:rFonts w:cs="Times New Roman"/>
        </w:rPr>
        <w:t xml:space="preserve"> bellwether trials, substituting and preparing another bellwether case for trial </w:t>
      </w:r>
      <w:r w:rsidR="001F1D12" w:rsidRPr="00D63B51">
        <w:rPr>
          <w:rFonts w:cs="Times New Roman"/>
        </w:rPr>
        <w:t xml:space="preserve">is almost certain to cause additional delay in a case that is already </w:t>
      </w:r>
      <w:r w:rsidRPr="00D63B51">
        <w:rPr>
          <w:rFonts w:cs="Times New Roman"/>
        </w:rPr>
        <w:t>prolong</w:t>
      </w:r>
      <w:r w:rsidR="001F1D12" w:rsidRPr="00D63B51">
        <w:rPr>
          <w:rFonts w:cs="Times New Roman"/>
        </w:rPr>
        <w:t>ed</w:t>
      </w:r>
      <w:r w:rsidRPr="00D63B51">
        <w:rPr>
          <w:rFonts w:cs="Times New Roman"/>
        </w:rPr>
        <w:t>.</w:t>
      </w:r>
      <w:r w:rsidRPr="00D63B51">
        <w:rPr>
          <w:rFonts w:cs="Times New Roman"/>
          <w:vertAlign w:val="superscript"/>
        </w:rPr>
        <w:footnoteReference w:id="262"/>
      </w:r>
      <w:r w:rsidRPr="00D63B51">
        <w:rPr>
          <w:rFonts w:cs="Times New Roman"/>
        </w:rPr>
        <w:t xml:space="preserve"> </w:t>
      </w:r>
    </w:p>
    <w:p w14:paraId="6D227205" w14:textId="77777777" w:rsidR="00EB3261" w:rsidRPr="00D63B51" w:rsidRDefault="00EB3261" w:rsidP="00EB3261">
      <w:pPr>
        <w:spacing w:line="360" w:lineRule="auto"/>
        <w:ind w:firstLine="720"/>
        <w:jc w:val="both"/>
        <w:rPr>
          <w:rFonts w:cs="Times New Roman"/>
        </w:rPr>
      </w:pPr>
      <w:r w:rsidRPr="00D63B51">
        <w:rPr>
          <w:rFonts w:cs="Times New Roman"/>
        </w:rPr>
        <w:t>Adding magistrate judges to try bellwether cases increases the odds that more bellwether cases will be tried, which would better inform the parties’ settlement negotiations. Assigning a single bellwether trial to a magistrate judge may be more feasible than assigning protracted MDL duties because of its limited duration.  In addition, “recalled” magistrate judges offer an additional resource that may be available to try bellwether cases.</w:t>
      </w:r>
      <w:r w:rsidRPr="00D63B51">
        <w:rPr>
          <w:rFonts w:cs="Times New Roman"/>
          <w:vertAlign w:val="superscript"/>
        </w:rPr>
        <w:footnoteReference w:id="263"/>
      </w:r>
      <w:r w:rsidRPr="00D63B51">
        <w:rPr>
          <w:rFonts w:cs="Times New Roman"/>
        </w:rPr>
        <w:t xml:space="preserve"> </w:t>
      </w:r>
    </w:p>
    <w:p w14:paraId="5D7D19AF" w14:textId="6A799488" w:rsidR="00EB3261" w:rsidRPr="00D63B51" w:rsidRDefault="00EB3261" w:rsidP="00EB3261">
      <w:pPr>
        <w:spacing w:line="360" w:lineRule="auto"/>
        <w:ind w:firstLine="720"/>
        <w:jc w:val="both"/>
        <w:rPr>
          <w:rFonts w:cs="Times New Roman"/>
        </w:rPr>
      </w:pPr>
      <w:r w:rsidRPr="00D63B51">
        <w:rPr>
          <w:rFonts w:cs="Times New Roman"/>
        </w:rPr>
        <w:lastRenderedPageBreak/>
        <w:t xml:space="preserve">The parties should indicate in their Rule 16.1 report whether they are open to considering an opportunity to consent </w:t>
      </w:r>
      <w:r w:rsidR="00F73417" w:rsidRPr="00D63B51">
        <w:rPr>
          <w:rFonts w:cs="Times New Roman"/>
        </w:rPr>
        <w:t xml:space="preserve">later </w:t>
      </w:r>
      <w:r w:rsidRPr="00D63B51">
        <w:rPr>
          <w:rFonts w:cs="Times New Roman"/>
        </w:rPr>
        <w:t>to a magistrate judge handling a potential bellwether trial.  The advance notice will better inform the court and alert the magistrate judges to the possibility.</w:t>
      </w:r>
    </w:p>
    <w:p w14:paraId="16CEACE6" w14:textId="01BDE813" w:rsidR="00F62B2D" w:rsidRPr="00D63B51" w:rsidRDefault="00F62B2D" w:rsidP="00F62B2D">
      <w:pPr>
        <w:pStyle w:val="NoSpacing"/>
        <w:ind w:left="720" w:right="720"/>
        <w:jc w:val="both"/>
        <w:rPr>
          <w:rFonts w:cs="Times New Roman"/>
          <w:szCs w:val="24"/>
        </w:rPr>
      </w:pPr>
      <w:r w:rsidRPr="00D63B51">
        <w:rPr>
          <w:b/>
          <w:bCs/>
        </w:rPr>
        <w:t xml:space="preserve">Best Practice </w:t>
      </w:r>
      <w:r w:rsidRPr="00D63B51">
        <w:rPr>
          <w:rFonts w:cs="Times New Roman"/>
          <w:b/>
          <w:bCs/>
          <w:szCs w:val="24"/>
        </w:rPr>
        <w:t xml:space="preserve">MDL-§ </w:t>
      </w:r>
      <w:r w:rsidR="0046529F" w:rsidRPr="00D63B51">
        <w:rPr>
          <w:rFonts w:cs="Times New Roman"/>
          <w:b/>
          <w:bCs/>
          <w:szCs w:val="24"/>
        </w:rPr>
        <w:t>10(b)</w:t>
      </w:r>
      <w:r w:rsidR="002122D1" w:rsidRPr="00D63B51">
        <w:rPr>
          <w:rFonts w:cs="Times New Roman"/>
          <w:b/>
          <w:bCs/>
          <w:szCs w:val="24"/>
        </w:rPr>
        <w:t>(</w:t>
      </w:r>
      <w:r w:rsidR="00B154C0" w:rsidRPr="00D63B51">
        <w:rPr>
          <w:rFonts w:cs="Times New Roman"/>
          <w:b/>
          <w:bCs/>
          <w:szCs w:val="24"/>
        </w:rPr>
        <w:t>i</w:t>
      </w:r>
      <w:r w:rsidR="002122D1" w:rsidRPr="00D63B51">
        <w:rPr>
          <w:rFonts w:cs="Times New Roman"/>
          <w:b/>
          <w:bCs/>
          <w:szCs w:val="24"/>
        </w:rPr>
        <w:t>i)</w:t>
      </w:r>
      <w:r w:rsidRPr="00D63B51">
        <w:rPr>
          <w:b/>
          <w:bCs/>
        </w:rPr>
        <w:t>:</w:t>
      </w:r>
      <w:r w:rsidRPr="00D63B51">
        <w:t xml:space="preserve"> T</w:t>
      </w:r>
      <w:r w:rsidRPr="00D63B51">
        <w:rPr>
          <w:rFonts w:cs="Times New Roman"/>
          <w:szCs w:val="24"/>
        </w:rPr>
        <w:t>he parties may identify for the court the use of multiple special masters, who act as “settlement mediators,”</w:t>
      </w:r>
      <w:r w:rsidRPr="00D63B51">
        <w:t xml:space="preserve"> assigning each 20 or more actions to resolve within a fixed time, </w:t>
      </w:r>
      <w:r w:rsidRPr="00D63B51">
        <w:rPr>
          <w:i/>
          <w:iCs/>
        </w:rPr>
        <w:t>e.g</w:t>
      </w:r>
      <w:r w:rsidRPr="00D63B51">
        <w:t xml:space="preserve">., 12 months, remanding actions not disposed of.   Permanent No. </w:t>
      </w:r>
      <w:r w:rsidRPr="00D63B51">
        <w:rPr>
          <w:rFonts w:cs="Times New Roman"/>
          <w:szCs w:val="24"/>
        </w:rPr>
        <w:t>MDL-§ 15</w:t>
      </w:r>
      <w:r w:rsidRPr="00D63B51">
        <w:t>(d)(ii).</w:t>
      </w:r>
    </w:p>
    <w:p w14:paraId="11CBC022" w14:textId="77777777" w:rsidR="00F62B2D" w:rsidRPr="00D63B51" w:rsidRDefault="00F62B2D" w:rsidP="00F62B2D">
      <w:pPr>
        <w:pStyle w:val="NoSpacing"/>
        <w:ind w:left="720" w:right="720"/>
        <w:jc w:val="both"/>
        <w:rPr>
          <w:rFonts w:cs="Times New Roman"/>
          <w:szCs w:val="24"/>
        </w:rPr>
      </w:pPr>
    </w:p>
    <w:p w14:paraId="5096A441" w14:textId="77777777" w:rsidR="00F62B2D" w:rsidRPr="00D63B51" w:rsidRDefault="00F62B2D" w:rsidP="00F62B2D">
      <w:pPr>
        <w:spacing w:line="360" w:lineRule="auto"/>
        <w:ind w:firstLine="720"/>
        <w:jc w:val="both"/>
        <w:rPr>
          <w:rFonts w:cs="Times New Roman"/>
        </w:rPr>
      </w:pPr>
      <w:r w:rsidRPr="00D63B51">
        <w:rPr>
          <w:rFonts w:cs="Times New Roman"/>
        </w:rPr>
        <w:t xml:space="preserve">   Parties do not settle cases until they analyze the risks, assessing the likelihood of success and potential outcomes. The results of individual bellwether trials can provide the parties with information that aids this analysis, but too often the actions selected as bellwethers are withdrawn or settled before trial, while others are not representative of typical actions, which diminish their usefulness. </w:t>
      </w:r>
    </w:p>
    <w:p w14:paraId="3E282B87" w14:textId="77777777" w:rsidR="00F62B2D" w:rsidRPr="00D63B51" w:rsidRDefault="00F62B2D" w:rsidP="00F62B2D">
      <w:pPr>
        <w:spacing w:line="360" w:lineRule="auto"/>
        <w:ind w:firstLine="720"/>
        <w:jc w:val="both"/>
        <w:rPr>
          <w:rFonts w:cs="Times New Roman"/>
        </w:rPr>
      </w:pPr>
      <w:r w:rsidRPr="00D63B51">
        <w:rPr>
          <w:rFonts w:cs="Times New Roman"/>
        </w:rPr>
        <w:t>Rule 16.1(b)(3)(F) requires the parties to address whether any matters should be referred to a magistrate judge or a master to expedite the pretrial process, including specifically “settlement negotiations.”</w:t>
      </w:r>
      <w:r w:rsidRPr="00D63B51">
        <w:rPr>
          <w:rStyle w:val="FootnoteReference"/>
          <w:rFonts w:cs="Times New Roman"/>
        </w:rPr>
        <w:footnoteReference w:id="264"/>
      </w:r>
      <w:r w:rsidRPr="00D63B51">
        <w:rPr>
          <w:rFonts w:cs="Times New Roman"/>
        </w:rPr>
        <w:t xml:space="preserve"> When the parties believe settlement should be pursued, typically after bellwether trials have been held, the parties and transferee courts may consider whether appointing a settlement master or a mediator might advance the settlement process.</w:t>
      </w:r>
      <w:r w:rsidRPr="00D63B51">
        <w:rPr>
          <w:rStyle w:val="FootnoteReference"/>
          <w:rFonts w:cs="Times New Roman"/>
        </w:rPr>
        <w:footnoteReference w:id="265"/>
      </w:r>
      <w:r w:rsidRPr="00D63B51">
        <w:rPr>
          <w:rFonts w:cs="Times New Roman"/>
        </w:rPr>
        <w:t xml:space="preserve">  </w:t>
      </w:r>
    </w:p>
    <w:p w14:paraId="261AB2AF" w14:textId="77777777" w:rsidR="00F62B2D" w:rsidRPr="00D63B51" w:rsidRDefault="00F62B2D" w:rsidP="00F62B2D">
      <w:pPr>
        <w:spacing w:line="360" w:lineRule="auto"/>
        <w:ind w:firstLine="720"/>
        <w:jc w:val="both"/>
        <w:rPr>
          <w:rFonts w:cs="Times New Roman"/>
        </w:rPr>
      </w:pPr>
      <w:r w:rsidRPr="00D63B51">
        <w:rPr>
          <w:rFonts w:cs="Times New Roman"/>
        </w:rPr>
        <w:t>In a large mass-tort MDL, the parties can identify for the court the possible use of multiple special masters acting as mediators, who are tasked with reaching settlement within a prescribed period of time, otherwise the case is remanded to the transferor court. The information gleaned from these separate mediations may be more influential than bellwether trials because it represents decisions voluntarily accepted by the parties.  Such voluntary decision-making may better inform the parties’ risk analysis and help them establish benchmarks and variables for determining payouts to the broader group.</w:t>
      </w:r>
      <w:r w:rsidRPr="00D63B51">
        <w:rPr>
          <w:rStyle w:val="FootnoteReference"/>
          <w:rFonts w:cs="Times New Roman"/>
        </w:rPr>
        <w:footnoteReference w:id="266"/>
      </w:r>
      <w:r w:rsidRPr="00D63B51">
        <w:rPr>
          <w:rFonts w:cs="Times New Roman"/>
        </w:rPr>
        <w:t xml:space="preserve">  To maintain confidentiality of the settlement negotiations, the court </w:t>
      </w:r>
      <w:r w:rsidRPr="00D63B51">
        <w:rPr>
          <w:rFonts w:cs="Times New Roman"/>
        </w:rPr>
        <w:lastRenderedPageBreak/>
        <w:t>should establish a negotiating team from both sides, which shares on a confidential basis anonymous data from the individual mediations.</w:t>
      </w:r>
    </w:p>
    <w:p w14:paraId="6945B8D7" w14:textId="77777777" w:rsidR="00F62B2D" w:rsidRPr="00D63B51" w:rsidRDefault="00F62B2D" w:rsidP="00F62B2D">
      <w:pPr>
        <w:spacing w:line="360" w:lineRule="auto"/>
        <w:ind w:firstLine="720"/>
        <w:jc w:val="both"/>
        <w:rPr>
          <w:rFonts w:cs="Times New Roman"/>
        </w:rPr>
      </w:pPr>
      <w:r w:rsidRPr="00D63B51">
        <w:rPr>
          <w:rFonts w:cs="Times New Roman"/>
        </w:rPr>
        <w:t>The substantial added cost of a special master should be weighed against the savings from eliminating the need to hold expensive bellwether trials and early termination of the MDL.</w:t>
      </w:r>
    </w:p>
    <w:p w14:paraId="32D10512" w14:textId="33E85ACE" w:rsidR="00F62B2D" w:rsidRPr="00D63B51" w:rsidRDefault="00F62B2D" w:rsidP="00F62B2D">
      <w:pPr>
        <w:pStyle w:val="NoSpacing"/>
        <w:ind w:left="720" w:right="720"/>
        <w:jc w:val="both"/>
      </w:pPr>
      <w:r w:rsidRPr="00D63B51">
        <w:rPr>
          <w:b/>
          <w:bCs/>
        </w:rPr>
        <w:t xml:space="preserve">Best Practice </w:t>
      </w:r>
      <w:r w:rsidRPr="00D63B51">
        <w:rPr>
          <w:rFonts w:cs="Times New Roman"/>
          <w:b/>
          <w:bCs/>
          <w:szCs w:val="24"/>
        </w:rPr>
        <w:t xml:space="preserve">MDL-§ </w:t>
      </w:r>
      <w:r w:rsidR="003B509C" w:rsidRPr="00D63B51">
        <w:rPr>
          <w:rFonts w:cs="Times New Roman"/>
          <w:b/>
          <w:bCs/>
          <w:szCs w:val="24"/>
        </w:rPr>
        <w:t>10(b)(</w:t>
      </w:r>
      <w:r w:rsidR="00B154C0" w:rsidRPr="00D63B51">
        <w:rPr>
          <w:rFonts w:cs="Times New Roman"/>
          <w:b/>
          <w:bCs/>
          <w:szCs w:val="24"/>
        </w:rPr>
        <w:t>i</w:t>
      </w:r>
      <w:r w:rsidR="002122D1" w:rsidRPr="00D63B51">
        <w:rPr>
          <w:rFonts w:cs="Times New Roman"/>
          <w:b/>
          <w:bCs/>
          <w:szCs w:val="24"/>
        </w:rPr>
        <w:t>i</w:t>
      </w:r>
      <w:r w:rsidR="003B509C" w:rsidRPr="00D63B51">
        <w:rPr>
          <w:rFonts w:cs="Times New Roman"/>
          <w:b/>
          <w:bCs/>
          <w:szCs w:val="24"/>
        </w:rPr>
        <w:t>i)</w:t>
      </w:r>
      <w:r w:rsidRPr="00D63B51">
        <w:rPr>
          <w:b/>
          <w:bCs/>
        </w:rPr>
        <w:t>:</w:t>
      </w:r>
      <w:r w:rsidRPr="00D63B51">
        <w:t xml:space="preserve"> T</w:t>
      </w:r>
      <w:r w:rsidRPr="00D63B51">
        <w:rPr>
          <w:rFonts w:cs="Times New Roman"/>
          <w:szCs w:val="24"/>
        </w:rPr>
        <w:t>he parties may identify for the court the use of a special master to estimate the value of tort claims, similar to the judicial-estimation procedure in bankruptcy cases; not to fix a settlement cap, but to facilitate settlement negotiations.</w:t>
      </w:r>
      <w:r w:rsidRPr="00D63B51">
        <w:t xml:space="preserve">  </w:t>
      </w:r>
      <w:bookmarkStart w:id="33" w:name="_Hlk167727226"/>
      <w:r w:rsidRPr="00D63B51">
        <w:t xml:space="preserve">Permanent No. </w:t>
      </w:r>
      <w:r w:rsidRPr="00D63B51">
        <w:rPr>
          <w:rFonts w:cs="Times New Roman"/>
          <w:szCs w:val="24"/>
        </w:rPr>
        <w:t>MDL-§ 15</w:t>
      </w:r>
      <w:r w:rsidRPr="00D63B51">
        <w:t>(d)(iii).</w:t>
      </w:r>
      <w:bookmarkEnd w:id="33"/>
    </w:p>
    <w:p w14:paraId="17BC4BC6" w14:textId="77777777" w:rsidR="00F62B2D" w:rsidRPr="00D63B51" w:rsidRDefault="00F62B2D" w:rsidP="00F62B2D">
      <w:pPr>
        <w:pStyle w:val="NoSpacing"/>
        <w:ind w:left="720" w:right="720"/>
        <w:jc w:val="both"/>
      </w:pPr>
    </w:p>
    <w:p w14:paraId="2DB3A24E" w14:textId="77777777" w:rsidR="00F62B2D" w:rsidRPr="00D63B51" w:rsidRDefault="00F62B2D" w:rsidP="00F62B2D">
      <w:pPr>
        <w:spacing w:line="360" w:lineRule="auto"/>
        <w:ind w:firstLine="720"/>
        <w:jc w:val="both"/>
        <w:rPr>
          <w:rFonts w:cs="Times New Roman"/>
        </w:rPr>
      </w:pPr>
      <w:r w:rsidRPr="00D63B51">
        <w:rPr>
          <w:rFonts w:cs="Times New Roman"/>
        </w:rPr>
        <w:t xml:space="preserve">The parties often dispute the aggregate value of tort claims in a mass-tort MDL, often advocating widely divergent amounts. Because reaching agreement on the bottom-line sum is a main component of the parties’ risk analysis, settlements often languish until the estimates of both sides get closer to each other.  Information from resolutions of individual actions by settlement or bellwether trials is useful in reaching a consensus, but parties disagree about their applicability to all other actions, emphasizing differences.  </w:t>
      </w:r>
    </w:p>
    <w:p w14:paraId="5F6646BA" w14:textId="77777777" w:rsidR="00F62B2D" w:rsidRPr="00D63B51" w:rsidRDefault="00F62B2D" w:rsidP="00F62B2D">
      <w:pPr>
        <w:spacing w:line="360" w:lineRule="auto"/>
        <w:ind w:firstLine="720"/>
        <w:jc w:val="both"/>
        <w:rPr>
          <w:rFonts w:cs="Times New Roman"/>
        </w:rPr>
      </w:pPr>
      <w:r w:rsidRPr="00D63B51">
        <w:rPr>
          <w:rFonts w:cs="Times New Roman"/>
        </w:rPr>
        <w:t>The parties in a mass-tort MDL hire highly competent experts at heavy expense to estimate the values of the tort claims, producing extensive and comprehensive data, though often at odds with each other. When several bellwether trials have been held and settlement negotiations have stalled, the parties and transferee courts may consider whether appointing a special master to estimate the value of the tort actions might advance the settlement process.</w:t>
      </w:r>
      <w:r w:rsidRPr="00D63B51">
        <w:rPr>
          <w:rStyle w:val="FootnoteReference"/>
          <w:rFonts w:cs="Times New Roman"/>
        </w:rPr>
        <w:footnoteReference w:id="267"/>
      </w:r>
      <w:r w:rsidRPr="00D63B51">
        <w:rPr>
          <w:rFonts w:cs="Times New Roman"/>
        </w:rPr>
        <w:t xml:space="preserve">  The estimate of the aggregate value of tort claims calculated by an impartial third-person expert can help both parties realistically evaluate competing estimates.  The expert’s estimate is not binding on the parties and is solely intended to facilitate settlement negotiations, particularly when a few outlier litigants may have unrealistic expectations. The court and parties should consider whether the special master’s estimates should be protected on a confidential basis.</w:t>
      </w:r>
    </w:p>
    <w:p w14:paraId="71B436D8" w14:textId="77777777" w:rsidR="00F62B2D" w:rsidRPr="00D63B51" w:rsidRDefault="00F62B2D" w:rsidP="00F62B2D">
      <w:pPr>
        <w:spacing w:line="360" w:lineRule="auto"/>
        <w:ind w:firstLine="720"/>
        <w:jc w:val="both"/>
        <w:rPr>
          <w:rFonts w:cs="Times New Roman"/>
        </w:rPr>
      </w:pPr>
      <w:r w:rsidRPr="00D63B51">
        <w:rPr>
          <w:rFonts w:cs="Times New Roman"/>
        </w:rPr>
        <w:t>The Bankruptcy Code provides a model, authorizing the judge in a mass-tort bankruptcy to estimate the value of tort claims for the purpose of evaluating a proposed reorganization plan and eligibility to vote for the plan.</w:t>
      </w:r>
      <w:r w:rsidRPr="00D63B51">
        <w:rPr>
          <w:rStyle w:val="FootnoteReference"/>
          <w:rFonts w:cs="Times New Roman"/>
        </w:rPr>
        <w:footnoteReference w:id="268"/>
      </w:r>
      <w:r w:rsidRPr="00D63B51">
        <w:rPr>
          <w:rFonts w:cs="Times New Roman"/>
        </w:rPr>
        <w:t xml:space="preserve">  The judge’s estimate must account for the probabilities that a number of actions will not be sustainable. Best Practices Permanent No. MDL--§8(b-e) of the </w:t>
      </w:r>
      <w:r w:rsidRPr="00D63B51">
        <w:rPr>
          <w:rFonts w:cs="Times New Roman"/>
        </w:rPr>
        <w:lastRenderedPageBreak/>
        <w:t xml:space="preserve">Center’s </w:t>
      </w:r>
      <w:r w:rsidRPr="00D63B51">
        <w:rPr>
          <w:rFonts w:cs="Times New Roman"/>
          <w:smallCaps/>
        </w:rPr>
        <w:t>Mass-Tort Compendium of Guidelines and Best Practices</w:t>
      </w:r>
      <w:r w:rsidRPr="00D63B51">
        <w:rPr>
          <w:rFonts w:cs="Times New Roman"/>
        </w:rPr>
        <w:t xml:space="preserve"> describe procedures used by the court in appointing a Rule 706 expert, who worked with an expert to estimate the value of tort claims in a recent mass-tort bankruptcy, which provides a good model.</w:t>
      </w:r>
      <w:r w:rsidRPr="00D63B51">
        <w:rPr>
          <w:rStyle w:val="FootnoteReference"/>
          <w:rFonts w:cs="Times New Roman"/>
        </w:rPr>
        <w:footnoteReference w:id="269"/>
      </w:r>
      <w:r w:rsidRPr="00D63B51">
        <w:rPr>
          <w:rFonts w:cs="Times New Roman"/>
        </w:rPr>
        <w:t xml:space="preserve"> </w:t>
      </w:r>
    </w:p>
    <w:p w14:paraId="3308884F" w14:textId="0387C6AD" w:rsidR="006866B0" w:rsidRPr="00D63B51" w:rsidRDefault="006866B0" w:rsidP="006866B0">
      <w:pPr>
        <w:pStyle w:val="NoSpacing"/>
        <w:ind w:left="720" w:right="720"/>
        <w:jc w:val="both"/>
      </w:pPr>
      <w:bookmarkStart w:id="34" w:name="_Hlk166162017"/>
      <w:r w:rsidRPr="00D63B51">
        <w:rPr>
          <w:rFonts w:cs="Times New Roman"/>
          <w:b/>
          <w:bCs/>
          <w:szCs w:val="24"/>
        </w:rPr>
        <w:t xml:space="preserve">Best Practice MDL-§ </w:t>
      </w:r>
      <w:r w:rsidR="002122D1" w:rsidRPr="00D63B51">
        <w:rPr>
          <w:rFonts w:cs="Times New Roman"/>
          <w:b/>
          <w:bCs/>
          <w:szCs w:val="24"/>
        </w:rPr>
        <w:t>10</w:t>
      </w:r>
      <w:r w:rsidRPr="00D63B51">
        <w:rPr>
          <w:rFonts w:cs="Times New Roman"/>
          <w:b/>
          <w:bCs/>
          <w:szCs w:val="24"/>
        </w:rPr>
        <w:t>(</w:t>
      </w:r>
      <w:r w:rsidR="002122D1" w:rsidRPr="00D63B51">
        <w:rPr>
          <w:rFonts w:cs="Times New Roman"/>
          <w:b/>
          <w:bCs/>
          <w:szCs w:val="24"/>
        </w:rPr>
        <w:t>b</w:t>
      </w:r>
      <w:r w:rsidRPr="00D63B51">
        <w:rPr>
          <w:rFonts w:cs="Times New Roman"/>
          <w:b/>
          <w:bCs/>
          <w:szCs w:val="24"/>
        </w:rPr>
        <w:t>)(</w:t>
      </w:r>
      <w:r w:rsidR="002122D1" w:rsidRPr="00D63B51">
        <w:rPr>
          <w:rFonts w:cs="Times New Roman"/>
          <w:b/>
          <w:bCs/>
          <w:szCs w:val="24"/>
        </w:rPr>
        <w:t>i</w:t>
      </w:r>
      <w:r w:rsidR="00B154C0" w:rsidRPr="00D63B51">
        <w:rPr>
          <w:rFonts w:cs="Times New Roman"/>
          <w:b/>
          <w:bCs/>
          <w:szCs w:val="24"/>
        </w:rPr>
        <w:t>v</w:t>
      </w:r>
      <w:r w:rsidRPr="00D63B51">
        <w:rPr>
          <w:rFonts w:cs="Times New Roman"/>
          <w:b/>
          <w:bCs/>
          <w:szCs w:val="24"/>
        </w:rPr>
        <w:t>):</w:t>
      </w:r>
      <w:r w:rsidRPr="00D63B51">
        <w:rPr>
          <w:rFonts w:cs="Times New Roman"/>
          <w:szCs w:val="24"/>
        </w:rPr>
        <w:t xml:space="preserve"> </w:t>
      </w:r>
      <w:r w:rsidRPr="00D63B51">
        <w:t xml:space="preserve">The court should reappoint special masters annually and provide an opportunity to the lawyers in the MDL to comment on their performance. Permanent No. </w:t>
      </w:r>
      <w:r w:rsidRPr="00D63B51">
        <w:rPr>
          <w:rFonts w:cs="Times New Roman"/>
          <w:szCs w:val="24"/>
        </w:rPr>
        <w:t>MDL-§ 15</w:t>
      </w:r>
      <w:r w:rsidRPr="00D63B51">
        <w:t>(f)(ii).</w:t>
      </w:r>
    </w:p>
    <w:p w14:paraId="69620E6C" w14:textId="77777777" w:rsidR="006866B0" w:rsidRPr="00D63B51" w:rsidRDefault="006866B0" w:rsidP="006866B0">
      <w:pPr>
        <w:pStyle w:val="NoSpacing"/>
        <w:ind w:left="720" w:right="720"/>
        <w:jc w:val="both"/>
        <w:rPr>
          <w:rFonts w:cs="Times New Roman"/>
          <w:szCs w:val="24"/>
        </w:rPr>
      </w:pPr>
    </w:p>
    <w:p w14:paraId="71D02943" w14:textId="77777777" w:rsidR="006866B0" w:rsidRPr="00D63B51" w:rsidRDefault="006866B0" w:rsidP="006866B0">
      <w:pPr>
        <w:spacing w:line="360" w:lineRule="auto"/>
        <w:ind w:firstLine="720"/>
        <w:jc w:val="both"/>
        <w:rPr>
          <w:rFonts w:cs="Times New Roman"/>
        </w:rPr>
      </w:pPr>
      <w:r w:rsidRPr="00D63B51">
        <w:rPr>
          <w:rFonts w:cs="Times New Roman"/>
        </w:rPr>
        <w:t xml:space="preserve">Circumstances often change during the life of an MDL, and the reasons for appointing a particular special master may no longer apply. Similar to annual reappointments of leadership counsel, annual reappointment of special masters can ensure that designated special masters continue to fit the needs of the MDL. The court should invite comments from counsel on the performance of the special master as part of the reappointment process. </w:t>
      </w:r>
    </w:p>
    <w:p w14:paraId="29A8DE2D" w14:textId="51379CC5" w:rsidR="00F62B2D" w:rsidRPr="00D63B51" w:rsidRDefault="00F62B2D" w:rsidP="00F62B2D">
      <w:pPr>
        <w:pStyle w:val="NoSpacing"/>
        <w:ind w:left="720" w:right="720"/>
        <w:jc w:val="both"/>
      </w:pPr>
      <w:r w:rsidRPr="00D63B51">
        <w:rPr>
          <w:b/>
          <w:bCs/>
        </w:rPr>
        <w:t xml:space="preserve">Best Practice </w:t>
      </w:r>
      <w:r w:rsidRPr="00D63B51">
        <w:rPr>
          <w:rFonts w:cs="Times New Roman"/>
          <w:b/>
          <w:bCs/>
          <w:szCs w:val="24"/>
        </w:rPr>
        <w:t>MDL-§</w:t>
      </w:r>
      <w:r w:rsidR="003B509C" w:rsidRPr="00D63B51">
        <w:rPr>
          <w:rFonts w:cs="Times New Roman"/>
          <w:b/>
          <w:bCs/>
          <w:szCs w:val="24"/>
        </w:rPr>
        <w:t>10(c)</w:t>
      </w:r>
      <w:r w:rsidRPr="00D63B51">
        <w:rPr>
          <w:b/>
          <w:bCs/>
        </w:rPr>
        <w:t>:</w:t>
      </w:r>
      <w:r w:rsidRPr="00D63B51">
        <w:t xml:space="preserve"> </w:t>
      </w:r>
      <w:bookmarkStart w:id="35" w:name="_Hlk166522826"/>
      <w:r w:rsidRPr="00D63B51">
        <w:rPr>
          <w:rFonts w:cs="Times New Roman"/>
          <w:szCs w:val="24"/>
        </w:rPr>
        <w:t xml:space="preserve">To facilitate the MDL’s resolution, the </w:t>
      </w:r>
      <w:bookmarkEnd w:id="35"/>
      <w:r w:rsidRPr="00D63B51">
        <w:rPr>
          <w:rFonts w:cs="Times New Roman"/>
          <w:szCs w:val="24"/>
        </w:rPr>
        <w:t xml:space="preserve">parties should consider suggesting that the court set a deadline on filing tag-along actions as well as a deadline for settlement negotiations, remanding all actions not otherwise disposed of when the deadline expires. </w:t>
      </w:r>
      <w:r w:rsidRPr="00D63B51">
        <w:t xml:space="preserve"> Permanent No. </w:t>
      </w:r>
      <w:r w:rsidRPr="00D63B51">
        <w:rPr>
          <w:rFonts w:cs="Times New Roman"/>
          <w:szCs w:val="24"/>
        </w:rPr>
        <w:t>MDL-§ 15</w:t>
      </w:r>
      <w:r w:rsidRPr="00D63B51">
        <w:t xml:space="preserve">(d)(iv). </w:t>
      </w:r>
      <w:bookmarkEnd w:id="34"/>
    </w:p>
    <w:p w14:paraId="4E6038CB" w14:textId="77777777" w:rsidR="00F62B2D" w:rsidRPr="00D63B51" w:rsidRDefault="00F62B2D" w:rsidP="00F62B2D">
      <w:pPr>
        <w:pStyle w:val="NoSpacing"/>
        <w:ind w:left="720" w:right="720"/>
        <w:jc w:val="both"/>
        <w:rPr>
          <w:rFonts w:cs="Times New Roman"/>
          <w:szCs w:val="24"/>
        </w:rPr>
      </w:pPr>
    </w:p>
    <w:p w14:paraId="5C6F926B" w14:textId="77777777" w:rsidR="00F62B2D" w:rsidRPr="00D63B51" w:rsidRDefault="00F62B2D" w:rsidP="00F62B2D">
      <w:pPr>
        <w:spacing w:line="360" w:lineRule="auto"/>
        <w:ind w:firstLine="720"/>
        <w:jc w:val="both"/>
        <w:rPr>
          <w:rFonts w:cs="Times New Roman"/>
        </w:rPr>
      </w:pPr>
      <w:r w:rsidRPr="00D63B51">
        <w:rPr>
          <w:rFonts w:cs="Times New Roman"/>
        </w:rPr>
        <w:t>New actions are continuously filed throughout the life of many mass-tort MDLs.  In a study of 15 such mass-tort MDLs, less than one-half of the total actions were filed in the first three years of the MDL, when general-causation discovery often has been addressed and virtually completed.</w:t>
      </w:r>
      <w:r w:rsidRPr="00D63B51">
        <w:rPr>
          <w:rStyle w:val="FootnoteReference"/>
          <w:rFonts w:cs="Times New Roman"/>
        </w:rPr>
        <w:footnoteReference w:id="270"/>
      </w:r>
      <w:r w:rsidRPr="00D63B51">
        <w:rPr>
          <w:rFonts w:cs="Times New Roman"/>
        </w:rPr>
        <w:t xml:space="preserve">  Actions filed five or six years into the MDL’s life may, or may not, require adjustments or additional general-causation discovery. Although adding new actions may enhance the comprehensive effect of the MDL in disposing of cases, it likely will add more time to the disposition process.  And every year added to the life of an MDL compounds the difficulty in resolving actions because of the added body of work generated by new cases, which requires further study and analysis.  </w:t>
      </w:r>
    </w:p>
    <w:p w14:paraId="3F51086F" w14:textId="77777777" w:rsidR="00F62B2D" w:rsidRPr="00D63B51" w:rsidRDefault="00F62B2D" w:rsidP="00F62B2D">
      <w:pPr>
        <w:spacing w:line="360" w:lineRule="auto"/>
        <w:ind w:firstLine="720"/>
        <w:jc w:val="both"/>
        <w:rPr>
          <w:rFonts w:cs="Times New Roman"/>
        </w:rPr>
      </w:pPr>
      <w:r w:rsidRPr="00D63B51">
        <w:rPr>
          <w:rFonts w:cs="Times New Roman"/>
        </w:rPr>
        <w:t>The parties should suggest, or the court should request the parties to consider suggesting a deadline for new tag-along actions to be filed</w:t>
      </w:r>
      <w:r w:rsidRPr="00D63B51">
        <w:rPr>
          <w:rFonts w:cs="Times New Roman"/>
          <w:i/>
          <w:iCs/>
        </w:rPr>
        <w:t>, e.g</w:t>
      </w:r>
      <w:r w:rsidRPr="00D63B51">
        <w:rPr>
          <w:rFonts w:cs="Times New Roman"/>
        </w:rPr>
        <w:t xml:space="preserve">., four or five years after the original </w:t>
      </w:r>
      <w:r w:rsidRPr="00D63B51">
        <w:rPr>
          <w:rFonts w:cs="Times New Roman"/>
        </w:rPr>
        <w:lastRenderedPageBreak/>
        <w:t>centralization.</w:t>
      </w:r>
      <w:r w:rsidRPr="00D63B51">
        <w:rPr>
          <w:rStyle w:val="FootnoteReference"/>
          <w:rFonts w:cs="Times New Roman"/>
        </w:rPr>
        <w:footnoteReference w:id="271"/>
      </w:r>
      <w:r w:rsidRPr="00D63B51">
        <w:rPr>
          <w:rFonts w:cs="Times New Roman"/>
        </w:rPr>
        <w:t xml:space="preserve">  Following the expiration of the deadline, new actions would not be consolidated with the MDL.  The litigants in those cases could take advantage of the general-causation discovery and pretrial rulings in the MDL, which often are made available to courts that receive remanded actions.  </w:t>
      </w:r>
    </w:p>
    <w:p w14:paraId="22BD63F1" w14:textId="13E4B1F5" w:rsidR="00F62B2D" w:rsidRPr="00D63B51" w:rsidRDefault="00F62B2D" w:rsidP="00F62B2D">
      <w:pPr>
        <w:spacing w:line="360" w:lineRule="auto"/>
        <w:ind w:firstLine="720"/>
        <w:jc w:val="both"/>
        <w:rPr>
          <w:sz w:val="20"/>
          <w:szCs w:val="20"/>
        </w:rPr>
      </w:pPr>
      <w:r w:rsidRPr="00D63B51">
        <w:rPr>
          <w:rFonts w:cs="Times New Roman"/>
        </w:rPr>
        <w:t>The parties should also suggest, or the court should request the parties to consider suggesting setting a fixed, firm deadline for settlement negotiations to end when further negotiation seems unlikely to succeed and remand all such unresolved actions.  It is axiomatic that setting an early firm trial date has the biggest effect on reducing time to disposition.</w:t>
      </w:r>
      <w:r w:rsidRPr="00D63B51">
        <w:rPr>
          <w:rStyle w:val="FootnoteReference"/>
          <w:rFonts w:cs="Times New Roman"/>
        </w:rPr>
        <w:footnoteReference w:id="272"/>
      </w:r>
      <w:r w:rsidRPr="00D63B51">
        <w:rPr>
          <w:rFonts w:cs="Times New Roman"/>
        </w:rPr>
        <w:t xml:space="preserve"> Setting a firm deadline and remanding unresolved cases in a mass-tort MDL accomplishes the same goal as setting a firm trial date.</w:t>
      </w:r>
      <w:r w:rsidRPr="00D63B51">
        <w:rPr>
          <w:rStyle w:val="FootnoteReference"/>
          <w:rFonts w:cs="Times New Roman"/>
        </w:rPr>
        <w:footnoteReference w:id="273"/>
      </w:r>
    </w:p>
    <w:p w14:paraId="3B84406B" w14:textId="29111FCD" w:rsidR="00F62B2D" w:rsidRPr="00D63B51" w:rsidRDefault="00F62B2D" w:rsidP="00AD33CC">
      <w:pPr>
        <w:ind w:right="720"/>
        <w:jc w:val="both"/>
        <w:rPr>
          <w:b/>
          <w:bCs/>
        </w:rPr>
      </w:pPr>
      <w:r w:rsidRPr="00D63B51">
        <w:rPr>
          <w:b/>
          <w:bCs/>
          <w:u w:val="single"/>
        </w:rPr>
        <w:t xml:space="preserve">GUIDELINE </w:t>
      </w:r>
      <w:r w:rsidRPr="00D63B51">
        <w:rPr>
          <w:rFonts w:cs="Times New Roman"/>
          <w:b/>
          <w:bCs/>
          <w:u w:val="single"/>
        </w:rPr>
        <w:t>MDL-§ 1</w:t>
      </w:r>
      <w:r w:rsidR="003B145A" w:rsidRPr="00D63B51">
        <w:rPr>
          <w:rFonts w:cs="Times New Roman"/>
          <w:b/>
          <w:bCs/>
          <w:u w:val="single"/>
        </w:rPr>
        <w:t>1</w:t>
      </w:r>
      <w:r w:rsidRPr="00D63B51">
        <w:t xml:space="preserve">: Under Rule 16.1(b)(4), the parties may include any other matter not listed in the rule in the report to the court. Permanent No. </w:t>
      </w:r>
      <w:r w:rsidRPr="00D63B51">
        <w:rPr>
          <w:rFonts w:cs="Times New Roman"/>
        </w:rPr>
        <w:t>MDL-§ 16</w:t>
      </w:r>
      <w:r w:rsidRPr="00D63B51">
        <w:t>.</w:t>
      </w:r>
    </w:p>
    <w:p w14:paraId="5BA80B2E" w14:textId="77777777" w:rsidR="00F62B2D" w:rsidRPr="00D63B51" w:rsidRDefault="00F62B2D" w:rsidP="00F62B2D">
      <w:pPr>
        <w:pStyle w:val="NoSpacing"/>
        <w:ind w:left="720" w:right="720"/>
        <w:jc w:val="both"/>
      </w:pPr>
    </w:p>
    <w:p w14:paraId="58C1DA65" w14:textId="77777777" w:rsidR="00F62B2D" w:rsidRPr="00D63B51" w:rsidRDefault="00F62B2D" w:rsidP="00F62B2D">
      <w:pPr>
        <w:spacing w:line="360" w:lineRule="auto"/>
        <w:ind w:firstLine="720"/>
        <w:contextualSpacing/>
        <w:jc w:val="both"/>
        <w:rPr>
          <w:rFonts w:cs="Times New Roman"/>
        </w:rPr>
      </w:pPr>
      <w:r w:rsidRPr="00D63B51">
        <w:rPr>
          <w:rFonts w:cs="Times New Roman"/>
          <w:kern w:val="2"/>
          <w14:ligatures w14:val="standardContextual"/>
        </w:rPr>
        <w:t xml:space="preserve">Rule 16.1 (b)(2) and (3) list certain case-management topics that might be useful to discuss at the initial-management conference, particularly in some large MDLs, but subdivision (b)(4) expressly provides discretion to the court and the parties to address other topics. </w:t>
      </w:r>
      <w:r w:rsidRPr="00D63B51">
        <w:rPr>
          <w:rFonts w:cs="Times New Roman"/>
        </w:rPr>
        <w:t xml:space="preserve">The </w:t>
      </w:r>
      <w:r w:rsidRPr="00D63B51">
        <w:rPr>
          <w:rFonts w:cs="Times New Roman"/>
          <w:smallCaps/>
        </w:rPr>
        <w:t xml:space="preserve">Manual for Complex Litigation </w:t>
      </w:r>
      <w:r w:rsidRPr="00D63B51">
        <w:rPr>
          <w:rFonts w:cs="Times New Roman"/>
        </w:rPr>
        <w:t>(4</w:t>
      </w:r>
      <w:r w:rsidRPr="00D63B51">
        <w:rPr>
          <w:rFonts w:cs="Times New Roman"/>
          <w:vertAlign w:val="superscript"/>
        </w:rPr>
        <w:t>th</w:t>
      </w:r>
      <w:r w:rsidRPr="00D63B51">
        <w:rPr>
          <w:rFonts w:cs="Times New Roman"/>
        </w:rPr>
        <w:t xml:space="preserve"> Ed.), Rule 16, and case-management orders in mass-tort MDLs, identify topics for the initial-management conference that Rule 16.1 omits, even though they have been routinely addressed in mass-tort MDLs.  </w:t>
      </w:r>
    </w:p>
    <w:p w14:paraId="1FE44A1B" w14:textId="79B63EBA" w:rsidR="00F62B2D" w:rsidRPr="00D63B51" w:rsidRDefault="00F62B2D" w:rsidP="00F62B2D">
      <w:pPr>
        <w:pStyle w:val="NoSpacing"/>
        <w:ind w:left="720" w:right="720"/>
        <w:jc w:val="both"/>
      </w:pPr>
      <w:r w:rsidRPr="00D63B51">
        <w:rPr>
          <w:rFonts w:cs="Times New Roman"/>
          <w:b/>
          <w:bCs/>
          <w:szCs w:val="24"/>
        </w:rPr>
        <w:t>Best Practice MDL-§ 1</w:t>
      </w:r>
      <w:r w:rsidR="00EF07D9" w:rsidRPr="00D63B51">
        <w:rPr>
          <w:rFonts w:cs="Times New Roman"/>
          <w:b/>
          <w:bCs/>
          <w:szCs w:val="24"/>
        </w:rPr>
        <w:t>1</w:t>
      </w:r>
      <w:r w:rsidRPr="00D63B51">
        <w:rPr>
          <w:rFonts w:cs="Times New Roman"/>
          <w:b/>
          <w:bCs/>
          <w:szCs w:val="24"/>
        </w:rPr>
        <w:t>(a):</w:t>
      </w:r>
      <w:r w:rsidRPr="00D63B51">
        <w:t xml:space="preserve"> The transferee judge should advise the parties that it expects them to familiarize themselves with the case-management topics not only in Rule 16.1, but also in Rule 16 and the </w:t>
      </w:r>
      <w:r w:rsidRPr="00D63B51">
        <w:rPr>
          <w:smallCaps/>
        </w:rPr>
        <w:t>Manual for Complex Litigation</w:t>
      </w:r>
      <w:r w:rsidRPr="00D63B51">
        <w:t xml:space="preserve">, particularly the items in </w:t>
      </w:r>
      <w:r w:rsidRPr="00D63B51">
        <w:rPr>
          <w:rFonts w:cs="Times New Roman"/>
        </w:rPr>
        <w:t xml:space="preserve">§§ </w:t>
      </w:r>
      <w:r w:rsidRPr="00D63B51">
        <w:t xml:space="preserve">22.6 </w:t>
      </w:r>
      <w:r w:rsidRPr="00D63B51">
        <w:rPr>
          <w:i/>
          <w:iCs/>
        </w:rPr>
        <w:t>et. seq</w:t>
      </w:r>
      <w:r w:rsidRPr="00D63B51">
        <w:t xml:space="preserve">., which MDL courts have regularly requested the parties to consider, and to raise pertinent ones in the report.  Permanent No. </w:t>
      </w:r>
      <w:r w:rsidRPr="00D63B51">
        <w:rPr>
          <w:rFonts w:cs="Times New Roman"/>
          <w:szCs w:val="24"/>
        </w:rPr>
        <w:t>MDL-§ 16</w:t>
      </w:r>
      <w:r w:rsidRPr="00D63B51">
        <w:t>(a).</w:t>
      </w:r>
    </w:p>
    <w:p w14:paraId="13FBB97D" w14:textId="77777777" w:rsidR="00F62B2D" w:rsidRPr="00D63B51" w:rsidRDefault="00F62B2D" w:rsidP="00F62B2D">
      <w:pPr>
        <w:pStyle w:val="NoSpacing"/>
        <w:ind w:left="720" w:right="720"/>
        <w:jc w:val="both"/>
        <w:rPr>
          <w:rFonts w:cs="Times New Roman"/>
          <w:b/>
          <w:bCs/>
        </w:rPr>
      </w:pPr>
    </w:p>
    <w:p w14:paraId="3B07B56B" w14:textId="77777777" w:rsidR="00F62B2D" w:rsidRPr="00D63B51" w:rsidRDefault="00F62B2D" w:rsidP="00F62B2D">
      <w:pPr>
        <w:spacing w:line="360" w:lineRule="auto"/>
        <w:ind w:firstLine="720"/>
        <w:contextualSpacing/>
        <w:jc w:val="both"/>
        <w:rPr>
          <w:rFonts w:cs="Times New Roman"/>
        </w:rPr>
      </w:pPr>
      <w:r w:rsidRPr="00D63B51">
        <w:rPr>
          <w:rFonts w:cs="Times New Roman"/>
          <w:kern w:val="2"/>
          <w14:ligatures w14:val="standardContextual"/>
        </w:rPr>
        <w:t xml:space="preserve">The court should be mindful that parties are likely </w:t>
      </w:r>
      <w:r w:rsidRPr="00D63B51">
        <w:rPr>
          <w:rFonts w:cs="Times New Roman"/>
        </w:rPr>
        <w:t>to focus with the passage of time solely on topics listed in Rule 16.1(b)(2) and (3), overlooking many topics that were traditionally raised in mass-tort MDLs and which might be pertinent under the specific circumstances of the case.   In addition to addressing the Rule 16.1(b)(2) and (3) topics, the parties should also consider raising topics that courts have traditionally addressed in many mass-tort MDLs, which they believe would assist the court in effectively managing the litigation.</w:t>
      </w:r>
      <w:r w:rsidRPr="00D63B51">
        <w:rPr>
          <w:rStyle w:val="FootnoteReference"/>
          <w:rFonts w:cs="Times New Roman"/>
        </w:rPr>
        <w:footnoteReference w:id="274"/>
      </w:r>
      <w:r w:rsidRPr="00D63B51">
        <w:rPr>
          <w:rFonts w:cs="Times New Roman"/>
        </w:rPr>
        <w:t xml:space="preserve">  The parties should explain the topics when appropriate and highlight benefits, drawbacks, and hidden problems and concerns.</w:t>
      </w:r>
    </w:p>
    <w:p w14:paraId="31C7AEE0" w14:textId="77777777" w:rsidR="00F62B2D" w:rsidRPr="00D63B51" w:rsidRDefault="00F62B2D" w:rsidP="00F62B2D">
      <w:pPr>
        <w:spacing w:line="360" w:lineRule="auto"/>
        <w:ind w:firstLine="720"/>
        <w:jc w:val="both"/>
        <w:rPr>
          <w:rFonts w:eastAsia="Times New Roman" w:cs="Times New Roman"/>
        </w:rPr>
      </w:pPr>
      <w:r w:rsidRPr="00D63B51">
        <w:rPr>
          <w:rFonts w:cs="Times New Roman"/>
        </w:rPr>
        <w:t xml:space="preserve">The </w:t>
      </w:r>
      <w:r w:rsidRPr="00D63B51">
        <w:rPr>
          <w:rFonts w:eastAsia="Times New Roman" w:cs="Times New Roman"/>
        </w:rPr>
        <w:t>parties may address their initial views</w:t>
      </w:r>
      <w:r w:rsidRPr="00D63B51">
        <w:rPr>
          <w:rFonts w:cs="Times New Roman"/>
        </w:rPr>
        <w:t xml:space="preserve"> on topics contained in the </w:t>
      </w:r>
      <w:r w:rsidRPr="00D63B51">
        <w:rPr>
          <w:rFonts w:eastAsia="Times New Roman" w:cs="Times New Roman"/>
          <w:smallCaps/>
        </w:rPr>
        <w:t>Manual for Complex Litigation</w:t>
      </w:r>
      <w:r w:rsidRPr="00D63B51">
        <w:rPr>
          <w:rFonts w:eastAsia="Times New Roman" w:cs="Times New Roman"/>
        </w:rPr>
        <w:t>, Rule 16, and MDL case-management orders, which are not expressly listed in Rule 16.1, for consideration at the initial-management conference, including:</w:t>
      </w:r>
    </w:p>
    <w:p w14:paraId="548C9B85" w14:textId="77777777" w:rsidR="00F62B2D" w:rsidRPr="00D63B51" w:rsidRDefault="00F62B2D" w:rsidP="00F62B2D">
      <w:pPr>
        <w:pStyle w:val="NoSpacing"/>
        <w:numPr>
          <w:ilvl w:val="0"/>
          <w:numId w:val="18"/>
        </w:numPr>
      </w:pPr>
      <w:r w:rsidRPr="00D63B51">
        <w:t>Maintaining and updating a service list</w:t>
      </w:r>
    </w:p>
    <w:p w14:paraId="3137167B" w14:textId="77777777" w:rsidR="00F62B2D" w:rsidRPr="00D63B51" w:rsidRDefault="00F62B2D" w:rsidP="00F62B2D">
      <w:pPr>
        <w:pStyle w:val="NoSpacing"/>
        <w:numPr>
          <w:ilvl w:val="0"/>
          <w:numId w:val="18"/>
        </w:numPr>
      </w:pPr>
      <w:r w:rsidRPr="00D63B51">
        <w:t>Maintaining and updating parties’ corporate disclosure statements</w:t>
      </w:r>
    </w:p>
    <w:p w14:paraId="29664C5E" w14:textId="77777777" w:rsidR="00F62B2D" w:rsidRPr="00D63B51" w:rsidRDefault="00F62B2D" w:rsidP="00F62B2D">
      <w:pPr>
        <w:pStyle w:val="NoSpacing"/>
        <w:numPr>
          <w:ilvl w:val="0"/>
          <w:numId w:val="18"/>
        </w:numPr>
      </w:pPr>
      <w:r w:rsidRPr="00D63B51">
        <w:t>Evidence preservation</w:t>
      </w:r>
    </w:p>
    <w:p w14:paraId="548C8A43" w14:textId="77777777" w:rsidR="00F62B2D" w:rsidRPr="00D63B51" w:rsidRDefault="00F62B2D" w:rsidP="00F62B2D">
      <w:pPr>
        <w:pStyle w:val="NoSpacing"/>
        <w:numPr>
          <w:ilvl w:val="0"/>
          <w:numId w:val="18"/>
        </w:numPr>
      </w:pPr>
      <w:r w:rsidRPr="00D63B51">
        <w:t>Shared online-exchange information platform</w:t>
      </w:r>
    </w:p>
    <w:p w14:paraId="2EA11D8F" w14:textId="77777777" w:rsidR="00F62B2D" w:rsidRPr="00D63B51" w:rsidRDefault="00F62B2D" w:rsidP="00F62B2D">
      <w:pPr>
        <w:pStyle w:val="NoSpacing"/>
        <w:numPr>
          <w:ilvl w:val="0"/>
          <w:numId w:val="18"/>
        </w:numPr>
      </w:pPr>
      <w:r w:rsidRPr="00D63B51">
        <w:rPr>
          <w:rFonts w:eastAsia="Times New Roman"/>
        </w:rPr>
        <w:t>Selection of claims administrator to process claims and facilitate and expedite later lien reconciliation claims </w:t>
      </w:r>
    </w:p>
    <w:p w14:paraId="75F7BC08" w14:textId="77777777" w:rsidR="00F62B2D" w:rsidRPr="00D63B51" w:rsidRDefault="00F62B2D" w:rsidP="00F62B2D">
      <w:pPr>
        <w:pStyle w:val="NoSpacing"/>
        <w:numPr>
          <w:ilvl w:val="0"/>
          <w:numId w:val="18"/>
        </w:numPr>
      </w:pPr>
      <w:r w:rsidRPr="00D63B51">
        <w:rPr>
          <w:i/>
          <w:iCs/>
        </w:rPr>
        <w:t>Lexicon</w:t>
      </w:r>
      <w:r w:rsidRPr="00D63B51">
        <w:t xml:space="preserve"> waivers</w:t>
      </w:r>
    </w:p>
    <w:p w14:paraId="3BF56AE1" w14:textId="77777777" w:rsidR="00F62B2D" w:rsidRPr="00D63B51" w:rsidRDefault="00F62B2D" w:rsidP="00F62B2D">
      <w:pPr>
        <w:pStyle w:val="NoSpacing"/>
        <w:numPr>
          <w:ilvl w:val="0"/>
          <w:numId w:val="18"/>
        </w:numPr>
      </w:pPr>
      <w:r w:rsidRPr="00D63B51">
        <w:t>Consideration of types of remand issues that are expected to be filed</w:t>
      </w:r>
    </w:p>
    <w:p w14:paraId="511209D6" w14:textId="77777777" w:rsidR="00F62B2D" w:rsidRPr="00D63B51" w:rsidRDefault="00F62B2D" w:rsidP="00F62B2D">
      <w:pPr>
        <w:pStyle w:val="NoSpacing"/>
        <w:numPr>
          <w:ilvl w:val="0"/>
          <w:numId w:val="18"/>
        </w:numPr>
      </w:pPr>
      <w:r w:rsidRPr="00D63B51">
        <w:rPr>
          <w:rFonts w:eastAsia="Times New Roman"/>
        </w:rPr>
        <w:t>Categorizing and establishing criteria for remanding actions</w:t>
      </w:r>
    </w:p>
    <w:p w14:paraId="3C103740" w14:textId="77777777" w:rsidR="00F62B2D" w:rsidRPr="00D63B51" w:rsidRDefault="00F62B2D" w:rsidP="00F62B2D">
      <w:pPr>
        <w:pStyle w:val="NoSpacing"/>
        <w:numPr>
          <w:ilvl w:val="0"/>
          <w:numId w:val="18"/>
        </w:numPr>
      </w:pPr>
      <w:r w:rsidRPr="00D63B51">
        <w:rPr>
          <w:rFonts w:eastAsia="Times New Roman"/>
        </w:rPr>
        <w:t>Outlining Evidence Rule 702 motion practice, “science tutorial day,” and pretrial filings</w:t>
      </w:r>
    </w:p>
    <w:p w14:paraId="55246A4A" w14:textId="77777777" w:rsidR="00F62B2D" w:rsidRPr="00D63B51" w:rsidRDefault="00F62B2D" w:rsidP="00F62B2D">
      <w:pPr>
        <w:pStyle w:val="NoSpacing"/>
        <w:numPr>
          <w:ilvl w:val="0"/>
          <w:numId w:val="18"/>
        </w:numPr>
      </w:pPr>
      <w:r w:rsidRPr="00D63B51">
        <w:t>Consideration of class-action allegations and motions</w:t>
      </w:r>
    </w:p>
    <w:p w14:paraId="710E8321" w14:textId="77777777" w:rsidR="00F62B2D" w:rsidRPr="00D63B51" w:rsidRDefault="00F62B2D" w:rsidP="00F62B2D">
      <w:pPr>
        <w:pStyle w:val="NoSpacing"/>
        <w:numPr>
          <w:ilvl w:val="0"/>
          <w:numId w:val="18"/>
        </w:numPr>
      </w:pPr>
      <w:r w:rsidRPr="00D63B51">
        <w:t>Mode of trial</w:t>
      </w:r>
    </w:p>
    <w:p w14:paraId="54C9788E" w14:textId="77777777" w:rsidR="00F62B2D" w:rsidRPr="00D63B51" w:rsidRDefault="00F62B2D" w:rsidP="00F62B2D">
      <w:pPr>
        <w:pStyle w:val="NoSpacing"/>
        <w:numPr>
          <w:ilvl w:val="0"/>
          <w:numId w:val="18"/>
        </w:numPr>
        <w:rPr>
          <w:rFonts w:eastAsia="Times New Roman"/>
        </w:rPr>
      </w:pPr>
      <w:r w:rsidRPr="00D63B51">
        <w:rPr>
          <w:rFonts w:eastAsia="Times New Roman"/>
        </w:rPr>
        <w:t>Developing a trial package for transferor courts in the event of a remand</w:t>
      </w:r>
      <w:r w:rsidRPr="00D63B51">
        <w:rPr>
          <w:rStyle w:val="FootnoteReference"/>
          <w:rFonts w:eastAsia="Times New Roman"/>
        </w:rPr>
        <w:footnoteReference w:id="275"/>
      </w:r>
      <w:r w:rsidRPr="00D63B51">
        <w:rPr>
          <w:rFonts w:eastAsia="Times New Roman"/>
        </w:rPr>
        <w:t>  </w:t>
      </w:r>
    </w:p>
    <w:p w14:paraId="5022CB42" w14:textId="77777777" w:rsidR="00F62B2D" w:rsidRPr="00D63B51" w:rsidRDefault="00F62B2D" w:rsidP="00F62B2D">
      <w:pPr>
        <w:pStyle w:val="NoSpacing"/>
        <w:ind w:left="720" w:right="720"/>
        <w:jc w:val="both"/>
        <w:rPr>
          <w:b/>
          <w:bCs/>
        </w:rPr>
      </w:pPr>
    </w:p>
    <w:p w14:paraId="61DC7D7D" w14:textId="69C33A30" w:rsidR="00F62B2D" w:rsidRPr="00D63B51" w:rsidRDefault="00F62B2D" w:rsidP="00782E99">
      <w:pPr>
        <w:pStyle w:val="NoSpacing"/>
        <w:jc w:val="both"/>
      </w:pPr>
      <w:bookmarkStart w:id="36" w:name="_Hlk181013391"/>
      <w:r w:rsidRPr="00D63B51">
        <w:rPr>
          <w:b/>
          <w:bCs/>
          <w:u w:val="single"/>
        </w:rPr>
        <w:t xml:space="preserve">GUIDELINE </w:t>
      </w:r>
      <w:r w:rsidRPr="00D63B51">
        <w:rPr>
          <w:rFonts w:cs="Times New Roman"/>
          <w:b/>
          <w:bCs/>
          <w:szCs w:val="24"/>
          <w:u w:val="single"/>
        </w:rPr>
        <w:t>MDL-§ 1</w:t>
      </w:r>
      <w:r w:rsidR="00EF07D9" w:rsidRPr="00D63B51">
        <w:rPr>
          <w:rFonts w:cs="Times New Roman"/>
          <w:b/>
          <w:bCs/>
          <w:szCs w:val="24"/>
          <w:u w:val="single"/>
        </w:rPr>
        <w:t>2</w:t>
      </w:r>
      <w:r w:rsidRPr="00D63B51">
        <w:rPr>
          <w:b/>
          <w:bCs/>
        </w:rPr>
        <w:t>:</w:t>
      </w:r>
      <w:r w:rsidRPr="00D63B51">
        <w:t xml:space="preserve"> An initial-management order addresses matters discussed at the initial-management conference. Permanent No. </w:t>
      </w:r>
      <w:r w:rsidRPr="00D63B51">
        <w:rPr>
          <w:rFonts w:cs="Times New Roman"/>
          <w:szCs w:val="24"/>
        </w:rPr>
        <w:t xml:space="preserve">MDL-§ 17. </w:t>
      </w:r>
    </w:p>
    <w:bookmarkEnd w:id="36"/>
    <w:p w14:paraId="62C70E6F" w14:textId="77777777" w:rsidR="00F62B2D" w:rsidRPr="00D63B51" w:rsidRDefault="00F62B2D" w:rsidP="00F62B2D">
      <w:pPr>
        <w:pStyle w:val="NoSpacing"/>
        <w:ind w:right="720"/>
        <w:jc w:val="both"/>
      </w:pPr>
    </w:p>
    <w:p w14:paraId="098192FE" w14:textId="77777777" w:rsidR="00F62B2D" w:rsidRPr="00D63B51" w:rsidRDefault="00F62B2D" w:rsidP="00F62B2D">
      <w:pPr>
        <w:spacing w:line="360" w:lineRule="auto"/>
        <w:ind w:firstLine="720"/>
        <w:jc w:val="both"/>
        <w:rPr>
          <w:rFonts w:cs="Times New Roman"/>
        </w:rPr>
      </w:pPr>
      <w:r w:rsidRPr="00D63B51">
        <w:rPr>
          <w:rFonts w:cs="Times New Roman"/>
        </w:rPr>
        <w:t xml:space="preserve">The </w:t>
      </w:r>
      <w:r w:rsidRPr="00D63B51">
        <w:rPr>
          <w:rFonts w:cs="Times New Roman"/>
          <w:smallCaps/>
        </w:rPr>
        <w:t>Manual for Complex Litigation</w:t>
      </w:r>
      <w:r w:rsidRPr="00D63B51">
        <w:rPr>
          <w:rFonts w:cs="Times New Roman"/>
        </w:rPr>
        <w:t xml:space="preserve"> provides a good, though dated, exemplar in its Sample Orders section of an initial-management order in a mass-tort MDL.</w:t>
      </w:r>
      <w:r w:rsidRPr="00D63B51">
        <w:rPr>
          <w:rStyle w:val="FootnoteReference"/>
          <w:rFonts w:cs="Times New Roman"/>
        </w:rPr>
        <w:footnoteReference w:id="276"/>
      </w:r>
      <w:r w:rsidRPr="00D63B51">
        <w:rPr>
          <w:rFonts w:cs="Times New Roman"/>
        </w:rPr>
        <w:t xml:space="preserve"> What is noteworthy about the sample initial-management order is the lack of specificity in many provisions and the omission of some case-management topics listed in earlier sections. This is unsurprising because </w:t>
      </w:r>
      <w:r w:rsidRPr="00D63B51">
        <w:rPr>
          <w:rFonts w:cs="Times New Roman"/>
        </w:rPr>
        <w:lastRenderedPageBreak/>
        <w:t xml:space="preserve">mass-tort MDLs are so varied and circumstances constantly evolve, preventing a one-size-fits-all order.  </w:t>
      </w:r>
    </w:p>
    <w:p w14:paraId="4AF0C582" w14:textId="30758770" w:rsidR="00F62B2D" w:rsidRPr="00D63B51" w:rsidRDefault="00F62B2D" w:rsidP="00F62B2D">
      <w:pPr>
        <w:spacing w:line="360" w:lineRule="auto"/>
        <w:ind w:firstLine="720"/>
        <w:jc w:val="both"/>
        <w:rPr>
          <w:rFonts w:cs="Times New Roman"/>
        </w:rPr>
      </w:pPr>
      <w:r w:rsidRPr="00D63B51">
        <w:rPr>
          <w:rFonts w:cs="Times New Roman"/>
        </w:rPr>
        <w:t>One exception is the cross reference in the sample initial-management order to five separate discovery orders, many of which are detailed</w:t>
      </w:r>
      <w:r w:rsidR="007A6104" w:rsidRPr="00D63B51">
        <w:rPr>
          <w:rFonts w:cs="Times New Roman"/>
        </w:rPr>
        <w:t>,</w:t>
      </w:r>
      <w:r w:rsidRPr="00D63B51">
        <w:rPr>
          <w:rFonts w:cs="Times New Roman"/>
        </w:rPr>
        <w:t xml:space="preserve"> and address: (i) preservation; (ii) document depositories; (iii) confidentiality order; (iv) referral of privilege claims to special master; and (v) deposition guidelines.  </w:t>
      </w:r>
    </w:p>
    <w:p w14:paraId="11D5DEA7" w14:textId="150DDDA3" w:rsidR="00F62B2D" w:rsidRPr="00D63B51" w:rsidRDefault="00F62B2D" w:rsidP="00F62B2D">
      <w:pPr>
        <w:pStyle w:val="NoSpacing"/>
        <w:ind w:left="720" w:right="720"/>
        <w:jc w:val="both"/>
      </w:pPr>
      <w:bookmarkStart w:id="37" w:name="_Hlk124071633"/>
      <w:r w:rsidRPr="00D63B51">
        <w:rPr>
          <w:b/>
          <w:bCs/>
        </w:rPr>
        <w:t xml:space="preserve">Best Practice </w:t>
      </w:r>
      <w:r w:rsidRPr="00D63B51">
        <w:rPr>
          <w:rFonts w:cs="Times New Roman"/>
          <w:b/>
          <w:bCs/>
          <w:szCs w:val="24"/>
        </w:rPr>
        <w:t>MDL-§ 1</w:t>
      </w:r>
      <w:r w:rsidR="00EF07D9" w:rsidRPr="00D63B51">
        <w:rPr>
          <w:rFonts w:cs="Times New Roman"/>
          <w:b/>
          <w:bCs/>
          <w:szCs w:val="24"/>
        </w:rPr>
        <w:t>2</w:t>
      </w:r>
      <w:r w:rsidRPr="00D63B51">
        <w:rPr>
          <w:b/>
          <w:bCs/>
        </w:rPr>
        <w:t>(a</w:t>
      </w:r>
      <w:r w:rsidRPr="00D63B51">
        <w:t>)</w:t>
      </w:r>
      <w:bookmarkEnd w:id="37"/>
      <w:r w:rsidRPr="00D63B51">
        <w:t xml:space="preserve">: The transferee court should recite all actions taken on any of the case-management topics addressed at the initial-management conference in an initial case-management order, deferring action on topics that require more time, study, or input of leadership counsel, who may not have been appointed.  Permanent No. </w:t>
      </w:r>
      <w:r w:rsidRPr="00D63B51">
        <w:rPr>
          <w:rFonts w:cs="Times New Roman"/>
          <w:szCs w:val="24"/>
        </w:rPr>
        <w:t>MDL-§ 17</w:t>
      </w:r>
      <w:r w:rsidRPr="00D63B51">
        <w:t>(a).</w:t>
      </w:r>
    </w:p>
    <w:p w14:paraId="54CB58A6" w14:textId="77777777" w:rsidR="00F62B2D" w:rsidRPr="00D63B51" w:rsidRDefault="00F62B2D" w:rsidP="00F62B2D">
      <w:pPr>
        <w:pStyle w:val="NoSpacing"/>
        <w:ind w:left="720" w:right="720"/>
        <w:jc w:val="both"/>
        <w:rPr>
          <w:rFonts w:cs="Times New Roman"/>
          <w:szCs w:val="24"/>
        </w:rPr>
      </w:pPr>
    </w:p>
    <w:p w14:paraId="1814CA0C" w14:textId="77777777" w:rsidR="00F62B2D" w:rsidRPr="00D63B51" w:rsidRDefault="00F62B2D" w:rsidP="00F62B2D">
      <w:pPr>
        <w:spacing w:line="360" w:lineRule="auto"/>
        <w:ind w:firstLine="720"/>
        <w:jc w:val="both"/>
        <w:rPr>
          <w:rFonts w:cs="Times New Roman"/>
        </w:rPr>
      </w:pPr>
      <w:r w:rsidRPr="00D63B51">
        <w:rPr>
          <w:rFonts w:cs="Times New Roman"/>
        </w:rPr>
        <w:t>Under Rule 16.1(c), the transferee “court should enter an initial MDL management order addressing the matters in Rule 16.1(b)” as well as any other matters that the parties may wish to bring to the court’s attention.</w:t>
      </w:r>
      <w:r w:rsidRPr="00D63B51">
        <w:rPr>
          <w:rStyle w:val="FootnoteReference"/>
          <w:rFonts w:cs="Times New Roman"/>
        </w:rPr>
        <w:footnoteReference w:id="277"/>
      </w:r>
      <w:r w:rsidRPr="00D63B51">
        <w:rPr>
          <w:rFonts w:cs="Times New Roman"/>
        </w:rPr>
        <w:t xml:space="preserve"> There is no requirement to set specific time deadlines or any other scheduling provision in the order.</w:t>
      </w:r>
      <w:r w:rsidRPr="00D63B51">
        <w:rPr>
          <w:rStyle w:val="FootnoteReference"/>
          <w:rFonts w:cs="Times New Roman"/>
        </w:rPr>
        <w:footnoteReference w:id="278"/>
      </w:r>
      <w:r w:rsidRPr="00D63B51">
        <w:rPr>
          <w:rFonts w:cs="Times New Roman"/>
        </w:rPr>
        <w:t xml:space="preserve"> Nor is there a requirement to address every case-management topic discussed at the initial-management conference.  The court should defer final action on topics that require more time, study, or input of leadership counsel, who may not have been appointed.  </w:t>
      </w:r>
    </w:p>
    <w:p w14:paraId="7097FDDB" w14:textId="77777777" w:rsidR="00F62B2D" w:rsidRPr="00D63B51" w:rsidRDefault="00F62B2D" w:rsidP="00F62B2D">
      <w:pPr>
        <w:spacing w:line="360" w:lineRule="auto"/>
        <w:ind w:firstLine="720"/>
        <w:jc w:val="both"/>
        <w:rPr>
          <w:rFonts w:cs="Times New Roman"/>
        </w:rPr>
      </w:pPr>
      <w:r w:rsidRPr="00D63B51">
        <w:rPr>
          <w:rFonts w:cs="Times New Roman"/>
        </w:rPr>
        <w:t>An MDL initial case-management plan, “should be shaped by the needs of the particular litigation.”</w:t>
      </w:r>
      <w:r w:rsidRPr="00D63B51">
        <w:rPr>
          <w:rStyle w:val="FootnoteReference"/>
          <w:rFonts w:cs="Times New Roman"/>
        </w:rPr>
        <w:footnoteReference w:id="279"/>
      </w:r>
      <w:r w:rsidRPr="00D63B51">
        <w:rPr>
          <w:rFonts w:cs="Times New Roman"/>
        </w:rPr>
        <w:t xml:space="preserve"> Most MDL courts do not issue a single comprehensive case-management plan following the initial-management conference and instead issue a series of case-management orders, addressing the topics discussed at the conference when more information becomes available.  Transferee courts routinely modify their initial-management orders, especially if the initial-management conference was held before the judge appointed leadership.</w:t>
      </w:r>
    </w:p>
    <w:p w14:paraId="11F2B00D" w14:textId="5EAB8C7D" w:rsidR="00F62B2D" w:rsidRPr="00D63B51" w:rsidRDefault="00F62B2D" w:rsidP="00F62B2D">
      <w:pPr>
        <w:pStyle w:val="NoSpacing"/>
        <w:ind w:left="720" w:right="720"/>
        <w:jc w:val="both"/>
      </w:pPr>
      <w:r w:rsidRPr="00D63B51">
        <w:rPr>
          <w:b/>
          <w:bCs/>
        </w:rPr>
        <w:t xml:space="preserve">Best Practice </w:t>
      </w:r>
      <w:r w:rsidRPr="00D63B51">
        <w:rPr>
          <w:rFonts w:cs="Times New Roman"/>
          <w:b/>
          <w:bCs/>
          <w:szCs w:val="24"/>
        </w:rPr>
        <w:t>MDL-§ 1</w:t>
      </w:r>
      <w:r w:rsidR="00EF07D9" w:rsidRPr="00D63B51">
        <w:rPr>
          <w:rFonts w:cs="Times New Roman"/>
          <w:b/>
          <w:bCs/>
          <w:szCs w:val="24"/>
        </w:rPr>
        <w:t>2</w:t>
      </w:r>
      <w:r w:rsidRPr="00D63B51">
        <w:rPr>
          <w:b/>
          <w:bCs/>
        </w:rPr>
        <w:t>(b</w:t>
      </w:r>
      <w:r w:rsidRPr="00D63B51">
        <w:t xml:space="preserve">): The transferee court should consider issuing and updating a single comprehensive case-management plan in an outline format based on the discussion of the topics considered at the initial-management conference.  Permanent No. </w:t>
      </w:r>
      <w:r w:rsidRPr="00D63B51">
        <w:rPr>
          <w:rFonts w:cs="Times New Roman"/>
          <w:szCs w:val="24"/>
        </w:rPr>
        <w:t>MDL-§ 17</w:t>
      </w:r>
      <w:r w:rsidRPr="00D63B51">
        <w:t>(b).</w:t>
      </w:r>
    </w:p>
    <w:p w14:paraId="26588F02" w14:textId="77777777" w:rsidR="00F62B2D" w:rsidRPr="00D63B51" w:rsidRDefault="00F62B2D" w:rsidP="00F62B2D">
      <w:pPr>
        <w:pStyle w:val="NoSpacing"/>
        <w:ind w:left="720" w:right="720"/>
        <w:jc w:val="both"/>
      </w:pPr>
    </w:p>
    <w:p w14:paraId="2E73009E" w14:textId="77777777" w:rsidR="00F62B2D" w:rsidRPr="00D63B51" w:rsidRDefault="00F62B2D" w:rsidP="00F62B2D">
      <w:pPr>
        <w:spacing w:line="360" w:lineRule="auto"/>
        <w:ind w:firstLine="720"/>
        <w:jc w:val="both"/>
        <w:rPr>
          <w:rFonts w:cs="Times New Roman"/>
        </w:rPr>
      </w:pPr>
      <w:r w:rsidRPr="00D63B51">
        <w:rPr>
          <w:rFonts w:cs="Times New Roman"/>
        </w:rPr>
        <w:lastRenderedPageBreak/>
        <w:t xml:space="preserve">Some courts have used the initial case-management order to serve as a general roadmap of the case management of the MDL for the lawyers, which might better inform lawyers and parties, particularly those not in leadership. </w:t>
      </w:r>
    </w:p>
    <w:p w14:paraId="0CEB6C6B" w14:textId="77777777" w:rsidR="00F62B2D" w:rsidRPr="00D63B51" w:rsidRDefault="00F62B2D" w:rsidP="00F62B2D">
      <w:pPr>
        <w:ind w:left="720" w:right="720"/>
        <w:jc w:val="both"/>
        <w:rPr>
          <w:rFonts w:cs="Times New Roman"/>
          <w:b/>
          <w:u w:val="single"/>
        </w:rPr>
      </w:pPr>
    </w:p>
    <w:p w14:paraId="3EAAEF22" w14:textId="2540D101" w:rsidR="00F62B2D" w:rsidRPr="00D63B51" w:rsidRDefault="00F62B2D" w:rsidP="00EF07D9">
      <w:pPr>
        <w:jc w:val="both"/>
        <w:rPr>
          <w:rFonts w:cs="Times New Roman"/>
        </w:rPr>
      </w:pPr>
      <w:r w:rsidRPr="00D63B51">
        <w:rPr>
          <w:rFonts w:cs="Times New Roman"/>
          <w:b/>
          <w:u w:val="single"/>
        </w:rPr>
        <w:t>GUIDELINE MDL-</w:t>
      </w:r>
      <w:r w:rsidRPr="00D63B51">
        <w:rPr>
          <w:rFonts w:cs="Times New Roman"/>
          <w:b/>
          <w:color w:val="auto"/>
          <w:u w:val="single"/>
        </w:rPr>
        <w:t>§ 1</w:t>
      </w:r>
      <w:r w:rsidR="00EF07D9" w:rsidRPr="00D63B51">
        <w:rPr>
          <w:rFonts w:cs="Times New Roman"/>
          <w:b/>
          <w:color w:val="auto"/>
          <w:u w:val="single"/>
        </w:rPr>
        <w:t>3</w:t>
      </w:r>
      <w:r w:rsidRPr="00D63B51">
        <w:rPr>
          <w:rFonts w:cs="Times New Roman"/>
        </w:rPr>
        <w:t>:  In a large MDL, if a district court certifies an interlocutory appeal under 28 U.S.C § 1292(b) of a potentially dispositive issue, then the court of appeals should expedite consideration of the petition for permission to appeal and, if permission is granted, should expedite decision of the appeal.  MDL proceedings should not ordinarily be stayed while an interlocutory appeal is pending.  Permanent No. MDL-</w:t>
      </w:r>
      <w:r w:rsidRPr="00D63B51">
        <w:rPr>
          <w:rFonts w:cs="Times New Roman"/>
          <w:b/>
          <w:color w:val="auto"/>
        </w:rPr>
        <w:t xml:space="preserve">§ </w:t>
      </w:r>
      <w:r w:rsidRPr="00D63B51">
        <w:rPr>
          <w:rFonts w:cs="Times New Roman"/>
        </w:rPr>
        <w:t>2.</w:t>
      </w:r>
    </w:p>
    <w:p w14:paraId="3EA4AFE9" w14:textId="77777777" w:rsidR="00F62B2D" w:rsidRPr="00D63B51" w:rsidRDefault="00F62B2D" w:rsidP="00F62B2D">
      <w:pPr>
        <w:ind w:left="720" w:right="720"/>
        <w:jc w:val="both"/>
        <w:rPr>
          <w:rFonts w:cs="Times New Roman"/>
        </w:rPr>
      </w:pPr>
    </w:p>
    <w:p w14:paraId="4EFD5F33" w14:textId="3F79F75A" w:rsidR="00F62B2D" w:rsidRPr="00D63B51" w:rsidRDefault="00F62B2D" w:rsidP="00F62B2D">
      <w:pPr>
        <w:spacing w:line="360" w:lineRule="auto"/>
        <w:ind w:firstLine="720"/>
        <w:jc w:val="both"/>
        <w:rPr>
          <w:rFonts w:cs="Times New Roman"/>
        </w:rPr>
      </w:pPr>
      <w:r w:rsidRPr="00D63B51">
        <w:rPr>
          <w:rFonts w:cs="Times New Roman"/>
        </w:rPr>
        <w:t xml:space="preserve">Parties and courts must “secure the just, speedy, and inexpensive determination of every action and proceeding.”  </w:t>
      </w:r>
      <w:r w:rsidR="009C473E" w:rsidRPr="00D63B51">
        <w:rPr>
          <w:rFonts w:cs="Times New Roman"/>
        </w:rPr>
        <w:t>FED. R. CIV. P.</w:t>
      </w:r>
      <w:r w:rsidRPr="00D63B51">
        <w:rPr>
          <w:rFonts w:cs="Times New Roman"/>
        </w:rPr>
        <w:t xml:space="preserve"> 1.  These obligations apply both in an individual case and to an MDL proceeding with thousands of cases.  Because meeting these duties in a large MDL can be more difficult, particularly due to the time and expense of adjudicating a large MDL, more attentive case management is often necessary.  For instance, an MDL court’s decision to grant a case-dispositive motion may resolve many cases at once but may prematurely terminate the MDL.  On the other hand, denying such a motion, if later overturned on appeal after trial, may needlessly prolong the litigation and add excess costs to the parties and courts.  Because the consequences either way are heightened when they affect hundreds or thousands of cases in large MDL proceedings, courts exercise more caution in reviewing requests for an interlocutory appeal and in managing the MDL proceedings during an interlocutory appeal.</w:t>
      </w:r>
    </w:p>
    <w:p w14:paraId="693A1465" w14:textId="77777777" w:rsidR="00F62B2D" w:rsidRPr="00D63B51" w:rsidRDefault="00F62B2D" w:rsidP="00F62B2D">
      <w:pPr>
        <w:spacing w:line="360" w:lineRule="auto"/>
        <w:ind w:firstLine="720"/>
        <w:jc w:val="both"/>
        <w:rPr>
          <w:rFonts w:cs="Times New Roman"/>
        </w:rPr>
      </w:pPr>
      <w:r w:rsidRPr="00D63B51">
        <w:rPr>
          <w:rFonts w:cs="Times New Roman"/>
        </w:rPr>
        <w:t>As illustrative examples, two common case-dispositive motions in large MDLs are preemption motions and Federal Rule of Evidence 702 motions.  Depending on the MDL and the circumstances, these motions may be filed with respect to all cases, groups of cases with common claims or expert evidence, or an individual bellwether case.</w:t>
      </w:r>
    </w:p>
    <w:p w14:paraId="742D63F8" w14:textId="77777777" w:rsidR="00F62B2D" w:rsidRPr="00D63B51" w:rsidRDefault="00F62B2D" w:rsidP="00F62B2D">
      <w:pPr>
        <w:spacing w:line="360" w:lineRule="auto"/>
        <w:ind w:firstLine="720"/>
        <w:jc w:val="both"/>
        <w:rPr>
          <w:rFonts w:cs="Times New Roman"/>
        </w:rPr>
      </w:pPr>
      <w:r w:rsidRPr="00D63B51">
        <w:rPr>
          <w:rFonts w:cs="Times New Roman"/>
        </w:rPr>
        <w:t>In a preemption motion, a defendant asserts that a plaintiff’s state-law cause of action is preempted by federal statutory or regulatory law.  For example, in a prescription pharmaceutical or medical device MDL, a defendant may assert that the plaintiffs’ state-law claims are preempted by arguing that it was impossible for the defendant to comply with both the FDA’s federal regulations and a state’s common-law duty to warn, upon which plaintiffs base their claims.</w:t>
      </w:r>
      <w:r w:rsidRPr="00D63B51">
        <w:rPr>
          <w:rStyle w:val="FootnoteReference"/>
          <w:rFonts w:cs="Times New Roman"/>
        </w:rPr>
        <w:footnoteReference w:id="280"/>
      </w:r>
      <w:r w:rsidRPr="00D63B51">
        <w:rPr>
          <w:rFonts w:cs="Times New Roman"/>
        </w:rPr>
        <w:t xml:space="preserve">  </w:t>
      </w:r>
      <w:r w:rsidRPr="00D63B51">
        <w:rPr>
          <w:rFonts w:cs="Times New Roman"/>
        </w:rPr>
        <w:lastRenderedPageBreak/>
        <w:t>Preemption motions may be made at any stage of the MDL process, but if there are disputed facts for the MDL court to decide, such as material facts relating to the FDA regulatory process, then the judge may defer ruling until after relevant discovery.</w:t>
      </w:r>
      <w:r w:rsidRPr="00D63B51">
        <w:rPr>
          <w:rStyle w:val="FootnoteReference"/>
          <w:rFonts w:cs="Times New Roman"/>
        </w:rPr>
        <w:footnoteReference w:id="281"/>
      </w:r>
    </w:p>
    <w:p w14:paraId="0C6115E9" w14:textId="77777777" w:rsidR="00F62B2D" w:rsidRPr="00D63B51" w:rsidRDefault="00F62B2D" w:rsidP="00F62B2D">
      <w:pPr>
        <w:spacing w:line="360" w:lineRule="auto"/>
        <w:ind w:firstLine="720"/>
        <w:jc w:val="both"/>
        <w:rPr>
          <w:rFonts w:cs="Times New Roman"/>
        </w:rPr>
      </w:pPr>
      <w:r w:rsidRPr="00D63B51">
        <w:rPr>
          <w:rFonts w:cs="Times New Roman"/>
        </w:rPr>
        <w:t xml:space="preserve">In a Rule 702 motion, often referred to as a </w:t>
      </w:r>
      <w:r w:rsidRPr="00D63B51">
        <w:rPr>
          <w:rFonts w:cs="Times New Roman"/>
          <w:i/>
        </w:rPr>
        <w:t>Daubert</w:t>
      </w:r>
      <w:r w:rsidRPr="00D63B51">
        <w:rPr>
          <w:rFonts w:cs="Times New Roman"/>
        </w:rPr>
        <w:t xml:space="preserve"> motion, a party seeks to exclude expert testimony.  Rule 702 motions are often raised in the context of bellwether trials or after expert discovery has explored the bases of the challenged expert opinions.  In a large pharmaceutical MDL, for example, expert testimony is necessary to prove that the drug is capable of causing the injuries alleged.  An MDL court’s denial of a defendant’s Rule 702 motion challenging the plaintiffs’ expert testimony on general causation may result in the denial of summary judgment, while a ruling to exclude such expert testimony may lead to the grant of summary judgment and effectively terminate the MDL.</w:t>
      </w:r>
      <w:r w:rsidRPr="00D63B51">
        <w:rPr>
          <w:rStyle w:val="FootnoteReference"/>
          <w:rFonts w:cs="Times New Roman"/>
        </w:rPr>
        <w:footnoteReference w:id="282"/>
      </w:r>
    </w:p>
    <w:p w14:paraId="03924605" w14:textId="77777777" w:rsidR="00F62B2D" w:rsidRPr="00D63B51" w:rsidRDefault="00F62B2D" w:rsidP="00F62B2D">
      <w:pPr>
        <w:spacing w:line="360" w:lineRule="auto"/>
        <w:ind w:firstLine="720"/>
        <w:jc w:val="both"/>
        <w:rPr>
          <w:rFonts w:cs="Times New Roman"/>
        </w:rPr>
      </w:pPr>
      <w:r w:rsidRPr="00D63B51">
        <w:rPr>
          <w:rFonts w:cs="Times New Roman"/>
        </w:rPr>
        <w:t>Granting a preemption motion or a Rule 702 motion in an MDL proceeding may, under certain circumstances, result in an order that is subject to appeal as a final decision under 28 U.S.C. § 1291.  However, an order denying those motions is not subject to appeal as of right, but it may be appealable by permission under 28 U.S.C. § 1292(b).</w:t>
      </w:r>
      <w:r w:rsidRPr="00D63B51">
        <w:rPr>
          <w:rStyle w:val="FootnoteReference"/>
          <w:rFonts w:cs="Times New Roman"/>
        </w:rPr>
        <w:footnoteReference w:id="283"/>
      </w:r>
      <w:r w:rsidRPr="00D63B51">
        <w:rPr>
          <w:rFonts w:cs="Times New Roman"/>
        </w:rPr>
        <w:t xml:space="preserve">  The following best practices should assist in managing the special considerations that attend interlocutory appeals in large MDL proceedings.</w:t>
      </w:r>
    </w:p>
    <w:p w14:paraId="1D94CE0A" w14:textId="62EB18FF" w:rsidR="00F62B2D" w:rsidRPr="00D63B51" w:rsidRDefault="00F62B2D" w:rsidP="00F62B2D">
      <w:pPr>
        <w:ind w:left="720" w:right="720"/>
        <w:contextualSpacing/>
        <w:jc w:val="both"/>
        <w:rPr>
          <w:rFonts w:cs="Times New Roman"/>
        </w:rPr>
      </w:pPr>
      <w:r w:rsidRPr="00D63B51">
        <w:rPr>
          <w:rFonts w:ascii="Times New Roman Bold" w:hAnsi="Times New Roman Bold" w:cs="Times New Roman"/>
          <w:b/>
          <w:bCs/>
          <w:smallCaps/>
        </w:rPr>
        <w:t>Best Practice MDL-</w:t>
      </w:r>
      <w:r w:rsidRPr="00D63B51">
        <w:rPr>
          <w:rFonts w:cs="Times New Roman"/>
          <w:b/>
          <w:color w:val="auto"/>
        </w:rPr>
        <w:t>§ 1</w:t>
      </w:r>
      <w:r w:rsidR="00EF07D9" w:rsidRPr="00D63B51">
        <w:rPr>
          <w:rFonts w:cs="Times New Roman"/>
          <w:b/>
          <w:color w:val="auto"/>
        </w:rPr>
        <w:t>3</w:t>
      </w:r>
      <w:r w:rsidRPr="00D63B51">
        <w:rPr>
          <w:rFonts w:ascii="Times New Roman Bold" w:hAnsi="Times New Roman Bold" w:cs="Times New Roman"/>
          <w:b/>
          <w:bCs/>
          <w:smallCaps/>
        </w:rPr>
        <w:t>(</w:t>
      </w:r>
      <w:r w:rsidRPr="00D63B51">
        <w:rPr>
          <w:rFonts w:ascii="Times New Roman Bold" w:hAnsi="Times New Roman Bold" w:cs="Times New Roman"/>
          <w:b/>
          <w:bCs/>
        </w:rPr>
        <w:t>a</w:t>
      </w:r>
      <w:r w:rsidRPr="00D63B51">
        <w:rPr>
          <w:rFonts w:ascii="Times New Roman Bold" w:hAnsi="Times New Roman Bold" w:cs="Times New Roman"/>
          <w:b/>
          <w:bCs/>
          <w:smallCaps/>
        </w:rPr>
        <w:t>)</w:t>
      </w:r>
      <w:r w:rsidRPr="00D63B51">
        <w:rPr>
          <w:rFonts w:cs="Times New Roman"/>
          <w:smallCaps/>
        </w:rPr>
        <w:t xml:space="preserve">:  </w:t>
      </w:r>
      <w:r w:rsidRPr="00D63B51">
        <w:rPr>
          <w:rFonts w:cs="Times New Roman"/>
        </w:rPr>
        <w:t>If an MDL court certifies an order under 28 U.S.C § 1292(b) for interlocutory appeal, even if that order implicates an issue that affects many cases in the MDL inventory, the MDL court should certify the appeal in only one of those affected cases and should not ordinarily stay proceedings in the other affected cases pending resolution of the appeal. Permanent No. MDL-</w:t>
      </w:r>
      <w:r w:rsidRPr="00D63B51">
        <w:rPr>
          <w:rFonts w:cs="Times New Roman"/>
          <w:b/>
          <w:color w:val="auto"/>
        </w:rPr>
        <w:t xml:space="preserve">§ </w:t>
      </w:r>
      <w:r w:rsidRPr="00D63B51">
        <w:rPr>
          <w:rFonts w:cs="Times New Roman"/>
        </w:rPr>
        <w:t xml:space="preserve">2(a). </w:t>
      </w:r>
    </w:p>
    <w:p w14:paraId="70B10D27" w14:textId="77777777" w:rsidR="00F62B2D" w:rsidRPr="00D63B51" w:rsidRDefault="00F62B2D" w:rsidP="00F62B2D">
      <w:pPr>
        <w:ind w:left="720" w:right="720"/>
        <w:contextualSpacing/>
        <w:jc w:val="both"/>
        <w:rPr>
          <w:rFonts w:cs="Times New Roman"/>
        </w:rPr>
      </w:pPr>
    </w:p>
    <w:p w14:paraId="535281DC" w14:textId="77777777" w:rsidR="00F62B2D" w:rsidRPr="00D63B51" w:rsidRDefault="00F62B2D" w:rsidP="00F62B2D">
      <w:pPr>
        <w:spacing w:line="360" w:lineRule="auto"/>
        <w:ind w:firstLine="720"/>
        <w:jc w:val="both"/>
        <w:rPr>
          <w:rFonts w:cs="Times New Roman"/>
        </w:rPr>
      </w:pPr>
      <w:r w:rsidRPr="00D63B51">
        <w:rPr>
          <w:rFonts w:cs="Times New Roman"/>
        </w:rPr>
        <w:t xml:space="preserve">To certify an order for interlocutory appeal under 28 U.S.C. § 1292(b), </w:t>
      </w:r>
      <w:r w:rsidRPr="00D63B51">
        <w:rPr>
          <w:rFonts w:cs="Times New Roman"/>
          <w:shd w:val="clear" w:color="auto" w:fill="FFFFFF"/>
        </w:rPr>
        <w:t xml:space="preserve">the MDL court must determine that the order “involves a controlling question of law as to which there is substantial ground for difference of opinion and that an immediate appeal from the order may materially advance the ultimate termination of the litigation.”  If the district court makes these </w:t>
      </w:r>
      <w:r w:rsidRPr="00D63B51">
        <w:rPr>
          <w:rFonts w:cs="Times New Roman"/>
          <w:shd w:val="clear" w:color="auto" w:fill="FFFFFF"/>
        </w:rPr>
        <w:lastRenderedPageBreak/>
        <w:t xml:space="preserve">determinations and certifies an order, then the court of appeals decides whether to permit the </w:t>
      </w:r>
      <w:r w:rsidRPr="00D63B51">
        <w:rPr>
          <w:rFonts w:cs="Times New Roman"/>
        </w:rPr>
        <w:t xml:space="preserve">interlocutory </w:t>
      </w:r>
      <w:r w:rsidRPr="00D63B51">
        <w:rPr>
          <w:rFonts w:cs="Times New Roman"/>
          <w:shd w:val="clear" w:color="auto" w:fill="FFFFFF"/>
        </w:rPr>
        <w:t>appeal.</w:t>
      </w:r>
    </w:p>
    <w:p w14:paraId="1F4CB5F5" w14:textId="77777777" w:rsidR="00F62B2D" w:rsidRPr="00D63B51" w:rsidRDefault="00F62B2D" w:rsidP="00F62B2D">
      <w:pPr>
        <w:spacing w:line="360" w:lineRule="auto"/>
        <w:ind w:firstLine="720"/>
        <w:jc w:val="both"/>
        <w:rPr>
          <w:rFonts w:cs="Times New Roman"/>
        </w:rPr>
      </w:pPr>
      <w:r w:rsidRPr="00D63B51">
        <w:rPr>
          <w:rFonts w:cs="Times New Roman"/>
        </w:rPr>
        <w:t>In a large MDL, however, certifying an appeal in multiple cases could prevent any of them from proceeding further in the district court.  If the MDL court certifies, and the court of appeals permits, a § 1292(b) appeal, then the MDL court may have relinquished jurisdiction to the court of appeals and may not be able to take further action in the case or cases until the appeal is complete.  By contrast, if the MDL court issues a separate order or permits an appeal as to only one of those affected cases, then the other cases may proceed in the district court, including to a bellwether trial, without raising issues of jurisdiction.  Accordingly, if an MDL court intends to certify an interlocutory appeal under § 1292(b) of an order applicable to a group of cases, then the court should issue a separate order for each case and permit an interlocutory appeal in only one of the cases.</w:t>
      </w:r>
    </w:p>
    <w:p w14:paraId="5CED3418" w14:textId="77777777" w:rsidR="00F62B2D" w:rsidRPr="00D63B51" w:rsidRDefault="00F62B2D" w:rsidP="00F62B2D">
      <w:pPr>
        <w:spacing w:line="360" w:lineRule="auto"/>
        <w:ind w:firstLine="720"/>
        <w:jc w:val="both"/>
        <w:rPr>
          <w:rFonts w:cs="Times New Roman"/>
        </w:rPr>
      </w:pPr>
      <w:r w:rsidRPr="00D63B51">
        <w:rPr>
          <w:rFonts w:cs="Times New Roman"/>
          <w:shd w:val="clear" w:color="auto" w:fill="FFFFFF"/>
        </w:rPr>
        <w:t xml:space="preserve">An interlocutory appeal, if permitted, </w:t>
      </w:r>
      <w:r w:rsidRPr="00D63B51">
        <w:rPr>
          <w:rFonts w:cs="Times New Roman"/>
        </w:rPr>
        <w:t>may take one or more years to complete in some circuits, and during this time, “</w:t>
      </w:r>
      <w:r w:rsidRPr="00D63B51">
        <w:rPr>
          <w:rFonts w:cs="Times New Roman"/>
          <w:shd w:val="clear" w:color="auto" w:fill="FFFFFF"/>
        </w:rPr>
        <w:t xml:space="preserve">application for an appeal hereunder shall not stay proceedings in the district court unless the district judge or the Court of Appeals or a judge thereof shall so order.”  </w:t>
      </w:r>
      <w:r w:rsidRPr="00D63B51">
        <w:rPr>
          <w:rFonts w:cs="Times New Roman"/>
        </w:rPr>
        <w:t>28 U.S.C. § 1292(b).  Whether to stay proceedings if an interlocutory appeal is permitted is a more complex decision for managing a large MDL than an individual case.</w:t>
      </w:r>
    </w:p>
    <w:p w14:paraId="12F4707C" w14:textId="77777777" w:rsidR="00F62B2D" w:rsidRPr="00D63B51" w:rsidRDefault="00F62B2D" w:rsidP="00F62B2D">
      <w:pPr>
        <w:spacing w:line="360" w:lineRule="auto"/>
        <w:ind w:firstLine="720"/>
        <w:jc w:val="both"/>
        <w:rPr>
          <w:rFonts w:cs="Times New Roman"/>
        </w:rPr>
      </w:pPr>
      <w:r w:rsidRPr="00D63B51">
        <w:rPr>
          <w:rFonts w:cs="Times New Roman"/>
        </w:rPr>
        <w:t>An MDL court’s rulings on issues like preemption or under Rule 702 may be made in multiple cases, some or all of which may be affected by an interlocutory appeal.  Staying the remaining cases can add significant delay to an already lengthy procedure and can have other collateral effects if, for example, there are state-court proceedings running in parallel with the MDL that involve the same issues.</w:t>
      </w:r>
    </w:p>
    <w:p w14:paraId="468C10E0" w14:textId="77777777" w:rsidR="00F62B2D" w:rsidRPr="00D63B51" w:rsidRDefault="00F62B2D" w:rsidP="00F62B2D">
      <w:pPr>
        <w:spacing w:line="360" w:lineRule="auto"/>
        <w:ind w:firstLine="720"/>
        <w:jc w:val="both"/>
        <w:rPr>
          <w:rFonts w:cs="Times New Roman"/>
        </w:rPr>
      </w:pPr>
      <w:r w:rsidRPr="00D63B51">
        <w:rPr>
          <w:rFonts w:cs="Times New Roman"/>
        </w:rPr>
        <w:t xml:space="preserve">Courts weigh several factors when considering whether to stay MDL proceedings, in whole or in part, during an interlocutory appeal:  whether the certified order (i) affects many or few cases, (ii) affects entire cases or portions of cases, (iii) decides dispositive or subordinate issues, (iv) decides a question of law that has divided courts, and (v) decides a novel legal question.  These factors are not exclusive and may operate independently or together in the court’s analysis.  </w:t>
      </w:r>
    </w:p>
    <w:p w14:paraId="06703453" w14:textId="77777777" w:rsidR="00F62B2D" w:rsidRPr="00D63B51" w:rsidRDefault="00F62B2D" w:rsidP="00F62B2D">
      <w:pPr>
        <w:spacing w:line="360" w:lineRule="auto"/>
        <w:ind w:firstLine="720"/>
        <w:jc w:val="both"/>
        <w:rPr>
          <w:rFonts w:cs="Times New Roman"/>
        </w:rPr>
      </w:pPr>
      <w:r w:rsidRPr="00D63B51">
        <w:rPr>
          <w:rFonts w:cs="Times New Roman"/>
        </w:rPr>
        <w:t xml:space="preserve">For instance, an MDL court may decide not to stay any portion of the MDL during an interlocutory review of an order, may stay only a subgroup of cases, or may stay an entire MDL, </w:t>
      </w:r>
      <w:r w:rsidRPr="00D63B51">
        <w:rPr>
          <w:rFonts w:cs="Times New Roman"/>
          <w:color w:val="201F1E"/>
          <w:shd w:val="clear" w:color="auto" w:fill="FFFFFF"/>
        </w:rPr>
        <w:t>depending on the circumstances, including but not limited to the degree of novelty of the issue and how widely applicable the issue is among the cases in the MDL.</w:t>
      </w:r>
      <w:r w:rsidRPr="00D63B51" w:rsidDel="00B73148">
        <w:rPr>
          <w:rFonts w:cs="Times New Roman"/>
        </w:rPr>
        <w:t xml:space="preserve"> </w:t>
      </w:r>
    </w:p>
    <w:p w14:paraId="19940A8E" w14:textId="77777777" w:rsidR="00F62B2D" w:rsidRPr="00D63B51" w:rsidRDefault="00F62B2D" w:rsidP="00F62B2D">
      <w:pPr>
        <w:spacing w:line="360" w:lineRule="auto"/>
        <w:ind w:firstLine="720"/>
        <w:jc w:val="both"/>
        <w:rPr>
          <w:rFonts w:cs="Times New Roman"/>
        </w:rPr>
      </w:pPr>
      <w:r w:rsidRPr="00D63B51">
        <w:rPr>
          <w:rFonts w:cs="Times New Roman"/>
        </w:rPr>
        <w:lastRenderedPageBreak/>
        <w:t xml:space="preserve">Because of the infrequency with which circumstances are ripe for doing so, MDL courts should not ordinarily stay entire proceedings in a large MDL, including proceedings in remaining bellwether cases, while an </w:t>
      </w:r>
      <w:r w:rsidRPr="00D63B51">
        <w:rPr>
          <w:rFonts w:cs="Times New Roman"/>
          <w:shd w:val="clear" w:color="auto" w:fill="FFFFFF"/>
        </w:rPr>
        <w:t xml:space="preserve">interlocutory </w:t>
      </w:r>
      <w:r w:rsidRPr="00D63B51">
        <w:rPr>
          <w:rFonts w:cs="Times New Roman"/>
        </w:rPr>
        <w:t>appeal under § 1292(b) is pending.  MDL courts should be even less inclined to do so while a court of appeals is considering whether to permit an interlocutory appeal.</w:t>
      </w:r>
    </w:p>
    <w:p w14:paraId="5F65981D" w14:textId="36C6A60F" w:rsidR="00F62B2D" w:rsidRPr="00D63B51" w:rsidRDefault="00F62B2D" w:rsidP="00F62B2D">
      <w:pPr>
        <w:ind w:left="720" w:right="720"/>
        <w:contextualSpacing/>
        <w:jc w:val="both"/>
        <w:rPr>
          <w:rFonts w:cs="Times New Roman"/>
        </w:rPr>
      </w:pPr>
      <w:r w:rsidRPr="00D63B51">
        <w:rPr>
          <w:rFonts w:cs="Times New Roman"/>
          <w:b/>
          <w:bCs/>
          <w:smallCaps/>
        </w:rPr>
        <w:t>Best Practice MDL-</w:t>
      </w:r>
      <w:r w:rsidRPr="00D63B51">
        <w:rPr>
          <w:rFonts w:cs="Times New Roman"/>
          <w:b/>
          <w:color w:val="auto"/>
        </w:rPr>
        <w:t>§ 1</w:t>
      </w:r>
      <w:r w:rsidR="00EF07D9" w:rsidRPr="00D63B51">
        <w:rPr>
          <w:rFonts w:cs="Times New Roman"/>
          <w:b/>
          <w:color w:val="auto"/>
        </w:rPr>
        <w:t>3</w:t>
      </w:r>
      <w:r w:rsidRPr="00D63B51">
        <w:rPr>
          <w:rFonts w:cs="Times New Roman"/>
          <w:b/>
          <w:bCs/>
          <w:smallCaps/>
        </w:rPr>
        <w:t>(</w:t>
      </w:r>
      <w:r w:rsidRPr="00D63B51">
        <w:rPr>
          <w:rFonts w:ascii="Times New Roman Bold" w:hAnsi="Times New Roman Bold" w:cs="Times New Roman"/>
          <w:b/>
          <w:bCs/>
        </w:rPr>
        <w:t>b</w:t>
      </w:r>
      <w:r w:rsidRPr="00D63B51">
        <w:rPr>
          <w:rFonts w:cs="Times New Roman"/>
          <w:b/>
          <w:bCs/>
          <w:smallCaps/>
        </w:rPr>
        <w:t>)</w:t>
      </w:r>
      <w:r w:rsidRPr="00D63B51">
        <w:rPr>
          <w:rFonts w:cs="Times New Roman"/>
          <w:smallCaps/>
        </w:rPr>
        <w:t xml:space="preserve">:  </w:t>
      </w:r>
      <w:r w:rsidRPr="00D63B51">
        <w:rPr>
          <w:rFonts w:cs="Times New Roman"/>
        </w:rPr>
        <w:t>If an MDL court certifies an order under 28 U.S.C § 1292(b) for interlocutory appeal, and the court of appeals permits the appeal, then the court of appeals should favor a motion to expedite the interlocutory appeal. Permanent No. MDL-</w:t>
      </w:r>
      <w:r w:rsidRPr="00D63B51">
        <w:rPr>
          <w:rFonts w:cs="Times New Roman"/>
          <w:b/>
          <w:color w:val="auto"/>
        </w:rPr>
        <w:t xml:space="preserve">§ </w:t>
      </w:r>
      <w:r w:rsidRPr="00D63B51">
        <w:rPr>
          <w:rFonts w:cs="Times New Roman"/>
        </w:rPr>
        <w:t xml:space="preserve">2(b). </w:t>
      </w:r>
    </w:p>
    <w:p w14:paraId="57898905" w14:textId="77777777" w:rsidR="00F62B2D" w:rsidRPr="00D63B51" w:rsidRDefault="00F62B2D" w:rsidP="00F62B2D">
      <w:pPr>
        <w:ind w:left="720" w:right="720"/>
        <w:contextualSpacing/>
        <w:jc w:val="both"/>
        <w:rPr>
          <w:rFonts w:cs="Times New Roman"/>
        </w:rPr>
      </w:pPr>
    </w:p>
    <w:p w14:paraId="525A61A7" w14:textId="77777777" w:rsidR="00F62B2D" w:rsidRPr="00D63B51" w:rsidRDefault="00F62B2D" w:rsidP="00F62B2D">
      <w:pPr>
        <w:spacing w:line="360" w:lineRule="auto"/>
        <w:ind w:firstLine="720"/>
        <w:jc w:val="both"/>
        <w:rPr>
          <w:rFonts w:cs="Times New Roman"/>
        </w:rPr>
      </w:pPr>
      <w:r w:rsidRPr="00D63B51">
        <w:rPr>
          <w:rFonts w:cs="Times New Roman"/>
        </w:rPr>
        <w:t>It may take many years to fully resolve a well-managed and efficient MDL.  In a large MDL, the time from filing to final disposition can, absent dispositive rulings, reach up to eight or more years.  Appellate proceedings can further extend this duration.  A protracted duration of a large MDL affects the requests for relief of hundreds or thousands of parties and can become more problematic if state courts rule on overlapping issues in parallel proceedings that are inconsistent with rulings in the MDL, potentially causing confusion and aggravating satellite litigation.  Conversely, as large MDL cases are a high percentage of all pending civil actions, appellate rulings on such interlocutory appeals, if authorized, may offer important guidance for resolving cases in that MDL.  Accordingly, if an interlocutory appeal is permitted, then the court of appeals should favor a motion to expedite its review of denials of potentially dispositive motions in mass-tort MDLs under 28 U.S.C. § 1292(b).</w:t>
      </w:r>
    </w:p>
    <w:p w14:paraId="70611F87" w14:textId="13C035AA" w:rsidR="00F62B2D" w:rsidRPr="00D63B51" w:rsidRDefault="00EE453A" w:rsidP="0014281F">
      <w:pPr>
        <w:pStyle w:val="NoSpacing"/>
        <w:jc w:val="center"/>
        <w:rPr>
          <w:rFonts w:ascii="Times New Roman Bold" w:hAnsi="Times New Roman Bold"/>
          <w:b/>
          <w:bCs/>
          <w:smallCaps/>
          <w:sz w:val="28"/>
          <w:szCs w:val="28"/>
        </w:rPr>
      </w:pPr>
      <w:r w:rsidRPr="00D63B51">
        <w:rPr>
          <w:rFonts w:ascii="Times New Roman Bold" w:hAnsi="Times New Roman Bold"/>
          <w:b/>
          <w:bCs/>
          <w:smallCaps/>
          <w:sz w:val="28"/>
          <w:szCs w:val="28"/>
        </w:rPr>
        <w:t xml:space="preserve">E.   </w:t>
      </w:r>
      <w:r w:rsidR="004236BF" w:rsidRPr="00D63B51">
        <w:rPr>
          <w:rFonts w:ascii="Times New Roman Bold" w:hAnsi="Times New Roman Bold"/>
          <w:b/>
          <w:bCs/>
          <w:smallCaps/>
          <w:sz w:val="28"/>
          <w:szCs w:val="28"/>
        </w:rPr>
        <w:t>BANKRUPTC</w:t>
      </w:r>
      <w:r w:rsidR="0014281F" w:rsidRPr="00D63B51">
        <w:rPr>
          <w:rFonts w:ascii="Times New Roman Bold" w:hAnsi="Times New Roman Bold"/>
          <w:b/>
          <w:bCs/>
          <w:smallCaps/>
          <w:sz w:val="28"/>
          <w:szCs w:val="28"/>
        </w:rPr>
        <w:t>I</w:t>
      </w:r>
      <w:r w:rsidR="004236BF" w:rsidRPr="00D63B51">
        <w:rPr>
          <w:rFonts w:ascii="Times New Roman Bold" w:hAnsi="Times New Roman Bold"/>
          <w:b/>
          <w:bCs/>
          <w:smallCaps/>
          <w:sz w:val="28"/>
          <w:szCs w:val="28"/>
        </w:rPr>
        <w:t xml:space="preserve">ES THAT ORIGINATED </w:t>
      </w:r>
      <w:r w:rsidR="003F6830" w:rsidRPr="00D63B51">
        <w:rPr>
          <w:rFonts w:ascii="Times New Roman Bold" w:hAnsi="Times New Roman Bold"/>
          <w:b/>
          <w:bCs/>
          <w:smallCaps/>
          <w:sz w:val="28"/>
          <w:szCs w:val="28"/>
        </w:rPr>
        <w:t>FROM</w:t>
      </w:r>
      <w:r w:rsidR="004236BF" w:rsidRPr="00D63B51">
        <w:rPr>
          <w:rFonts w:ascii="Times New Roman Bold" w:hAnsi="Times New Roman Bold"/>
          <w:b/>
          <w:bCs/>
          <w:smallCaps/>
          <w:sz w:val="28"/>
          <w:szCs w:val="28"/>
        </w:rPr>
        <w:t xml:space="preserve"> MASS-TORT MDLS</w:t>
      </w:r>
    </w:p>
    <w:p w14:paraId="1B4E7054" w14:textId="77777777" w:rsidR="00CE2632" w:rsidRPr="00D63B51" w:rsidRDefault="00CE2632" w:rsidP="00CE2632">
      <w:pPr>
        <w:pStyle w:val="NoSpacing"/>
        <w:rPr>
          <w:rFonts w:ascii="Times New Roman Bold" w:hAnsi="Times New Roman Bold"/>
          <w:b/>
          <w:bCs/>
          <w:smallCaps/>
        </w:rPr>
      </w:pPr>
    </w:p>
    <w:p w14:paraId="67AB9F7D" w14:textId="77777777" w:rsidR="00CE2632" w:rsidRPr="00D63B51" w:rsidRDefault="00CE2632" w:rsidP="00CE2632">
      <w:pPr>
        <w:jc w:val="both"/>
        <w:rPr>
          <w:b/>
          <w:bCs/>
          <w:u w:val="single"/>
        </w:rPr>
      </w:pPr>
      <w:r w:rsidRPr="00D63B51">
        <w:rPr>
          <w:b/>
          <w:bCs/>
          <w:u w:val="single"/>
        </w:rPr>
        <w:t>Mass-Tort Bankruptcies</w:t>
      </w:r>
    </w:p>
    <w:p w14:paraId="3E125CBF" w14:textId="77777777" w:rsidR="00CE2632" w:rsidRPr="00D63B51" w:rsidRDefault="00CE2632" w:rsidP="00CE2632">
      <w:pPr>
        <w:ind w:left="720" w:right="720"/>
        <w:jc w:val="both"/>
        <w:rPr>
          <w:b/>
          <w:bCs/>
          <w:u w:val="single"/>
        </w:rPr>
      </w:pPr>
    </w:p>
    <w:p w14:paraId="617CD929" w14:textId="77777777" w:rsidR="00CE2632" w:rsidRPr="00D63B51" w:rsidRDefault="00CE2632" w:rsidP="00CE2632">
      <w:pPr>
        <w:spacing w:line="360" w:lineRule="auto"/>
        <w:ind w:firstLine="720"/>
        <w:jc w:val="both"/>
        <w:rPr>
          <w:rFonts w:cs="Times New Roman"/>
        </w:rPr>
      </w:pPr>
      <w:r w:rsidRPr="00D63B51">
        <w:rPr>
          <w:rFonts w:cs="Times New Roman"/>
        </w:rPr>
        <w:t>Bankruptcy courts have handled mass-tort liabilities for more than 40 years, starting in 1982 with Chapter 11 filings of two asbestos-products manufacturers — Johns-Manville Corporation and UNR Industries.  Many mass-tort bankruptcies continue to involve asbestos-related personal-injury or property-damage claims. But Chapter 11 has also been used to resolve mass-tort claims involving silicone gel breast implants, the Dalkon Shield contraceptive device, products-liability claims, and sexual-abuse litigation.</w:t>
      </w:r>
      <w:r w:rsidRPr="00D63B51">
        <w:rPr>
          <w:rFonts w:cs="Times New Roman"/>
          <w:vertAlign w:val="superscript"/>
        </w:rPr>
        <w:footnoteReference w:id="284"/>
      </w:r>
      <w:r w:rsidRPr="00D63B51">
        <w:rPr>
          <w:rFonts w:cs="Times New Roman"/>
        </w:rPr>
        <w:t xml:space="preserve">  Recently, several large mass-tort bankruptcies have arisen from mass-tort product-liability MDLs, which were stayed during the </w:t>
      </w:r>
      <w:r w:rsidRPr="00D63B51">
        <w:rPr>
          <w:rFonts w:cs="Times New Roman"/>
        </w:rPr>
        <w:lastRenderedPageBreak/>
        <w:t>pendency of the bankruptcy cases.</w:t>
      </w:r>
      <w:r w:rsidRPr="00D63B51">
        <w:rPr>
          <w:rFonts w:cs="Times New Roman"/>
          <w:vertAlign w:val="superscript"/>
        </w:rPr>
        <w:footnoteReference w:id="285"/>
      </w:r>
      <w:r w:rsidRPr="00D63B51">
        <w:rPr>
          <w:rFonts w:cs="Times New Roman"/>
        </w:rPr>
        <w:t xml:space="preserve">  Some of these stayed mass-tort MDLs were in litigation for years  -- with scores of law firms investing huge amounts of time and sums of money and producing voluminous data about the individual actions through discovery.  </w:t>
      </w:r>
    </w:p>
    <w:p w14:paraId="0DA3E891" w14:textId="77777777" w:rsidR="00CE2632" w:rsidRPr="00D63B51" w:rsidRDefault="00CE2632" w:rsidP="00CE2632">
      <w:pPr>
        <w:spacing w:line="360" w:lineRule="auto"/>
        <w:ind w:firstLine="720"/>
        <w:jc w:val="both"/>
        <w:rPr>
          <w:rFonts w:cs="Times New Roman"/>
        </w:rPr>
      </w:pPr>
      <w:r w:rsidRPr="00D63B51">
        <w:rPr>
          <w:rFonts w:cs="Times New Roman"/>
        </w:rPr>
        <w:t>The intersection of mass-tort MDL and bankruptcy raises novel challenges.  The bankruptcy system was not designed to handle hundreds or thousands of individual tort claims, each of which is entitled to a right to trial by jury.  And not surprisingly, plaintiffs in mass-tort MDLs have strongly resisted bankruptcy resolutions and have succeeded on several occasions in securing the dismissal of the bankruptcy cases on various grounds, which returned the litigation to the MDL court, but left the door open for renewed bankruptcy filings.  The rotation between the courts can duplicate work and complicate settlement of individual actions necessary for resolution.</w:t>
      </w:r>
    </w:p>
    <w:p w14:paraId="641DC104" w14:textId="77777777" w:rsidR="00CE2632" w:rsidRPr="00D63B51" w:rsidRDefault="00CE2632" w:rsidP="00CE2632">
      <w:pPr>
        <w:spacing w:line="360" w:lineRule="auto"/>
        <w:ind w:firstLine="720"/>
        <w:jc w:val="both"/>
        <w:rPr>
          <w:rFonts w:cs="Times New Roman"/>
        </w:rPr>
      </w:pPr>
      <w:r w:rsidRPr="00D63B51">
        <w:rPr>
          <w:rFonts w:cs="Times New Roman"/>
        </w:rPr>
        <w:t>The following guidelines and best practices represent the first efforts in providing guidance on what promises to be an evolving list of challenges confronted by the bench and bar in managing a mass-tort bankruptcy that started in a district court as a mass-tort MDL.</w:t>
      </w:r>
    </w:p>
    <w:p w14:paraId="64829516" w14:textId="77777777" w:rsidR="00CE2632" w:rsidRPr="00D63B51" w:rsidRDefault="00CE2632" w:rsidP="00CE2632">
      <w:pPr>
        <w:ind w:left="720" w:right="720"/>
        <w:jc w:val="both"/>
        <w:rPr>
          <w:b/>
          <w:bCs/>
          <w:u w:val="single"/>
        </w:rPr>
      </w:pPr>
    </w:p>
    <w:p w14:paraId="4AC0703F" w14:textId="3DE7C601" w:rsidR="006F12BE" w:rsidRPr="00D63B51" w:rsidRDefault="006F12BE" w:rsidP="006F12BE">
      <w:pPr>
        <w:jc w:val="both"/>
        <w:rPr>
          <w:rFonts w:eastAsia="Times New Roman" w:cs="Times New Roman"/>
          <w:color w:val="000000"/>
        </w:rPr>
      </w:pPr>
      <w:r w:rsidRPr="00D63B51">
        <w:rPr>
          <w:rFonts w:eastAsia="Times New Roman" w:cs="Times New Roman"/>
          <w:b/>
          <w:bCs/>
          <w:color w:val="000000"/>
          <w:u w:val="single"/>
        </w:rPr>
        <w:t>GUIDELINE MDL-§ 14</w:t>
      </w:r>
      <w:r w:rsidRPr="00D63B51">
        <w:rPr>
          <w:rFonts w:eastAsia="Times New Roman" w:cs="Times New Roman"/>
          <w:b/>
          <w:bCs/>
          <w:color w:val="000000"/>
        </w:rPr>
        <w:t xml:space="preserve">: </w:t>
      </w:r>
      <w:r w:rsidRPr="00D63B51">
        <w:rPr>
          <w:rFonts w:eastAsia="Times New Roman" w:cs="Times New Roman"/>
          <w:color w:val="000000"/>
        </w:rPr>
        <w:t>Bankruptcy documents that are not clearly and concisely worded generate wasteful litigation over ambiguous language and hinder creditors from making informed judgments.</w:t>
      </w:r>
      <w:r w:rsidR="00AB3984" w:rsidRPr="00D63B51">
        <w:rPr>
          <w:rFonts w:eastAsia="Times New Roman" w:cs="Times New Roman"/>
          <w:color w:val="000000"/>
        </w:rPr>
        <w:t xml:space="preserve"> </w:t>
      </w:r>
      <w:r w:rsidR="00AB3984" w:rsidRPr="00D63B51">
        <w:t xml:space="preserve">Permanent No. </w:t>
      </w:r>
      <w:r w:rsidR="00AB3984" w:rsidRPr="00D63B51">
        <w:rPr>
          <w:rFonts w:cs="Times New Roman"/>
        </w:rPr>
        <w:t>MDL-§ 1</w:t>
      </w:r>
      <w:r w:rsidR="000A0A7D" w:rsidRPr="00D63B51">
        <w:rPr>
          <w:rFonts w:cs="Times New Roman"/>
        </w:rPr>
        <w:t>8</w:t>
      </w:r>
      <w:r w:rsidR="00AB3984" w:rsidRPr="00D63B51">
        <w:rPr>
          <w:rFonts w:cs="Times New Roman"/>
        </w:rPr>
        <w:t>.</w:t>
      </w:r>
    </w:p>
    <w:p w14:paraId="539F0A03" w14:textId="77777777" w:rsidR="006F12BE" w:rsidRPr="00D63B51" w:rsidRDefault="006F12BE" w:rsidP="006F12BE">
      <w:pPr>
        <w:ind w:left="720" w:right="720"/>
        <w:jc w:val="both"/>
        <w:rPr>
          <w:rFonts w:eastAsia="Times New Roman" w:cs="Times New Roman"/>
          <w:b/>
          <w:bCs/>
          <w:color w:val="000000"/>
        </w:rPr>
      </w:pPr>
    </w:p>
    <w:p w14:paraId="174FE8DD" w14:textId="77777777" w:rsidR="006F12BE" w:rsidRPr="00D63B51" w:rsidRDefault="006F12BE" w:rsidP="006F12BE">
      <w:pPr>
        <w:spacing w:line="360" w:lineRule="auto"/>
        <w:ind w:firstLine="720"/>
        <w:jc w:val="both"/>
        <w:rPr>
          <w:rFonts w:eastAsia="Times New Roman" w:cs="Times New Roman"/>
          <w:color w:val="000000"/>
        </w:rPr>
      </w:pPr>
      <w:r w:rsidRPr="00D63B51">
        <w:rPr>
          <w:rFonts w:eastAsia="Times New Roman" w:cs="Times New Roman"/>
          <w:color w:val="000000"/>
        </w:rPr>
        <w:t>A case filed under Chapter 11 of the United States Bankruptcy Code is frequently referred to as a “reorganization” bankruptcy.  Usually, the debtor remains “in possession,” may continue to operate its business, and may, with court approval, borrow new money. A plan of reorganization is proposed, after which creditors whose rights are affected may vote on the plan.  Then the plan may be confirmed by the court if it gets the required votes and satisfies certain legal requirements.</w:t>
      </w:r>
      <w:r w:rsidRPr="00D63B51">
        <w:rPr>
          <w:rFonts w:eastAsia="Times New Roman" w:cs="Times New Roman"/>
          <w:color w:val="000000"/>
          <w:vertAlign w:val="superscript"/>
        </w:rPr>
        <w:footnoteReference w:id="286"/>
      </w:r>
    </w:p>
    <w:p w14:paraId="6FA51C9B" w14:textId="77777777" w:rsidR="006F12BE" w:rsidRPr="00D63B51" w:rsidRDefault="006F12BE" w:rsidP="006F12BE">
      <w:pPr>
        <w:spacing w:line="360" w:lineRule="auto"/>
        <w:ind w:firstLine="720"/>
        <w:jc w:val="both"/>
        <w:rPr>
          <w:rFonts w:eastAsia="Times New Roman" w:cs="Times New Roman"/>
          <w:color w:val="000000"/>
        </w:rPr>
      </w:pPr>
      <w:r w:rsidRPr="00D63B51">
        <w:rPr>
          <w:rFonts w:eastAsia="Times New Roman" w:cs="Times New Roman"/>
          <w:color w:val="000000"/>
        </w:rPr>
        <w:t xml:space="preserve">A reorganization bankruptcy involves an enormous amount of detailed documentation, much of which deals with arcane and technical information. Conveying this information in comprehensible language to creditors and their lawyers who are unfamiliar with bankruptcy, yet must make decisions that significantly affect their rights, is challenging.  </w:t>
      </w:r>
    </w:p>
    <w:p w14:paraId="2C475A99" w14:textId="77777777" w:rsidR="006F12BE" w:rsidRPr="00D63B51" w:rsidRDefault="006F12BE" w:rsidP="006F12BE">
      <w:pPr>
        <w:spacing w:line="360" w:lineRule="auto"/>
        <w:ind w:firstLine="720"/>
        <w:jc w:val="both"/>
        <w:rPr>
          <w:rFonts w:eastAsia="Times New Roman" w:cs="Times New Roman"/>
          <w:color w:val="000000"/>
        </w:rPr>
      </w:pPr>
      <w:r w:rsidRPr="00D63B51">
        <w:rPr>
          <w:rFonts w:eastAsia="Times New Roman" w:cs="Times New Roman"/>
          <w:color w:val="000000"/>
        </w:rPr>
        <w:lastRenderedPageBreak/>
        <w:t xml:space="preserve">Under Fed. R. Bk. P. 3017(d), the court ensures that notices to inform creditors of the proposed plan of reorganization and their voting rights are transmitted to all creditors, which may include: </w:t>
      </w:r>
    </w:p>
    <w:p w14:paraId="486B75D3" w14:textId="77777777" w:rsidR="006F12BE" w:rsidRPr="00D63B51" w:rsidRDefault="006F12BE" w:rsidP="006F12BE">
      <w:pPr>
        <w:numPr>
          <w:ilvl w:val="0"/>
          <w:numId w:val="27"/>
        </w:numPr>
        <w:shd w:val="clear" w:color="auto" w:fill="FFFFFF"/>
        <w:spacing w:after="240"/>
        <w:ind w:left="1080" w:right="720"/>
        <w:jc w:val="both"/>
        <w:rPr>
          <w:rFonts w:eastAsia="Times New Roman" w:cs="Times New Roman"/>
          <w:color w:val="333333"/>
        </w:rPr>
      </w:pPr>
      <w:r w:rsidRPr="00D63B51">
        <w:rPr>
          <w:rFonts w:eastAsia="Times New Roman" w:cs="Times New Roman"/>
          <w:color w:val="333333"/>
        </w:rPr>
        <w:t>a court-approved disclosure statement;</w:t>
      </w:r>
    </w:p>
    <w:p w14:paraId="5D93FC1D" w14:textId="77777777" w:rsidR="006F12BE" w:rsidRPr="00D63B51" w:rsidRDefault="006F12BE" w:rsidP="006F12BE">
      <w:pPr>
        <w:numPr>
          <w:ilvl w:val="0"/>
          <w:numId w:val="27"/>
        </w:numPr>
        <w:shd w:val="clear" w:color="auto" w:fill="FFFFFF"/>
        <w:spacing w:after="240"/>
        <w:ind w:left="1080" w:right="720"/>
        <w:jc w:val="both"/>
        <w:rPr>
          <w:rFonts w:eastAsia="Times New Roman" w:cs="Times New Roman"/>
          <w:color w:val="333333"/>
        </w:rPr>
      </w:pPr>
      <w:r w:rsidRPr="00D63B51">
        <w:rPr>
          <w:rFonts w:eastAsia="Times New Roman" w:cs="Times New Roman"/>
          <w:color w:val="333333"/>
        </w:rPr>
        <w:t>a plan or a court-approved summary of it;</w:t>
      </w:r>
      <w:r w:rsidRPr="00D63B51">
        <w:rPr>
          <w:rFonts w:eastAsia="Times New Roman" w:cs="Times New Roman"/>
          <w:color w:val="333333"/>
          <w:vertAlign w:val="superscript"/>
        </w:rPr>
        <w:footnoteReference w:id="287"/>
      </w:r>
      <w:r w:rsidRPr="00D63B51">
        <w:rPr>
          <w:rFonts w:eastAsia="Times New Roman" w:cs="Times New Roman"/>
          <w:color w:val="333333"/>
        </w:rPr>
        <w:t xml:space="preserve"> </w:t>
      </w:r>
    </w:p>
    <w:p w14:paraId="113BC3EC" w14:textId="77777777" w:rsidR="006F12BE" w:rsidRPr="00D63B51" w:rsidRDefault="006F12BE" w:rsidP="006F12BE">
      <w:pPr>
        <w:numPr>
          <w:ilvl w:val="0"/>
          <w:numId w:val="27"/>
        </w:numPr>
        <w:shd w:val="clear" w:color="auto" w:fill="FFFFFF"/>
        <w:spacing w:after="240"/>
        <w:ind w:left="1080" w:right="720"/>
        <w:jc w:val="both"/>
        <w:rPr>
          <w:rFonts w:eastAsia="Times New Roman" w:cs="Times New Roman"/>
          <w:color w:val="333333"/>
        </w:rPr>
      </w:pPr>
      <w:r w:rsidRPr="00D63B51">
        <w:rPr>
          <w:rFonts w:eastAsia="Times New Roman" w:cs="Times New Roman"/>
          <w:color w:val="333333"/>
        </w:rPr>
        <w:t xml:space="preserve">a provision releasing nondebtors of liabilities—which when applicable is contained in the plan, described in the disclosure statement, and approved or disapproved by means of a master ballot; </w:t>
      </w:r>
    </w:p>
    <w:p w14:paraId="3CD7F0FA" w14:textId="77777777" w:rsidR="006F12BE" w:rsidRPr="00D63B51" w:rsidRDefault="006F12BE" w:rsidP="006F12BE">
      <w:pPr>
        <w:numPr>
          <w:ilvl w:val="0"/>
          <w:numId w:val="27"/>
        </w:numPr>
        <w:shd w:val="clear" w:color="auto" w:fill="FFFFFF"/>
        <w:spacing w:after="240"/>
        <w:ind w:left="1080" w:right="720"/>
        <w:jc w:val="both"/>
        <w:rPr>
          <w:rFonts w:eastAsia="Times New Roman" w:cs="Times New Roman"/>
          <w:color w:val="333333"/>
        </w:rPr>
      </w:pPr>
      <w:r w:rsidRPr="00D63B51">
        <w:rPr>
          <w:rFonts w:eastAsia="Times New Roman" w:cs="Times New Roman"/>
          <w:color w:val="333333"/>
        </w:rPr>
        <w:t>a notice of the time to file acceptances and rejections of the plan;</w:t>
      </w:r>
      <w:r w:rsidRPr="00D63B51">
        <w:rPr>
          <w:rFonts w:eastAsia="Times New Roman" w:cs="Times New Roman"/>
          <w:color w:val="333333"/>
          <w:vertAlign w:val="superscript"/>
        </w:rPr>
        <w:footnoteReference w:id="288"/>
      </w:r>
      <w:r w:rsidRPr="00D63B51">
        <w:rPr>
          <w:rFonts w:eastAsia="Times New Roman" w:cs="Times New Roman"/>
          <w:color w:val="333333"/>
        </w:rPr>
        <w:t xml:space="preserve"> and</w:t>
      </w:r>
    </w:p>
    <w:p w14:paraId="43448228" w14:textId="77777777" w:rsidR="006F12BE" w:rsidRPr="00D63B51" w:rsidRDefault="006F12BE" w:rsidP="006F12BE">
      <w:pPr>
        <w:numPr>
          <w:ilvl w:val="0"/>
          <w:numId w:val="27"/>
        </w:numPr>
        <w:shd w:val="clear" w:color="auto" w:fill="FFFFFF"/>
        <w:spacing w:after="240"/>
        <w:ind w:left="1080" w:right="720"/>
        <w:jc w:val="both"/>
        <w:rPr>
          <w:rFonts w:eastAsia="Times New Roman" w:cs="Times New Roman"/>
          <w:color w:val="333333"/>
        </w:rPr>
      </w:pPr>
      <w:r w:rsidRPr="00D63B51">
        <w:rPr>
          <w:rFonts w:eastAsia="Times New Roman" w:cs="Times New Roman"/>
          <w:color w:val="333333"/>
        </w:rPr>
        <w:t>a detailed ballot, which often includes densely worded instructions and recitations of creditor rights and obligations.</w:t>
      </w:r>
    </w:p>
    <w:p w14:paraId="3642227B" w14:textId="77777777" w:rsidR="006F12BE" w:rsidRPr="00D63B51" w:rsidRDefault="006F12BE" w:rsidP="006F12BE">
      <w:pPr>
        <w:shd w:val="clear" w:color="auto" w:fill="FFFFFF"/>
        <w:spacing w:line="360" w:lineRule="auto"/>
        <w:ind w:firstLine="245"/>
        <w:jc w:val="both"/>
        <w:rPr>
          <w:rFonts w:eastAsia="Times New Roman" w:cs="Times New Roman"/>
          <w:color w:val="auto"/>
        </w:rPr>
      </w:pPr>
      <w:r w:rsidRPr="00D63B51">
        <w:rPr>
          <w:rFonts w:eastAsia="Times New Roman" w:cs="Times New Roman"/>
          <w:color w:val="333333"/>
        </w:rPr>
        <w:tab/>
        <w:t xml:space="preserve">These documents can be long, often more than one hundred pages. Key among these documents are the proposed plan of reorganization, the related disclosure statement, and with them, a ballot for acceptance or rejection of the plan, and when applicable, an election to consent or disapprove a release of claims against nondebtors.  </w:t>
      </w:r>
      <w:r w:rsidRPr="00D63B51">
        <w:rPr>
          <w:rFonts w:eastAsia="Times New Roman" w:cs="Times New Roman"/>
          <w:color w:val="auto"/>
        </w:rPr>
        <w:t>These documents must include “adequate information” that is understandable for creditors to make an informed judgment when exercising their rights.</w:t>
      </w:r>
      <w:r w:rsidRPr="00D63B51">
        <w:rPr>
          <w:rFonts w:eastAsia="Times New Roman" w:cs="Times New Roman"/>
          <w:color w:val="auto"/>
          <w:vertAlign w:val="superscript"/>
        </w:rPr>
        <w:footnoteReference w:id="289"/>
      </w:r>
      <w:r w:rsidRPr="00D63B51">
        <w:rPr>
          <w:rFonts w:eastAsia="Times New Roman" w:cs="Times New Roman"/>
          <w:color w:val="auto"/>
        </w:rPr>
        <w:t xml:space="preserve"> Too often, these documents do not effectively convey information adequately for creditors to make informed judgments because the wording and format are unclear. Lawyers routinely cut-and-paste provisions from documents and notices that were used and approved in previous matters. With every new matter, the provisions are supplemented with additional language, often resulting in run-on sentences that only worsen unclear text.  </w:t>
      </w:r>
    </w:p>
    <w:p w14:paraId="22319C61" w14:textId="1FB24DA9" w:rsidR="006F12BE" w:rsidRPr="00D63B51" w:rsidRDefault="006F12BE" w:rsidP="006F12BE">
      <w:pPr>
        <w:spacing w:after="160" w:line="360" w:lineRule="auto"/>
        <w:ind w:firstLine="720"/>
        <w:jc w:val="both"/>
        <w:rPr>
          <w:rFonts w:cs="Times New Roman"/>
        </w:rPr>
      </w:pPr>
      <w:r w:rsidRPr="00D63B51">
        <w:rPr>
          <w:rFonts w:cs="Times New Roman"/>
        </w:rPr>
        <w:t>The following Best Practices provide practical guidance on drafting effective solicitation documents, which apply to all of them, but in particular for the plan itself and the disclosure statement; for ballots relating to the plan’s approval; and, where applicable, for elections to consent or reject releases of claims against non-debtor parties.</w:t>
      </w:r>
      <w:r w:rsidRPr="00D63B51">
        <w:rPr>
          <w:rFonts w:cs="Times New Roman"/>
          <w:vertAlign w:val="superscript"/>
        </w:rPr>
        <w:footnoteReference w:id="290"/>
      </w:r>
      <w:r w:rsidRPr="00D63B51">
        <w:rPr>
          <w:rFonts w:cs="Times New Roman"/>
        </w:rPr>
        <w:t xml:space="preserve">  These Best Practices follow drafting </w:t>
      </w:r>
      <w:r w:rsidRPr="00D63B51">
        <w:rPr>
          <w:rFonts w:cs="Times New Roman"/>
        </w:rPr>
        <w:lastRenderedPageBreak/>
        <w:t>guidelines for effective rules, adopted by the Committee on Rules of Practice and Procedure and the Advisory Committee on Bankruptcy Rules;</w:t>
      </w:r>
      <w:r w:rsidRPr="00D63B51">
        <w:rPr>
          <w:rFonts w:cs="Times New Roman"/>
          <w:vertAlign w:val="superscript"/>
        </w:rPr>
        <w:footnoteReference w:id="291"/>
      </w:r>
      <w:r w:rsidRPr="00D63B51">
        <w:rPr>
          <w:rFonts w:cs="Times New Roman"/>
        </w:rPr>
        <w:t xml:space="preserve"> similar guidance by Bryan Garner</w:t>
      </w:r>
      <w:r w:rsidR="00095EFD" w:rsidRPr="00D63B51">
        <w:rPr>
          <w:rFonts w:cs="Times New Roman"/>
        </w:rPr>
        <w:t>, Joseph Kimble,</w:t>
      </w:r>
      <w:r w:rsidRPr="00D63B51">
        <w:rPr>
          <w:rFonts w:cs="Times New Roman"/>
        </w:rPr>
        <w:t xml:space="preserve"> and others with respect to effective legal writing more generally;</w:t>
      </w:r>
      <w:r w:rsidRPr="00D63B51">
        <w:rPr>
          <w:rFonts w:cs="Times New Roman"/>
          <w:vertAlign w:val="superscript"/>
        </w:rPr>
        <w:footnoteReference w:id="292"/>
      </w:r>
      <w:r w:rsidRPr="00D63B51">
        <w:rPr>
          <w:rFonts w:cs="Times New Roman"/>
        </w:rPr>
        <w:t xml:space="preserve"> and requirements actually imposed by courts to improve the readability of court submissions—particularly confirmation, sale, and financing orders, but also applicable more broadly.</w:t>
      </w:r>
      <w:r w:rsidRPr="00D63B51">
        <w:rPr>
          <w:rFonts w:cs="Times New Roman"/>
          <w:vertAlign w:val="superscript"/>
        </w:rPr>
        <w:footnoteReference w:id="293"/>
      </w:r>
      <w:r w:rsidRPr="00D63B51">
        <w:rPr>
          <w:rFonts w:cs="Times New Roman"/>
        </w:rPr>
        <w:t xml:space="preserve">  Plain English illustrative notice and release provisions are attached as Appendices A and B.</w:t>
      </w:r>
    </w:p>
    <w:p w14:paraId="64490AF4" w14:textId="4FA84A8B" w:rsidR="006F12BE" w:rsidRPr="00D63B51" w:rsidRDefault="006F12BE" w:rsidP="006F12BE">
      <w:pPr>
        <w:ind w:left="720" w:right="720"/>
        <w:jc w:val="both"/>
        <w:rPr>
          <w:rFonts w:eastAsia="Times New Roman" w:cs="Times New Roman"/>
          <w:b/>
          <w:bCs/>
          <w:color w:val="000000"/>
        </w:rPr>
      </w:pPr>
      <w:r w:rsidRPr="00D63B51">
        <w:rPr>
          <w:rFonts w:eastAsia="Times New Roman" w:cs="Times New Roman"/>
          <w:b/>
          <w:bCs/>
          <w:color w:val="000000"/>
        </w:rPr>
        <w:t>Best Practice MDL-§ 14(a): </w:t>
      </w:r>
      <w:r w:rsidRPr="00D63B51">
        <w:rPr>
          <w:rFonts w:eastAsia="Times New Roman" w:cs="Times New Roman"/>
          <w:color w:val="000000"/>
        </w:rPr>
        <w:t>Parties in a mass-tort bankruptcy</w:t>
      </w:r>
      <w:r w:rsidRPr="00D63B51">
        <w:rPr>
          <w:rFonts w:eastAsia="Times New Roman" w:cs="Times New Roman"/>
          <w:b/>
          <w:bCs/>
          <w:color w:val="000000"/>
        </w:rPr>
        <w:t> </w:t>
      </w:r>
      <w:r w:rsidRPr="00D63B51">
        <w:rPr>
          <w:rFonts w:eastAsia="Times New Roman" w:cs="Times New Roman"/>
          <w:color w:val="000000"/>
        </w:rPr>
        <w:t>should consider preparing and transmitting a summary-disclosure document to creditors, which succinctly explains the purpose of and major steps in the bankruptcy, including the rights and options of creditors.</w:t>
      </w:r>
      <w:r w:rsidR="00AB3984" w:rsidRPr="00D63B51">
        <w:rPr>
          <w:rFonts w:eastAsia="Times New Roman" w:cs="Times New Roman"/>
          <w:color w:val="000000"/>
        </w:rPr>
        <w:t xml:space="preserve"> </w:t>
      </w:r>
      <w:r w:rsidR="00AB3984" w:rsidRPr="00D63B51">
        <w:t xml:space="preserve">Permanent No. </w:t>
      </w:r>
      <w:r w:rsidR="00AB3984" w:rsidRPr="00D63B51">
        <w:rPr>
          <w:rFonts w:cs="Times New Roman"/>
        </w:rPr>
        <w:t>MDL-§ 1</w:t>
      </w:r>
      <w:r w:rsidR="000A0A7D" w:rsidRPr="00D63B51">
        <w:rPr>
          <w:rFonts w:cs="Times New Roman"/>
        </w:rPr>
        <w:t>8</w:t>
      </w:r>
      <w:r w:rsidR="00AB3984" w:rsidRPr="00D63B51">
        <w:rPr>
          <w:rFonts w:cs="Times New Roman"/>
        </w:rPr>
        <w:t>(a).</w:t>
      </w:r>
    </w:p>
    <w:p w14:paraId="61362B0C" w14:textId="77777777" w:rsidR="006F12BE" w:rsidRPr="00D63B51" w:rsidRDefault="006F12BE" w:rsidP="006F12BE">
      <w:pPr>
        <w:ind w:left="720" w:right="720"/>
        <w:jc w:val="both"/>
        <w:rPr>
          <w:rFonts w:eastAsia="Times New Roman" w:cs="Times New Roman"/>
          <w:b/>
          <w:bCs/>
          <w:color w:val="000000"/>
        </w:rPr>
      </w:pPr>
    </w:p>
    <w:p w14:paraId="761E6796" w14:textId="6BB247A4" w:rsidR="006F12BE" w:rsidRPr="00D63B51" w:rsidRDefault="006F12BE" w:rsidP="006F12BE">
      <w:pPr>
        <w:spacing w:line="360" w:lineRule="auto"/>
        <w:jc w:val="both"/>
        <w:rPr>
          <w:rFonts w:eastAsia="Times New Roman" w:cs="Times New Roman"/>
          <w:b/>
          <w:bCs/>
          <w:color w:val="000000"/>
        </w:rPr>
      </w:pPr>
      <w:r w:rsidRPr="00D63B51">
        <w:rPr>
          <w:rFonts w:eastAsia="Times New Roman" w:cs="Times New Roman"/>
          <w:b/>
          <w:bCs/>
          <w:color w:val="000000"/>
        </w:rPr>
        <w:tab/>
      </w:r>
      <w:r w:rsidRPr="00D63B51">
        <w:rPr>
          <w:rFonts w:eastAsia="Times New Roman" w:cs="Times New Roman"/>
          <w:color w:val="000000"/>
        </w:rPr>
        <w:t xml:space="preserve">Most tort claimants as well as their lawyers are unfamiliar with the bankruptcy process.  Understanding documents containing a proposed plan, a disclosure statement, and release provisions is difficult.  A written summary-disclosure document that highlights the major features </w:t>
      </w:r>
      <w:r w:rsidRPr="00D63B51">
        <w:rPr>
          <w:rFonts w:eastAsia="Times New Roman" w:cs="Times New Roman"/>
          <w:color w:val="000000"/>
        </w:rPr>
        <w:lastRenderedPageBreak/>
        <w:t>of the bankruptcy as well as these notices can help tort claimants better understand their rights and options in exercising those rights.  A model summary-disclosure document is attached as Appendix A</w:t>
      </w:r>
      <w:r w:rsidR="004E0271" w:rsidRPr="00D63B51">
        <w:rPr>
          <w:rFonts w:eastAsia="Times New Roman" w:cs="Times New Roman"/>
          <w:color w:val="000000"/>
        </w:rPr>
        <w:t xml:space="preserve"> (posted on Center website at</w:t>
      </w:r>
      <w:r w:rsidR="00ED7A25" w:rsidRPr="00D63B51">
        <w:rPr>
          <w:rFonts w:eastAsia="Times New Roman" w:cs="Times New Roman"/>
          <w:color w:val="000000"/>
        </w:rPr>
        <w:t xml:space="preserve"> </w:t>
      </w:r>
      <w:hyperlink r:id="rId9" w:history="1">
        <w:r w:rsidR="00983120" w:rsidRPr="00D63B51">
          <w:rPr>
            <w:rStyle w:val="Hyperlink"/>
            <w:rFonts w:eastAsia="Times New Roman" w:cs="Times New Roman"/>
          </w:rPr>
          <w:t>https://rabiejcenter.org/</w:t>
        </w:r>
      </w:hyperlink>
      <w:r w:rsidR="00983120" w:rsidRPr="00D63B51">
        <w:rPr>
          <w:rFonts w:eastAsia="Times New Roman" w:cs="Times New Roman"/>
          <w:color w:val="000000"/>
        </w:rPr>
        <w:t xml:space="preserve"> .</w:t>
      </w:r>
    </w:p>
    <w:p w14:paraId="0778EBD8" w14:textId="77D0EF2F" w:rsidR="006F12BE" w:rsidRPr="00D63B51" w:rsidRDefault="006F12BE" w:rsidP="006F12BE">
      <w:pPr>
        <w:ind w:left="720" w:right="720"/>
        <w:jc w:val="both"/>
      </w:pPr>
      <w:r w:rsidRPr="00D63B51">
        <w:rPr>
          <w:rFonts w:eastAsia="Times New Roman" w:cs="Times New Roman"/>
          <w:b/>
          <w:bCs/>
          <w:color w:val="000000"/>
        </w:rPr>
        <w:t>Best Practice MDL-§ 14(b): </w:t>
      </w:r>
      <w:r w:rsidRPr="00D63B51">
        <w:rPr>
          <w:rFonts w:eastAsia="Times New Roman" w:cs="Times New Roman"/>
          <w:color w:val="000000"/>
        </w:rPr>
        <w:t>When drafting disclosure statements and</w:t>
      </w:r>
      <w:r w:rsidRPr="00D63B51">
        <w:rPr>
          <w:color w:val="000000"/>
        </w:rPr>
        <w:t xml:space="preserve"> </w:t>
      </w:r>
      <w:r w:rsidRPr="00D63B51">
        <w:t xml:space="preserve">notices to creditors informing them of a proposed plan of reorganization and their rights to accept or reject it, parties in a mass-tort bankruptcy should avoid legalese and should clearly and concisely draft those documents in plain, easily understood language, and in a readable format. </w:t>
      </w:r>
      <w:r w:rsidR="00AB3984" w:rsidRPr="00D63B51">
        <w:t xml:space="preserve">Permanent No. </w:t>
      </w:r>
      <w:r w:rsidR="00AB3984" w:rsidRPr="00D63B51">
        <w:rPr>
          <w:rFonts w:cs="Times New Roman"/>
        </w:rPr>
        <w:t>MDL-§ 1</w:t>
      </w:r>
      <w:r w:rsidR="000A0A7D" w:rsidRPr="00D63B51">
        <w:rPr>
          <w:rFonts w:cs="Times New Roman"/>
        </w:rPr>
        <w:t>8</w:t>
      </w:r>
      <w:r w:rsidR="00AB3984" w:rsidRPr="00D63B51">
        <w:rPr>
          <w:rFonts w:cs="Times New Roman"/>
        </w:rPr>
        <w:t>(b).</w:t>
      </w:r>
    </w:p>
    <w:p w14:paraId="44FC64CE" w14:textId="77777777" w:rsidR="006F12BE" w:rsidRPr="00D63B51" w:rsidRDefault="006F12BE" w:rsidP="006F12BE">
      <w:pPr>
        <w:jc w:val="both"/>
        <w:rPr>
          <w:rFonts w:eastAsia="Times New Roman" w:cs="Times New Roman"/>
          <w:color w:val="000000"/>
        </w:rPr>
      </w:pPr>
    </w:p>
    <w:p w14:paraId="21B41A8A" w14:textId="77777777" w:rsidR="006F12BE" w:rsidRPr="00D63B51" w:rsidRDefault="006F12BE" w:rsidP="006F12BE">
      <w:pPr>
        <w:spacing w:line="360" w:lineRule="auto"/>
        <w:ind w:firstLine="720"/>
        <w:jc w:val="both"/>
        <w:rPr>
          <w:rFonts w:eastAsia="Times New Roman" w:cs="Times New Roman"/>
          <w:color w:val="000000"/>
        </w:rPr>
      </w:pPr>
      <w:r w:rsidRPr="00D63B51">
        <w:rPr>
          <w:rFonts w:eastAsia="Times New Roman" w:cs="Times New Roman"/>
          <w:color w:val="000000"/>
        </w:rPr>
        <w:t>When a mass-tort bankruptcy approaches successful completion, tort claimants will get an opportunity to vote—for confirmation of a plan, releases of nondebtors, or both.  In the plan-confirmation context, the Bankruptcy Code defines “adequate information” to be information that enables a person “to make an informed judgment about the plan.”</w:t>
      </w:r>
      <w:r w:rsidRPr="00D63B51">
        <w:rPr>
          <w:rFonts w:eastAsia="Times New Roman" w:cs="Times New Roman"/>
          <w:color w:val="000000"/>
          <w:vertAlign w:val="superscript"/>
        </w:rPr>
        <w:footnoteReference w:id="294"/>
      </w:r>
      <w:r w:rsidRPr="00D63B51">
        <w:rPr>
          <w:rFonts w:eastAsia="Times New Roman" w:cs="Times New Roman"/>
          <w:color w:val="000000"/>
        </w:rPr>
        <w:t xml:space="preserve">  In every context, unclear notices can prevent a full understanding of the factors related to the decision to be made and undermine a tort claimant’s ability to make an informed judgment.  </w:t>
      </w:r>
    </w:p>
    <w:p w14:paraId="156AE299" w14:textId="77777777" w:rsidR="006F12BE" w:rsidRPr="00D63B51" w:rsidRDefault="006F12BE" w:rsidP="006F12BE">
      <w:pPr>
        <w:spacing w:line="360" w:lineRule="auto"/>
        <w:ind w:firstLine="720"/>
        <w:jc w:val="both"/>
        <w:rPr>
          <w:rFonts w:eastAsia="Times New Roman" w:cs="Times New Roman"/>
          <w:color w:val="000000"/>
        </w:rPr>
      </w:pPr>
      <w:r w:rsidRPr="00D63B51">
        <w:rPr>
          <w:rFonts w:eastAsia="Times New Roman" w:cs="Times New Roman"/>
          <w:color w:val="000000"/>
        </w:rPr>
        <w:t>On a regular basis, parties communicating with tort claimants should employ language that is readily understandable to the tort claimants themselves.  Drafters of communications to tort claimants should avoid legalese.  To the contrary, the communications should state, clearly and concisely, in plain, easily understood, language—and in a readable format—any decisions the tort claimants might need to make.</w:t>
      </w:r>
    </w:p>
    <w:p w14:paraId="4083BF7B" w14:textId="77777777" w:rsidR="006F12BE" w:rsidRPr="00D63B51" w:rsidRDefault="006F12BE" w:rsidP="006F12BE">
      <w:pPr>
        <w:spacing w:after="160" w:line="360" w:lineRule="auto"/>
        <w:ind w:firstLine="720"/>
        <w:jc w:val="both"/>
        <w:rPr>
          <w:rFonts w:cs="Times New Roman"/>
        </w:rPr>
      </w:pPr>
      <w:r w:rsidRPr="00D63B51">
        <w:rPr>
          <w:rFonts w:cs="Times New Roman"/>
        </w:rPr>
        <w:t>Tort-claimant recipients rarely will be lawyers.  In many instances (but much less than all of them), they will have counsel, but even then, their counsel will generally not be bankruptcy lawyers, and for the tort claimants and counsel alike, using plain English will be more effective and consistent with due process.</w:t>
      </w:r>
    </w:p>
    <w:p w14:paraId="1955987E" w14:textId="77777777" w:rsidR="006F12BE" w:rsidRPr="00D63B51" w:rsidRDefault="006F12BE" w:rsidP="006F12BE">
      <w:pPr>
        <w:spacing w:after="160" w:line="360" w:lineRule="auto"/>
        <w:ind w:firstLine="720"/>
        <w:jc w:val="both"/>
        <w:rPr>
          <w:rFonts w:eastAsia="Times New Roman" w:cs="Times New Roman"/>
          <w:color w:val="000000"/>
        </w:rPr>
      </w:pPr>
      <w:r w:rsidRPr="00D63B51">
        <w:rPr>
          <w:rFonts w:cs="Times New Roman"/>
        </w:rPr>
        <w:t>Nor will tort claimants (and in many instances, their lawyers) be familiar with the drafting so often employed by lawyers in indentures and prospectuses, and, too often, in bankruptcy filings themselves—often for no reason other than “that’s the way we always did it,” or that identical language was used in a previous submission or order of another court.  But that drafting style will often be unintelligible to individuals unaccustomed to that drafting habit, presenting a comprehensibility challenge for tort claimants, their tort lawyers, and even for the bankruptcy (and appellate) judges who must approve or construe it.</w:t>
      </w:r>
    </w:p>
    <w:p w14:paraId="03C7E634" w14:textId="77777777" w:rsidR="006F12BE" w:rsidRPr="00D63B51" w:rsidRDefault="006F12BE" w:rsidP="006F12BE">
      <w:pPr>
        <w:keepNext/>
        <w:keepLines/>
        <w:spacing w:line="360" w:lineRule="auto"/>
        <w:ind w:firstLine="720"/>
        <w:jc w:val="both"/>
        <w:rPr>
          <w:rFonts w:cs="Times New Roman"/>
        </w:rPr>
      </w:pPr>
      <w:r w:rsidRPr="00D63B51">
        <w:rPr>
          <w:rFonts w:cs="Times New Roman"/>
        </w:rPr>
        <w:lastRenderedPageBreak/>
        <w:t>Of particular significance, drafters of notices to tort claimants should:</w:t>
      </w:r>
    </w:p>
    <w:p w14:paraId="26D716DC" w14:textId="77777777" w:rsidR="006F12BE" w:rsidRPr="00D63B51" w:rsidRDefault="006F12BE" w:rsidP="006F12BE">
      <w:pPr>
        <w:numPr>
          <w:ilvl w:val="0"/>
          <w:numId w:val="25"/>
        </w:numPr>
        <w:tabs>
          <w:tab w:val="left" w:pos="432"/>
        </w:tabs>
        <w:spacing w:after="240"/>
        <w:jc w:val="both"/>
        <w:rPr>
          <w:rFonts w:cs="Times New Roman"/>
          <w:color w:val="auto"/>
          <w:kern w:val="2"/>
          <w:szCs w:val="22"/>
          <w14:ligatures w14:val="standardContextual"/>
        </w:rPr>
      </w:pPr>
      <w:r w:rsidRPr="00D63B51">
        <w:rPr>
          <w:rFonts w:cs="Times New Roman"/>
          <w:color w:val="auto"/>
          <w:kern w:val="2"/>
          <w:szCs w:val="22"/>
          <w14:ligatures w14:val="standardContextual"/>
        </w:rPr>
        <w:t>Not employ legalese;</w:t>
      </w:r>
      <w:r w:rsidRPr="00D63B51">
        <w:rPr>
          <w:rFonts w:cs="Times New Roman"/>
          <w:color w:val="auto"/>
          <w:kern w:val="2"/>
          <w:szCs w:val="22"/>
          <w:vertAlign w:val="superscript"/>
          <w14:ligatures w14:val="standardContextual"/>
        </w:rPr>
        <w:footnoteReference w:id="295"/>
      </w:r>
    </w:p>
    <w:p w14:paraId="2494B1B7" w14:textId="77777777" w:rsidR="006F12BE" w:rsidRPr="00D63B51" w:rsidRDefault="006F12BE" w:rsidP="006F12BE">
      <w:pPr>
        <w:numPr>
          <w:ilvl w:val="0"/>
          <w:numId w:val="25"/>
        </w:numPr>
        <w:tabs>
          <w:tab w:val="left" w:pos="432"/>
        </w:tabs>
        <w:spacing w:after="240"/>
        <w:jc w:val="both"/>
        <w:rPr>
          <w:rFonts w:cs="Times New Roman"/>
          <w:color w:val="auto"/>
          <w:kern w:val="2"/>
          <w:szCs w:val="22"/>
          <w14:ligatures w14:val="standardContextual"/>
        </w:rPr>
      </w:pPr>
      <w:r w:rsidRPr="00D63B51">
        <w:rPr>
          <w:rFonts w:cs="Times New Roman"/>
          <w:color w:val="auto"/>
          <w:kern w:val="2"/>
          <w:szCs w:val="22"/>
          <w14:ligatures w14:val="standardContextual"/>
        </w:rPr>
        <w:t>Refrain from saying the same thing using different, and effectively repetitive, words;</w:t>
      </w:r>
      <w:r w:rsidRPr="00D63B51">
        <w:rPr>
          <w:rFonts w:cs="Times New Roman"/>
          <w:color w:val="auto"/>
          <w:kern w:val="2"/>
          <w:szCs w:val="22"/>
          <w:vertAlign w:val="superscript"/>
          <w14:ligatures w14:val="standardContextual"/>
        </w:rPr>
        <w:footnoteReference w:id="296"/>
      </w:r>
    </w:p>
    <w:p w14:paraId="7772915E" w14:textId="77777777" w:rsidR="006F12BE" w:rsidRPr="00D63B51" w:rsidRDefault="006F12BE" w:rsidP="006F12BE">
      <w:pPr>
        <w:numPr>
          <w:ilvl w:val="0"/>
          <w:numId w:val="25"/>
        </w:numPr>
        <w:tabs>
          <w:tab w:val="left" w:pos="432"/>
        </w:tabs>
        <w:spacing w:after="240"/>
        <w:jc w:val="both"/>
        <w:rPr>
          <w:rFonts w:cs="Times New Roman"/>
          <w:color w:val="auto"/>
          <w:kern w:val="2"/>
          <w:szCs w:val="22"/>
          <w14:ligatures w14:val="standardContextual"/>
        </w:rPr>
      </w:pPr>
      <w:r w:rsidRPr="00D63B51">
        <w:rPr>
          <w:rFonts w:cs="Times New Roman"/>
          <w:color w:val="auto"/>
          <w:kern w:val="2"/>
          <w:szCs w:val="22"/>
          <w14:ligatures w14:val="standardContextual"/>
        </w:rPr>
        <w:t>Not draft with massive blocks of text, especially if the text goes on for most of a page, or, worse, on to another page;</w:t>
      </w:r>
    </w:p>
    <w:p w14:paraId="013FC5D4" w14:textId="77777777" w:rsidR="006F12BE" w:rsidRPr="00D63B51" w:rsidRDefault="006F12BE" w:rsidP="006F12BE">
      <w:pPr>
        <w:numPr>
          <w:ilvl w:val="0"/>
          <w:numId w:val="25"/>
        </w:numPr>
        <w:tabs>
          <w:tab w:val="left" w:pos="432"/>
        </w:tabs>
        <w:spacing w:after="240"/>
        <w:jc w:val="both"/>
        <w:rPr>
          <w:rFonts w:cs="Times New Roman"/>
          <w:color w:val="auto"/>
          <w:kern w:val="2"/>
          <w:szCs w:val="22"/>
          <w14:ligatures w14:val="standardContextual"/>
        </w:rPr>
      </w:pPr>
      <w:r w:rsidRPr="00D63B51">
        <w:rPr>
          <w:rFonts w:cs="Times New Roman"/>
          <w:color w:val="auto"/>
          <w:kern w:val="2"/>
          <w:szCs w:val="22"/>
          <w14:ligatures w14:val="standardContextual"/>
        </w:rPr>
        <w:t>Not include lists in the midst of long block paragraphs</w:t>
      </w:r>
      <w:r w:rsidRPr="00D63B51">
        <w:rPr>
          <w:rFonts w:cs="Times New Roman"/>
          <w:color w:val="auto"/>
          <w:kern w:val="2"/>
          <w:szCs w:val="22"/>
          <w:vertAlign w:val="superscript"/>
          <w14:ligatures w14:val="standardContextual"/>
        </w:rPr>
        <w:footnoteReference w:id="297"/>
      </w:r>
      <w:r w:rsidRPr="00D63B51">
        <w:rPr>
          <w:rFonts w:cs="Times New Roman"/>
          <w:color w:val="auto"/>
          <w:kern w:val="2"/>
          <w:szCs w:val="22"/>
          <w14:ligatures w14:val="standardContextual"/>
        </w:rPr>
        <w:t>—or even short ones.</w:t>
      </w:r>
      <w:r w:rsidRPr="00D63B51">
        <w:rPr>
          <w:rFonts w:cs="Times New Roman"/>
          <w:color w:val="auto"/>
          <w:kern w:val="2"/>
          <w:szCs w:val="22"/>
          <w:vertAlign w:val="superscript"/>
          <w14:ligatures w14:val="standardContextual"/>
        </w:rPr>
        <w:footnoteReference w:id="298"/>
      </w:r>
    </w:p>
    <w:p w14:paraId="0695011A" w14:textId="77777777" w:rsidR="006F12BE" w:rsidRPr="00D63B51" w:rsidRDefault="006F12BE" w:rsidP="006F12BE">
      <w:pPr>
        <w:numPr>
          <w:ilvl w:val="0"/>
          <w:numId w:val="25"/>
        </w:numPr>
        <w:tabs>
          <w:tab w:val="left" w:pos="432"/>
        </w:tabs>
        <w:spacing w:after="240"/>
        <w:jc w:val="both"/>
        <w:rPr>
          <w:rFonts w:cs="Times New Roman"/>
          <w:color w:val="auto"/>
          <w:kern w:val="2"/>
          <w:szCs w:val="22"/>
          <w14:ligatures w14:val="standardContextual"/>
        </w:rPr>
      </w:pPr>
      <w:r w:rsidRPr="00D63B51">
        <w:rPr>
          <w:rFonts w:cs="Times New Roman"/>
          <w:color w:val="auto"/>
          <w:kern w:val="2"/>
          <w:szCs w:val="22"/>
          <w14:ligatures w14:val="standardContextual"/>
        </w:rPr>
        <w:t>Refrain from “Justifying” the text;</w:t>
      </w:r>
      <w:r w:rsidRPr="00D63B51">
        <w:rPr>
          <w:rFonts w:cs="Times New Roman"/>
          <w:color w:val="auto"/>
          <w:kern w:val="2"/>
          <w:szCs w:val="22"/>
          <w:vertAlign w:val="superscript"/>
          <w14:ligatures w14:val="standardContextual"/>
        </w:rPr>
        <w:footnoteReference w:id="299"/>
      </w:r>
    </w:p>
    <w:p w14:paraId="1D5806EF" w14:textId="77777777" w:rsidR="006F12BE" w:rsidRPr="00D63B51" w:rsidRDefault="006F12BE" w:rsidP="006F12BE">
      <w:pPr>
        <w:numPr>
          <w:ilvl w:val="0"/>
          <w:numId w:val="25"/>
        </w:numPr>
        <w:tabs>
          <w:tab w:val="left" w:pos="432"/>
        </w:tabs>
        <w:spacing w:after="240"/>
        <w:jc w:val="both"/>
        <w:rPr>
          <w:rFonts w:cs="Times New Roman"/>
          <w:color w:val="auto"/>
          <w:kern w:val="2"/>
          <w:szCs w:val="22"/>
          <w14:ligatures w14:val="standardContextual"/>
        </w:rPr>
      </w:pPr>
      <w:r w:rsidRPr="00D63B51">
        <w:rPr>
          <w:rFonts w:cs="Times New Roman"/>
          <w:color w:val="auto"/>
          <w:kern w:val="2"/>
          <w:szCs w:val="22"/>
          <w14:ligatures w14:val="standardContextual"/>
        </w:rPr>
        <w:t>Not use all caps, except possibly for a title;</w:t>
      </w:r>
      <w:r w:rsidRPr="00D63B51">
        <w:rPr>
          <w:rFonts w:cs="Times New Roman"/>
          <w:color w:val="auto"/>
          <w:kern w:val="2"/>
          <w:szCs w:val="22"/>
          <w:vertAlign w:val="superscript"/>
          <w14:ligatures w14:val="standardContextual"/>
        </w:rPr>
        <w:footnoteReference w:id="300"/>
      </w:r>
    </w:p>
    <w:p w14:paraId="550EBE8C" w14:textId="77777777" w:rsidR="006F12BE" w:rsidRPr="00D63B51" w:rsidRDefault="006F12BE" w:rsidP="006F12BE">
      <w:pPr>
        <w:numPr>
          <w:ilvl w:val="0"/>
          <w:numId w:val="25"/>
        </w:numPr>
        <w:tabs>
          <w:tab w:val="left" w:pos="432"/>
        </w:tabs>
        <w:spacing w:after="240"/>
        <w:jc w:val="both"/>
        <w:rPr>
          <w:rFonts w:cs="Times New Roman"/>
          <w:color w:val="auto"/>
          <w:kern w:val="2"/>
          <w:szCs w:val="22"/>
          <w14:ligatures w14:val="standardContextual"/>
        </w:rPr>
      </w:pPr>
      <w:r w:rsidRPr="00D63B51">
        <w:rPr>
          <w:rFonts w:cs="Times New Roman"/>
          <w:color w:val="auto"/>
          <w:kern w:val="2"/>
          <w:szCs w:val="22"/>
          <w14:ligatures w14:val="standardContextual"/>
        </w:rPr>
        <w:t>Refrain from burying important concepts in the middle of lengthy paragraphs; and</w:t>
      </w:r>
    </w:p>
    <w:p w14:paraId="31B0D27F" w14:textId="77777777" w:rsidR="006F12BE" w:rsidRPr="00D63B51" w:rsidRDefault="006F12BE" w:rsidP="006F12BE">
      <w:pPr>
        <w:numPr>
          <w:ilvl w:val="0"/>
          <w:numId w:val="25"/>
        </w:numPr>
        <w:tabs>
          <w:tab w:val="left" w:pos="432"/>
        </w:tabs>
        <w:spacing w:after="240"/>
        <w:jc w:val="both"/>
        <w:rPr>
          <w:rFonts w:cs="Times New Roman"/>
          <w:color w:val="auto"/>
          <w:kern w:val="2"/>
          <w:szCs w:val="22"/>
          <w14:ligatures w14:val="standardContextual"/>
        </w:rPr>
      </w:pPr>
      <w:r w:rsidRPr="00D63B51">
        <w:rPr>
          <w:rFonts w:cs="Times New Roman"/>
          <w:color w:val="auto"/>
          <w:kern w:val="2"/>
          <w:szCs w:val="22"/>
          <w14:ligatures w14:val="standardContextual"/>
        </w:rPr>
        <w:t>Not employ acronyms, except when they have obvious meaning.</w:t>
      </w:r>
      <w:r w:rsidRPr="00D63B51">
        <w:rPr>
          <w:rFonts w:cs="Times New Roman"/>
          <w:color w:val="auto"/>
          <w:kern w:val="2"/>
          <w:szCs w:val="22"/>
          <w:vertAlign w:val="superscript"/>
          <w14:ligatures w14:val="standardContextual"/>
        </w:rPr>
        <w:footnoteReference w:id="301"/>
      </w:r>
    </w:p>
    <w:p w14:paraId="678814D2" w14:textId="77777777" w:rsidR="006F12BE" w:rsidRPr="00D63B51" w:rsidRDefault="006F12BE" w:rsidP="006F12BE">
      <w:pPr>
        <w:spacing w:after="160" w:line="480" w:lineRule="auto"/>
        <w:ind w:left="720"/>
        <w:contextualSpacing/>
        <w:jc w:val="both"/>
        <w:rPr>
          <w:rFonts w:cs="Times New Roman"/>
          <w:color w:val="auto"/>
        </w:rPr>
      </w:pPr>
      <w:r w:rsidRPr="00D63B51">
        <w:rPr>
          <w:rFonts w:cs="Times New Roman"/>
          <w:color w:val="auto"/>
        </w:rPr>
        <w:t>Instead, drafters should:</w:t>
      </w:r>
    </w:p>
    <w:p w14:paraId="6A93AF74" w14:textId="77777777" w:rsidR="006F12BE" w:rsidRPr="00D63B51" w:rsidRDefault="006F12BE" w:rsidP="006F12BE">
      <w:pPr>
        <w:numPr>
          <w:ilvl w:val="0"/>
          <w:numId w:val="26"/>
        </w:numPr>
        <w:spacing w:after="240"/>
        <w:ind w:left="1498"/>
        <w:jc w:val="both"/>
        <w:rPr>
          <w:rFonts w:cs="Times New Roman"/>
          <w:color w:val="auto"/>
        </w:rPr>
      </w:pPr>
      <w:r w:rsidRPr="00D63B51">
        <w:rPr>
          <w:rFonts w:cs="Times New Roman"/>
          <w:color w:val="auto"/>
        </w:rPr>
        <w:t>Use a readable format with short paragraphs; break up long sentences; and allow for generous white space in the document;</w:t>
      </w:r>
    </w:p>
    <w:p w14:paraId="3EBED5F3" w14:textId="77777777" w:rsidR="006F12BE" w:rsidRPr="00D63B51" w:rsidRDefault="006F12BE" w:rsidP="006F12BE">
      <w:pPr>
        <w:numPr>
          <w:ilvl w:val="0"/>
          <w:numId w:val="26"/>
        </w:numPr>
        <w:spacing w:after="240"/>
        <w:ind w:left="1498"/>
        <w:jc w:val="both"/>
        <w:rPr>
          <w:rFonts w:cs="Times New Roman"/>
          <w:color w:val="auto"/>
        </w:rPr>
      </w:pPr>
      <w:r w:rsidRPr="00D63B51">
        <w:rPr>
          <w:rFonts w:cs="Times New Roman"/>
          <w:color w:val="auto"/>
        </w:rPr>
        <w:lastRenderedPageBreak/>
        <w:t>Use plain English, using readily understandable words—and avoiding words learned in law school (or that would never be used except by a lawyer or judge), except when absolutely necessary;</w:t>
      </w:r>
    </w:p>
    <w:p w14:paraId="3A2298D4" w14:textId="77777777" w:rsidR="006F12BE" w:rsidRPr="00D63B51" w:rsidRDefault="006F12BE" w:rsidP="006F12BE">
      <w:pPr>
        <w:numPr>
          <w:ilvl w:val="0"/>
          <w:numId w:val="26"/>
        </w:numPr>
        <w:spacing w:after="240"/>
        <w:ind w:left="1498"/>
        <w:jc w:val="both"/>
        <w:rPr>
          <w:rFonts w:cs="Times New Roman"/>
          <w:color w:val="auto"/>
        </w:rPr>
      </w:pPr>
      <w:r w:rsidRPr="00D63B51">
        <w:rPr>
          <w:rFonts w:cs="Times New Roman"/>
          <w:color w:val="auto"/>
        </w:rPr>
        <w:t>Maximize adherence to guidance by Garner and other writing experts to keep sentences as short as possible—and whenever possible of a length no longer than the length (averaging 25 to 30 words) Garner recommends;</w:t>
      </w:r>
      <w:r w:rsidRPr="00D63B51">
        <w:rPr>
          <w:rFonts w:cs="Times New Roman"/>
          <w:color w:val="auto"/>
          <w:vertAlign w:val="superscript"/>
        </w:rPr>
        <w:footnoteReference w:id="302"/>
      </w:r>
    </w:p>
    <w:p w14:paraId="5C4DD6C7" w14:textId="77777777" w:rsidR="006F12BE" w:rsidRPr="00D63B51" w:rsidRDefault="006F12BE" w:rsidP="006F12BE">
      <w:pPr>
        <w:numPr>
          <w:ilvl w:val="0"/>
          <w:numId w:val="26"/>
        </w:numPr>
        <w:spacing w:after="240"/>
        <w:ind w:left="1498"/>
        <w:jc w:val="both"/>
        <w:rPr>
          <w:rFonts w:cs="Times New Roman"/>
          <w:color w:val="auto"/>
        </w:rPr>
      </w:pPr>
      <w:r w:rsidRPr="00D63B51">
        <w:rPr>
          <w:rFonts w:cs="Times New Roman"/>
          <w:color w:val="auto"/>
        </w:rPr>
        <w:t>Keep paragraphs as short as possible—and where circumstances permit (and they usually do), break what would otherwise be a lengthy paragraph into two or more shorter ones;</w:t>
      </w:r>
    </w:p>
    <w:p w14:paraId="3135815C" w14:textId="77777777" w:rsidR="006F12BE" w:rsidRPr="00D63B51" w:rsidRDefault="006F12BE" w:rsidP="006F12BE">
      <w:pPr>
        <w:numPr>
          <w:ilvl w:val="0"/>
          <w:numId w:val="26"/>
        </w:numPr>
        <w:spacing w:after="240"/>
        <w:ind w:left="1498"/>
        <w:jc w:val="both"/>
        <w:rPr>
          <w:rFonts w:cs="Times New Roman"/>
          <w:color w:val="auto"/>
        </w:rPr>
      </w:pPr>
      <w:r w:rsidRPr="00D63B51">
        <w:rPr>
          <w:rFonts w:cs="Times New Roman"/>
          <w:color w:val="auto"/>
        </w:rPr>
        <w:t>Place the components of a list in separate subparagraphs, so they are easier to understand in context;</w:t>
      </w:r>
      <w:r w:rsidRPr="00D63B51">
        <w:rPr>
          <w:rFonts w:cs="Times New Roman"/>
          <w:color w:val="auto"/>
          <w:vertAlign w:val="superscript"/>
        </w:rPr>
        <w:footnoteReference w:id="303"/>
      </w:r>
    </w:p>
    <w:p w14:paraId="6CB083EE" w14:textId="77777777" w:rsidR="006F12BE" w:rsidRPr="00D63B51" w:rsidRDefault="006F12BE" w:rsidP="006F12BE">
      <w:pPr>
        <w:numPr>
          <w:ilvl w:val="0"/>
          <w:numId w:val="26"/>
        </w:numPr>
        <w:spacing w:after="240"/>
        <w:ind w:left="1498"/>
        <w:jc w:val="both"/>
        <w:rPr>
          <w:rFonts w:cs="Times New Roman"/>
          <w:color w:val="auto"/>
        </w:rPr>
      </w:pPr>
      <w:r w:rsidRPr="00D63B51">
        <w:rPr>
          <w:rFonts w:cs="Times New Roman"/>
          <w:color w:val="auto"/>
        </w:rPr>
        <w:t>Use frequent indentation, to make the components of a list understandable in context, and to avoid ambiguity in what later clauses modify; and</w:t>
      </w:r>
    </w:p>
    <w:p w14:paraId="4AC235AD" w14:textId="77777777" w:rsidR="006F12BE" w:rsidRPr="00D63B51" w:rsidRDefault="006F12BE" w:rsidP="006F12BE">
      <w:pPr>
        <w:numPr>
          <w:ilvl w:val="0"/>
          <w:numId w:val="26"/>
        </w:numPr>
        <w:spacing w:after="240"/>
        <w:ind w:left="1498"/>
        <w:jc w:val="both"/>
        <w:rPr>
          <w:rFonts w:cs="Times New Roman"/>
          <w:color w:val="auto"/>
        </w:rPr>
      </w:pPr>
      <w:r w:rsidRPr="00D63B51">
        <w:rPr>
          <w:rFonts w:cs="Times New Roman"/>
          <w:color w:val="auto"/>
        </w:rPr>
        <w:t>Consider whether any deadlines or other key dates should be written in bold text, or in a separate, stand-alone, sentence and paragraph.</w:t>
      </w:r>
    </w:p>
    <w:p w14:paraId="009E56A5" w14:textId="72F70ECB" w:rsidR="00CE2632" w:rsidRPr="00D63B51" w:rsidRDefault="00CE2632" w:rsidP="005063AC">
      <w:pPr>
        <w:jc w:val="both"/>
        <w:rPr>
          <w:rFonts w:ascii="Times New Roman Bold" w:hAnsi="Times New Roman Bold" w:cs="Times New Roman"/>
          <w:smallCaps/>
          <w:color w:val="auto"/>
          <w:sz w:val="28"/>
          <w:szCs w:val="28"/>
        </w:rPr>
      </w:pPr>
      <w:r w:rsidRPr="00D63B51">
        <w:rPr>
          <w:b/>
          <w:bCs/>
          <w:u w:val="single"/>
        </w:rPr>
        <w:t xml:space="preserve">GUIDELINE </w:t>
      </w:r>
      <w:r w:rsidRPr="00D63B51">
        <w:rPr>
          <w:rFonts w:cs="Times New Roman"/>
          <w:b/>
          <w:bCs/>
          <w:u w:val="single"/>
        </w:rPr>
        <w:t>MDL-§ 1</w:t>
      </w:r>
      <w:r w:rsidR="006F12BE" w:rsidRPr="00D63B51">
        <w:rPr>
          <w:rFonts w:cs="Times New Roman"/>
          <w:b/>
          <w:bCs/>
          <w:u w:val="single"/>
        </w:rPr>
        <w:t>5</w:t>
      </w:r>
      <w:r w:rsidRPr="00D63B51">
        <w:rPr>
          <w:rFonts w:cs="Times New Roman"/>
          <w:b/>
          <w:bCs/>
        </w:rPr>
        <w:t>:</w:t>
      </w:r>
      <w:r w:rsidRPr="00D63B51">
        <w:rPr>
          <w:b/>
          <w:bCs/>
        </w:rPr>
        <w:t xml:space="preserve"> </w:t>
      </w:r>
      <w:r w:rsidRPr="00D63B51">
        <w:t xml:space="preserve">Parties and the court need basic information as to each creditor’s personal-injury claim in a Chapter 11 mass-tort bankruptcy as soon as practicable -- to facilitate the plan’s development and to allow parties in interest to make informed decisions about eligibility to vote for a reorganization plan. </w:t>
      </w:r>
      <w:r w:rsidR="000A0A7D" w:rsidRPr="00D63B51">
        <w:t xml:space="preserve">Permanent No. </w:t>
      </w:r>
      <w:r w:rsidR="000A0A7D" w:rsidRPr="00D63B51">
        <w:rPr>
          <w:rFonts w:cs="Times New Roman"/>
        </w:rPr>
        <w:t>MDL-§ 19.</w:t>
      </w:r>
      <w:r w:rsidRPr="00D63B51">
        <w:t xml:space="preserve"> </w:t>
      </w:r>
    </w:p>
    <w:p w14:paraId="556EAFC3" w14:textId="77777777" w:rsidR="00CE2632" w:rsidRPr="00D63B51" w:rsidRDefault="00CE2632" w:rsidP="00CE2632">
      <w:pPr>
        <w:ind w:left="720" w:right="720"/>
        <w:jc w:val="both"/>
        <w:rPr>
          <w:rFonts w:ascii="Times New Roman Bold" w:hAnsi="Times New Roman Bold" w:cs="Times New Roman"/>
          <w:b/>
          <w:bCs/>
          <w:smallCaps/>
          <w:color w:val="auto"/>
          <w:sz w:val="28"/>
          <w:szCs w:val="28"/>
        </w:rPr>
      </w:pPr>
    </w:p>
    <w:p w14:paraId="1259B20C" w14:textId="77777777" w:rsidR="00CE2632" w:rsidRPr="00D63B51" w:rsidRDefault="00CE2632" w:rsidP="00CE2632">
      <w:pPr>
        <w:spacing w:line="360" w:lineRule="auto"/>
        <w:ind w:firstLine="720"/>
        <w:jc w:val="both"/>
        <w:rPr>
          <w:rFonts w:cs="Times New Roman"/>
        </w:rPr>
      </w:pPr>
      <w:r w:rsidRPr="00D63B51">
        <w:rPr>
          <w:rFonts w:cs="Times New Roman"/>
        </w:rPr>
        <w:t xml:space="preserve">In a Chapter 11 bankruptcy case that is caused exclusively or primarily by potential liabilities for hundreds or thousands of individual personal-injury claims, the court and parties need information to identify unsupportable and “less substantial” claims as soon as practicable to assess voting-eligibility rights and begin estimating the value of tort claims and develop a reorganization plan.  </w:t>
      </w:r>
    </w:p>
    <w:p w14:paraId="16102C03" w14:textId="66C26AE8" w:rsidR="00CE2632" w:rsidRPr="00D63B51" w:rsidRDefault="00CE2632" w:rsidP="00CE2632">
      <w:pPr>
        <w:spacing w:line="360" w:lineRule="auto"/>
        <w:ind w:firstLine="720"/>
        <w:jc w:val="both"/>
        <w:rPr>
          <w:rFonts w:cs="Times New Roman"/>
        </w:rPr>
      </w:pPr>
      <w:r w:rsidRPr="00D63B51">
        <w:rPr>
          <w:rFonts w:cs="Times New Roman"/>
        </w:rPr>
        <w:t xml:space="preserve">A mass-tort MDL can involve thousands even tens of thousands of individual actions, many of which are filed in good faith but without an evidentiary basis. This happens because in non-bankruptcy litigation (such as in an MDL) the action may be filed, consistent with </w:t>
      </w:r>
      <w:r w:rsidR="009C473E" w:rsidRPr="00D63B51">
        <w:rPr>
          <w:rFonts w:cs="Times New Roman"/>
        </w:rPr>
        <w:t>FED. R. CIV. P.</w:t>
      </w:r>
      <w:r w:rsidRPr="00D63B51">
        <w:rPr>
          <w:rFonts w:cs="Times New Roman"/>
        </w:rPr>
        <w:t xml:space="preserve"> 11, on “information and belief” without any evidentiary basis in the expectation that evidence will later be found after further investigation or discovery. As a result, a significant number of claims filed in a mass-tort MDL ultimately are withdrawn or dismissed after further </w:t>
      </w:r>
      <w:r w:rsidRPr="00D63B51">
        <w:rPr>
          <w:rFonts w:cs="Times New Roman"/>
        </w:rPr>
        <w:lastRenderedPageBreak/>
        <w:t>investigation or discovery has revealed no evidentiary basis. To facilitate management of these cases, courts require parties to submit Plaintiff Fact Sheets, which are widely utilized in MDL litigation,</w:t>
      </w:r>
      <w:r w:rsidRPr="00D63B51">
        <w:rPr>
          <w:rFonts w:cs="Times New Roman"/>
          <w:vertAlign w:val="superscript"/>
        </w:rPr>
        <w:footnoteReference w:id="304"/>
      </w:r>
      <w:r w:rsidRPr="00D63B51">
        <w:rPr>
          <w:rFonts w:cs="Times New Roman"/>
        </w:rPr>
        <w:t xml:space="preserve"> particularly in products liability and mass-tort MDLs.</w:t>
      </w:r>
      <w:r w:rsidRPr="00D63B51">
        <w:rPr>
          <w:rFonts w:cs="Times New Roman"/>
          <w:vertAlign w:val="superscript"/>
        </w:rPr>
        <w:footnoteReference w:id="305"/>
      </w:r>
      <w:r w:rsidRPr="00D63B51">
        <w:rPr>
          <w:rFonts w:cs="Times New Roman"/>
        </w:rPr>
        <w:t xml:space="preserve"> They were developed to provide basic information quickly about individual claimants to aid vetting, including information about the plaintiff’s location, plaintiff’s health-care providers, witnesses, where the injury occurred, and the extent of the exposure and injury. </w:t>
      </w:r>
    </w:p>
    <w:p w14:paraId="057524AB" w14:textId="77777777" w:rsidR="00CE2632" w:rsidRPr="00D63B51" w:rsidRDefault="00CE2632" w:rsidP="00CE2632">
      <w:pPr>
        <w:spacing w:line="360" w:lineRule="auto"/>
        <w:ind w:firstLine="720"/>
        <w:jc w:val="both"/>
        <w:rPr>
          <w:rFonts w:cs="Times New Roman"/>
          <w:color w:val="111111"/>
          <w:spacing w:val="1"/>
          <w:shd w:val="clear" w:color="auto" w:fill="FFFFFF"/>
        </w:rPr>
      </w:pPr>
      <w:r w:rsidRPr="00D63B51">
        <w:rPr>
          <w:rFonts w:cs="Times New Roman"/>
        </w:rPr>
        <w:t xml:space="preserve">Different forms of Plaintiff Fact Sheets, either “short” or “long,” have been used, either separately or together in an MDL. Some fact sheets require the plaintiff to attach medical records, while others require only a statement that such medical records exist. </w:t>
      </w:r>
    </w:p>
    <w:p w14:paraId="7A0C62B9" w14:textId="3236B7DA" w:rsidR="00CE2632" w:rsidRPr="00D63B51" w:rsidRDefault="00CE2632" w:rsidP="00CE2632">
      <w:pPr>
        <w:spacing w:line="360" w:lineRule="auto"/>
        <w:ind w:firstLine="720"/>
        <w:jc w:val="both"/>
        <w:rPr>
          <w:rFonts w:cs="Times New Roman"/>
          <w:color w:val="111111"/>
          <w:spacing w:val="1"/>
          <w:shd w:val="clear" w:color="auto" w:fill="FFFFFF"/>
        </w:rPr>
      </w:pPr>
      <w:r w:rsidRPr="00D63B51">
        <w:rPr>
          <w:rFonts w:cs="Times New Roman"/>
        </w:rPr>
        <w:t xml:space="preserve">In a mass-tort bankruptcy-- like any other bankruptcy -- the Proof of Claim alerts the debtor of potential liabilities at the outset of bankruptcy, identifying the creditor and type of claim but typically with little in the way of details.   The form for </w:t>
      </w:r>
      <w:r w:rsidR="0005194C" w:rsidRPr="00D63B51">
        <w:rPr>
          <w:rFonts w:cs="Times New Roman"/>
        </w:rPr>
        <w:t>Proof</w:t>
      </w:r>
      <w:r w:rsidRPr="00D63B51">
        <w:rPr>
          <w:rFonts w:cs="Times New Roman"/>
        </w:rPr>
        <w:t xml:space="preserve"> of Claim is prescribed by Official Form 410, which strives for simplicity, and which is intended only to </w:t>
      </w:r>
      <w:r w:rsidRPr="00D63B51">
        <w:rPr>
          <w:rFonts w:cs="Times New Roman"/>
          <w:color w:val="111111"/>
          <w:spacing w:val="1"/>
          <w:shd w:val="clear" w:color="auto" w:fill="FFFFFF"/>
        </w:rPr>
        <w:t xml:space="preserve">provide notice of a claim to the court, the debtor, and any other creditors in the bankruptcy. Question No. 8 of Part 2 asks: “What is the basis of the claim?  Examples: Goods sold ... </w:t>
      </w:r>
      <w:r w:rsidRPr="00D63B51">
        <w:rPr>
          <w:rFonts w:cs="Times New Roman"/>
          <w:i/>
          <w:iCs/>
          <w:color w:val="111111"/>
          <w:spacing w:val="1"/>
          <w:shd w:val="clear" w:color="auto" w:fill="FFFFFF"/>
        </w:rPr>
        <w:t>personal injury</w:t>
      </w:r>
      <w:r w:rsidRPr="00D63B51">
        <w:rPr>
          <w:rFonts w:cs="Times New Roman"/>
          <w:color w:val="111111"/>
          <w:spacing w:val="1"/>
          <w:shd w:val="clear" w:color="auto" w:fill="FFFFFF"/>
        </w:rPr>
        <w:t xml:space="preserve"> or wrongful death ...” In a mass-tort bankruptcy case, solely asserting a claim, without more information, is minimally helpful.</w:t>
      </w:r>
    </w:p>
    <w:p w14:paraId="483452A9" w14:textId="77777777" w:rsidR="00CE2632" w:rsidRPr="00D63B51" w:rsidRDefault="00CE2632" w:rsidP="00CE2632">
      <w:pPr>
        <w:spacing w:line="360" w:lineRule="auto"/>
        <w:ind w:firstLine="720"/>
        <w:jc w:val="both"/>
        <w:rPr>
          <w:rFonts w:cs="Times New Roman"/>
          <w:color w:val="111111"/>
          <w:spacing w:val="1"/>
          <w:shd w:val="clear" w:color="auto" w:fill="FFFFFF"/>
        </w:rPr>
      </w:pPr>
      <w:r w:rsidRPr="00D63B51">
        <w:rPr>
          <w:rFonts w:cs="Times New Roman"/>
          <w:color w:val="111111"/>
          <w:spacing w:val="1"/>
          <w:shd w:val="clear" w:color="auto" w:fill="FFFFFF"/>
        </w:rPr>
        <w:t>Though each of the proof of claim and the Plaintiff Fact Sheet is intended to provide basic information about the tort claimants, the Plaintiff Fact Sheet is much more effective in facilitating resolution.  Although Proofs-of-Claim in bankruptcy, like actions filed in a mass-tort MDL, are subject to sanctions for fraudulent submissions, a significant number of claims are likely to be filed that, while innocently submitted, are unsupportable.  Additional information is needed to verify the claims to assess voting-rights eligibility, and as importantly or more so to determine potential total liability and develop a reorganization plan.</w:t>
      </w:r>
    </w:p>
    <w:p w14:paraId="1A53F630" w14:textId="77777777" w:rsidR="00CE2632" w:rsidRPr="00D63B51" w:rsidRDefault="00CE2632" w:rsidP="00CE2632">
      <w:pPr>
        <w:spacing w:line="360" w:lineRule="auto"/>
        <w:ind w:firstLine="720"/>
        <w:jc w:val="both"/>
        <w:rPr>
          <w:rFonts w:cs="Times New Roman"/>
        </w:rPr>
      </w:pPr>
      <w:r w:rsidRPr="00D63B51">
        <w:rPr>
          <w:rFonts w:cs="Times New Roman"/>
          <w:color w:val="111111"/>
          <w:spacing w:val="1"/>
          <w:shd w:val="clear" w:color="auto" w:fill="FFFFFF"/>
        </w:rPr>
        <w:t xml:space="preserve">Expending the limited purpose of Official Form 410 is restricted by Fed. R.  Bk. P. 9009(a), which requires that Official Forms “be used without alteration, except as otherwise provided in these rules, in a particular Official Form, or in the national instructions for a particular </w:t>
      </w:r>
      <w:r w:rsidRPr="00D63B51">
        <w:rPr>
          <w:rFonts w:cs="Times New Roman"/>
          <w:color w:val="111111"/>
          <w:spacing w:val="1"/>
          <w:shd w:val="clear" w:color="auto" w:fill="FFFFFF"/>
        </w:rPr>
        <w:lastRenderedPageBreak/>
        <w:t>Official Form.  Official Forms may be modified to permit minor changes not affecting wording or the order of presenting information....”  Despite these restrictions, the histories of Official Form 410 and Rule 9009 support a practical application, which permits limited modifications that amplify the requested information consistent with the intent and purpose of the rule.</w:t>
      </w:r>
    </w:p>
    <w:p w14:paraId="22184C48" w14:textId="58036086" w:rsidR="00CE2632" w:rsidRPr="00D63B51" w:rsidRDefault="00CE2632" w:rsidP="00CE2632">
      <w:pPr>
        <w:ind w:left="720" w:right="720"/>
        <w:jc w:val="both"/>
        <w:rPr>
          <w:rFonts w:cs="Times New Roman"/>
        </w:rPr>
      </w:pPr>
      <w:r w:rsidRPr="00D63B51">
        <w:rPr>
          <w:rFonts w:cs="Times New Roman"/>
          <w:b/>
          <w:bCs/>
        </w:rPr>
        <w:t>Best Practice MDL-§ 1</w:t>
      </w:r>
      <w:r w:rsidR="006F12BE" w:rsidRPr="00D63B51">
        <w:rPr>
          <w:rFonts w:cs="Times New Roman"/>
          <w:b/>
          <w:bCs/>
        </w:rPr>
        <w:t>5</w:t>
      </w:r>
      <w:r w:rsidRPr="00D63B51">
        <w:rPr>
          <w:rFonts w:cs="Times New Roman"/>
          <w:b/>
          <w:bCs/>
        </w:rPr>
        <w:t>(a):</w:t>
      </w:r>
      <w:r w:rsidRPr="00D63B51">
        <w:rPr>
          <w:b/>
          <w:bCs/>
        </w:rPr>
        <w:t xml:space="preserve"> </w:t>
      </w:r>
      <w:r w:rsidRPr="00D63B51">
        <w:t>A court should consider approving modifications to Official Form 410 (Proof of Claim) to require a creditor to provide basic information, including attachments, supporting their personal-injury claim in a mass-tort bankruptcy.</w:t>
      </w:r>
      <w:r w:rsidRPr="00D63B51">
        <w:rPr>
          <w:b/>
          <w:bCs/>
        </w:rPr>
        <w:t xml:space="preserve"> </w:t>
      </w:r>
      <w:r w:rsidRPr="00D63B51">
        <w:rPr>
          <w:rFonts w:cs="Times New Roman"/>
        </w:rPr>
        <w:t>Permanent No. MDL-§ 14(a).</w:t>
      </w:r>
    </w:p>
    <w:p w14:paraId="19332C84" w14:textId="77777777" w:rsidR="00CE2632" w:rsidRPr="00D63B51" w:rsidRDefault="00CE2632" w:rsidP="00CE2632">
      <w:pPr>
        <w:jc w:val="both"/>
        <w:rPr>
          <w:rFonts w:cs="Times New Roman"/>
        </w:rPr>
      </w:pPr>
    </w:p>
    <w:p w14:paraId="5B3F8CEF" w14:textId="704DD9BC" w:rsidR="00CE2632" w:rsidRPr="00D63B51" w:rsidRDefault="00CE2632" w:rsidP="00CE2632">
      <w:pPr>
        <w:spacing w:line="360" w:lineRule="auto"/>
        <w:ind w:firstLine="720"/>
        <w:jc w:val="both"/>
        <w:rPr>
          <w:rFonts w:cs="Times New Roman"/>
        </w:rPr>
      </w:pPr>
      <w:r w:rsidRPr="00D63B51">
        <w:rPr>
          <w:rFonts w:cs="Times New Roman"/>
        </w:rPr>
        <w:t xml:space="preserve">If an MDL has moved into bankruptcy, the court and parties should have sufficient information from Plaintiff Fact Sheets about the personal-injury claims stayed in a mass-tort MDL pending bankruptcy to assess voting-rights eligibility and facilitate development of a reorganization plan.  But the call for the public to submit proofs of claim in bankruptcy will likely draw new, additional claims that were not part of the litigation, </w:t>
      </w:r>
      <w:r w:rsidR="006C6994" w:rsidRPr="00D63B51">
        <w:rPr>
          <w:rFonts w:cs="Times New Roman"/>
        </w:rPr>
        <w:t>and</w:t>
      </w:r>
      <w:r w:rsidRPr="00D63B51">
        <w:rPr>
          <w:rFonts w:cs="Times New Roman"/>
        </w:rPr>
        <w:t xml:space="preserve"> which will contain only a bare-bones notification in the Official Form 410 (Proof of Claim).   </w:t>
      </w:r>
    </w:p>
    <w:p w14:paraId="300E8384" w14:textId="77777777" w:rsidR="00CE2632" w:rsidRPr="00D63B51" w:rsidRDefault="00CE2632" w:rsidP="00CE2632">
      <w:pPr>
        <w:spacing w:line="360" w:lineRule="auto"/>
        <w:ind w:firstLine="720"/>
        <w:jc w:val="both"/>
        <w:rPr>
          <w:rFonts w:cs="Times New Roman"/>
        </w:rPr>
      </w:pPr>
      <w:r w:rsidRPr="00D63B51">
        <w:rPr>
          <w:rFonts w:cs="Times New Roman"/>
        </w:rPr>
        <w:t xml:space="preserve">Official Form 410 (Proof of Claim) asks a creditor to indicate only whether they are asserting a “personal-injury claim.”   Although a party in interest can rely on alternative procedures to obtain additional information about the claim, none is as effective or efficient as using an expanded Official Form 410, assuming the burdens in responding to the additional requests are reasonable.   </w:t>
      </w:r>
    </w:p>
    <w:p w14:paraId="37D83EDD" w14:textId="77777777" w:rsidR="00CE2632" w:rsidRPr="00D63B51" w:rsidRDefault="00CE2632" w:rsidP="00CE2632">
      <w:pPr>
        <w:spacing w:line="360" w:lineRule="auto"/>
        <w:ind w:firstLine="720"/>
        <w:jc w:val="both"/>
        <w:rPr>
          <w:rFonts w:cs="Times New Roman"/>
        </w:rPr>
      </w:pPr>
      <w:r w:rsidRPr="00D63B51">
        <w:rPr>
          <w:rFonts w:cs="Times New Roman"/>
        </w:rPr>
        <w:t>Fed. R. Bk. P. 9009(a) sharply limits permissible revisions to any Official Form as a means to promote national uniformity and ensure that Official Forms do not vary district to district or by judges within a district.</w:t>
      </w:r>
      <w:r w:rsidRPr="00D63B51">
        <w:rPr>
          <w:rFonts w:cs="Times New Roman"/>
          <w:vertAlign w:val="superscript"/>
        </w:rPr>
        <w:footnoteReference w:id="306"/>
      </w:r>
      <w:r w:rsidRPr="00D63B51">
        <w:rPr>
          <w:rFonts w:cs="Times New Roman"/>
        </w:rPr>
        <w:t xml:space="preserve">  Accordingly, an Official Form may not be altered under Rule 9009(a) unless otherwise provided: (i) in an individual Federal Rule of Bankruptcy Procedure; (ii) in a particular Official Form; or (iii) in the national instructions for a particular form.</w:t>
      </w:r>
      <w:r w:rsidRPr="00D63B51">
        <w:rPr>
          <w:rFonts w:cs="Times New Roman"/>
          <w:vertAlign w:val="superscript"/>
        </w:rPr>
        <w:footnoteReference w:id="307"/>
      </w:r>
      <w:r w:rsidRPr="00D63B51">
        <w:rPr>
          <w:rFonts w:cs="Times New Roman"/>
        </w:rPr>
        <w:t xml:space="preserve">   </w:t>
      </w:r>
    </w:p>
    <w:p w14:paraId="7DF06AF0" w14:textId="77777777" w:rsidR="00CE2632" w:rsidRPr="00D63B51" w:rsidRDefault="00CE2632" w:rsidP="00CE2632">
      <w:pPr>
        <w:spacing w:line="360" w:lineRule="auto"/>
        <w:ind w:firstLine="720"/>
        <w:jc w:val="both"/>
        <w:rPr>
          <w:rFonts w:cs="Times New Roman"/>
        </w:rPr>
      </w:pPr>
      <w:r w:rsidRPr="00D63B51">
        <w:rPr>
          <w:rFonts w:cs="Times New Roman"/>
        </w:rPr>
        <w:t xml:space="preserve">Fed. R. Bk. P. 3001(a) provides such authority, though limited, to alter Official Form 410 (proof-of-claim): “A proof of claim shall </w:t>
      </w:r>
      <w:r w:rsidRPr="00D63B51">
        <w:rPr>
          <w:rFonts w:cs="Times New Roman"/>
          <w:i/>
          <w:iCs/>
        </w:rPr>
        <w:t>conform substantially</w:t>
      </w:r>
      <w:r w:rsidRPr="00D63B51">
        <w:rPr>
          <w:rFonts w:cs="Times New Roman"/>
        </w:rPr>
        <w:t xml:space="preserve"> to the appropriate Official Form </w:t>
      </w:r>
      <w:r w:rsidRPr="00D63B51">
        <w:rPr>
          <w:rFonts w:cs="Times New Roman"/>
        </w:rPr>
        <w:lastRenderedPageBreak/>
        <w:t>[410].”</w:t>
      </w:r>
      <w:r w:rsidRPr="00D63B51">
        <w:rPr>
          <w:rFonts w:cs="Times New Roman"/>
          <w:vertAlign w:val="superscript"/>
        </w:rPr>
        <w:footnoteReference w:id="308"/>
      </w:r>
      <w:r w:rsidRPr="00D63B51">
        <w:rPr>
          <w:rFonts w:cs="Times New Roman"/>
        </w:rPr>
        <w:t xml:space="preserve"> The provisions of Official Form 410 as well as its accompanying instructions provide some leeway for a court to deviate from the wording in Official Form 410.  </w:t>
      </w:r>
    </w:p>
    <w:p w14:paraId="0B438468" w14:textId="77777777" w:rsidR="00CE2632" w:rsidRPr="00D63B51" w:rsidRDefault="00CE2632" w:rsidP="00CE2632">
      <w:pPr>
        <w:spacing w:line="360" w:lineRule="auto"/>
        <w:ind w:firstLine="720"/>
        <w:jc w:val="both"/>
        <w:rPr>
          <w:rFonts w:cs="Times New Roman"/>
        </w:rPr>
      </w:pPr>
      <w:r w:rsidRPr="00D63B51">
        <w:rPr>
          <w:rFonts w:cs="Times New Roman"/>
        </w:rPr>
        <w:t xml:space="preserve">Adding simple questions to Official Form 410 regarding Question 8’s “basis of the claim” by asking for information confirming a claimant’s use or receipt of the product at issue and demonstrating the extent of exposure and injury alerts the debtor, court, and other parties of potential liabilities, the primary purpose of the form.  Although Question 8 on the Official Form itself appears to limit attachments only to those “documents supporting the claim required by Bankruptcy Rule 3001(c),” the accompanying National Instructions are broader and require the creditor to “attach redacted copies of any documents that </w:t>
      </w:r>
      <w:r w:rsidRPr="00D63B51">
        <w:rPr>
          <w:rFonts w:cs="Times New Roman"/>
          <w:i/>
          <w:iCs/>
        </w:rPr>
        <w:t>show that the debt exists</w:t>
      </w:r>
      <w:r w:rsidRPr="00D63B51">
        <w:rPr>
          <w:rFonts w:cs="Times New Roman"/>
        </w:rPr>
        <w:t xml:space="preserve">.”  Those documents could include, when applicable, standard documentation identifying the product to which the claimant was exposed and confirmation of the claimant’s treatment or injury. In accordance with Rule 9009(a), the broader provisions in the Form’s instructions control and add weight to the proposition that requiring additional information about the product, extent of exposure, and injury would substantially conform to the Form. </w:t>
      </w:r>
    </w:p>
    <w:p w14:paraId="383B5024" w14:textId="77777777" w:rsidR="00CE2632" w:rsidRPr="00D63B51" w:rsidRDefault="00CE2632" w:rsidP="00CE2632">
      <w:pPr>
        <w:spacing w:line="360" w:lineRule="auto"/>
        <w:ind w:firstLine="720"/>
        <w:jc w:val="both"/>
      </w:pPr>
      <w:r w:rsidRPr="00D63B51">
        <w:t xml:space="preserve">The significance of the National Instructions to the Official Forms was highlighted during the rulemaking process promulgating the 2017 amendments to Rule 9009, which was part of a decade-long project establishing a uniform Official Form governing Chapter 13 Plans.  The more liberal earlier version of Rule 9009 authorized a court to alter Official Forms “as may be appropriate,” which undercut the purpose of the new form to provide uniformity in Chapter 13 plans.  After years of debate between proponents of local autonomy and advocates of national uniform practices, Rule 9009 was amended to “provide greater flexibility in the use and reproduction of forms without reverting to the permissive standard of the current rule.” The compromise provided flexibility to account for circumstances that might arise with respect to particular Official Forms, including Official Form 410.  The rules committee concluded that given the length of time needed to amend an official form (two years) and the Bankruptcy Rules (three years), “a more rapid method should be available to deal with problems or concerns about the permissible extent of deviations from a form that might come to light.  The use of the form’s instructions would serve that need. This additional source of flexibility, however, would be limited </w:t>
      </w:r>
      <w:r w:rsidRPr="00D63B51">
        <w:lastRenderedPageBreak/>
        <w:t>to the national instructions accompanying an Official Form and not local variations of those instructions.”</w:t>
      </w:r>
      <w:r w:rsidRPr="00D63B51">
        <w:rPr>
          <w:vertAlign w:val="superscript"/>
        </w:rPr>
        <w:footnoteReference w:id="309"/>
      </w:r>
      <w:r w:rsidRPr="00D63B51">
        <w:t xml:space="preserve"> </w:t>
      </w:r>
    </w:p>
    <w:p w14:paraId="567E3E0F" w14:textId="77777777" w:rsidR="00CE2632" w:rsidRPr="00D63B51" w:rsidRDefault="00CE2632" w:rsidP="00CE2632">
      <w:pPr>
        <w:spacing w:line="360" w:lineRule="auto"/>
        <w:ind w:firstLine="720"/>
        <w:jc w:val="both"/>
        <w:rPr>
          <w:rFonts w:cs="Times New Roman"/>
        </w:rPr>
      </w:pPr>
      <w:r w:rsidRPr="00D63B51">
        <w:rPr>
          <w:rFonts w:cs="Times New Roman"/>
        </w:rPr>
        <w:t xml:space="preserve">Modifying Official Form 410 by adding wording requesting more information from the creditor about the product, extent of exposure, and injury of a personal-injury claim in a mass-tort bankruptcy, including diagnosis and treatment, as well as attaching documents that support the “basis” of their personal-injury claim “substantially conforms” with the form’s purpose as promoted in the accompanying national instructions, which permit attachments that show that a debt exists.  </w:t>
      </w:r>
    </w:p>
    <w:p w14:paraId="441F9C24" w14:textId="44972919" w:rsidR="00CE2632" w:rsidRPr="00D63B51" w:rsidRDefault="00CE2632" w:rsidP="00CE2632">
      <w:pPr>
        <w:ind w:left="720" w:right="720"/>
        <w:jc w:val="both"/>
      </w:pPr>
      <w:r w:rsidRPr="00D63B51">
        <w:rPr>
          <w:rFonts w:cs="Times New Roman"/>
          <w:b/>
          <w:bCs/>
        </w:rPr>
        <w:t>Best Practice MDL-§ 1</w:t>
      </w:r>
      <w:r w:rsidR="006F12BE" w:rsidRPr="00D63B51">
        <w:rPr>
          <w:rFonts w:cs="Times New Roman"/>
          <w:b/>
          <w:bCs/>
        </w:rPr>
        <w:t>5</w:t>
      </w:r>
      <w:r w:rsidRPr="00D63B51">
        <w:rPr>
          <w:rFonts w:cs="Times New Roman"/>
          <w:b/>
          <w:bCs/>
        </w:rPr>
        <w:t>(b):</w:t>
      </w:r>
      <w:r w:rsidRPr="00D63B51">
        <w:rPr>
          <w:b/>
          <w:bCs/>
        </w:rPr>
        <w:t xml:space="preserve"> </w:t>
      </w:r>
      <w:r w:rsidRPr="00D63B51">
        <w:t xml:space="preserve">The parties should submit to the court proposed specific modifications to Official Form 410, which provide information supporting a personal-injury claim in a mass-tort bankruptcy without unduly burdening a creditor.   </w:t>
      </w:r>
      <w:r w:rsidR="000A0A7D" w:rsidRPr="00D63B51">
        <w:t xml:space="preserve">Permanent No. </w:t>
      </w:r>
      <w:r w:rsidR="000A0A7D" w:rsidRPr="00D63B51">
        <w:rPr>
          <w:rFonts w:cs="Times New Roman"/>
        </w:rPr>
        <w:t>MDL-§ 19(a).</w:t>
      </w:r>
    </w:p>
    <w:p w14:paraId="0BB5F0FD" w14:textId="77777777" w:rsidR="00CE2632" w:rsidRPr="00D63B51" w:rsidRDefault="00CE2632" w:rsidP="00CE2632">
      <w:pPr>
        <w:ind w:left="720" w:right="720"/>
        <w:jc w:val="both"/>
      </w:pPr>
    </w:p>
    <w:p w14:paraId="5DEAE091" w14:textId="77777777" w:rsidR="00CE2632" w:rsidRPr="00D63B51" w:rsidRDefault="00CE2632" w:rsidP="00CE2632">
      <w:pPr>
        <w:spacing w:line="360" w:lineRule="auto"/>
        <w:ind w:firstLine="720"/>
        <w:jc w:val="both"/>
        <w:rPr>
          <w:rFonts w:cs="Times New Roman"/>
        </w:rPr>
      </w:pPr>
      <w:r w:rsidRPr="00D63B51">
        <w:rPr>
          <w:rFonts w:cs="Times New Roman"/>
        </w:rPr>
        <w:t xml:space="preserve">Several courts handling asbestos claims in bankruptcy modified Official Form 10 (predecessor to Official Form 410) under the more liberal Rule 9009 standard in effect before the 2017 amendments, which authorized modifications as “may be appropriate.” The court in </w:t>
      </w:r>
      <w:r w:rsidRPr="00D63B51">
        <w:rPr>
          <w:rFonts w:cs="Times New Roman"/>
          <w:i/>
          <w:iCs/>
        </w:rPr>
        <w:t>A.H. Robbins</w:t>
      </w:r>
      <w:r w:rsidRPr="00D63B51">
        <w:rPr>
          <w:rFonts w:cs="Times New Roman"/>
        </w:rPr>
        <w:t xml:space="preserve"> required the creditor to provide basic information about use of the product, nature of injuries, and names of physicians and clinics consulted.  The claimant was not required to submit any medical records.</w:t>
      </w:r>
      <w:r w:rsidRPr="00D63B51">
        <w:rPr>
          <w:rFonts w:cs="Times New Roman"/>
          <w:vertAlign w:val="superscript"/>
        </w:rPr>
        <w:footnoteReference w:id="310"/>
      </w:r>
      <w:r w:rsidRPr="00D63B51">
        <w:rPr>
          <w:rFonts w:cs="Times New Roman"/>
        </w:rPr>
        <w:t xml:space="preserve"> In the </w:t>
      </w:r>
      <w:r w:rsidRPr="00D63B51">
        <w:rPr>
          <w:rFonts w:cs="Times New Roman"/>
          <w:i/>
          <w:iCs/>
        </w:rPr>
        <w:t>Babcock Wilcox</w:t>
      </w:r>
      <w:r w:rsidRPr="00D63B51">
        <w:rPr>
          <w:rFonts w:cs="Times New Roman"/>
        </w:rPr>
        <w:t xml:space="preserve"> bankruptcy case, the court required the claimant to provide medical information, including the alleged injury, year of diagnosis, and medical tests.  The claimant was required to attach copies of diagnostic reports.</w:t>
      </w:r>
      <w:r w:rsidRPr="00D63B51">
        <w:rPr>
          <w:rFonts w:cs="Times New Roman"/>
          <w:vertAlign w:val="superscript"/>
        </w:rPr>
        <w:footnoteReference w:id="311"/>
      </w:r>
      <w:r w:rsidRPr="00D63B51">
        <w:rPr>
          <w:rFonts w:cs="Times New Roman"/>
        </w:rPr>
        <w:t xml:space="preserve"> In </w:t>
      </w:r>
      <w:r w:rsidRPr="00D63B51">
        <w:rPr>
          <w:rFonts w:cs="Times New Roman"/>
          <w:i/>
          <w:iCs/>
        </w:rPr>
        <w:t>Federal-Mogul</w:t>
      </w:r>
      <w:r w:rsidRPr="00D63B51">
        <w:rPr>
          <w:rFonts w:cs="Times New Roman"/>
        </w:rPr>
        <w:t>, the court required information about the building that was the site of the property damage, dates of installation of asbestos, and damages.</w:t>
      </w:r>
    </w:p>
    <w:p w14:paraId="16B5FF88" w14:textId="77777777" w:rsidR="00CE2632" w:rsidRPr="00D63B51" w:rsidRDefault="00CE2632" w:rsidP="00CE2632">
      <w:pPr>
        <w:spacing w:line="360" w:lineRule="auto"/>
        <w:jc w:val="both"/>
        <w:rPr>
          <w:rFonts w:cs="Times New Roman"/>
        </w:rPr>
      </w:pPr>
      <w:r w:rsidRPr="00D63B51">
        <w:rPr>
          <w:rFonts w:cs="Times New Roman"/>
        </w:rPr>
        <w:tab/>
        <w:t xml:space="preserve">The court approved a modified three-page Official Form 410 (proof of claim) in the </w:t>
      </w:r>
      <w:r w:rsidRPr="00D63B51">
        <w:rPr>
          <w:rFonts w:cs="Times New Roman"/>
          <w:i/>
          <w:iCs/>
        </w:rPr>
        <w:t>LTL Management</w:t>
      </w:r>
      <w:r w:rsidRPr="00D63B51">
        <w:rPr>
          <w:rFonts w:cs="Times New Roman"/>
        </w:rPr>
        <w:t xml:space="preserve"> bankruptcy case under the narrower standard in amended Rule 9009, which added several “yes/no” and one “menu-selection” questions.  The court required the claimant to provide information about the specific cancer diagnosis, date of diagnosis, exposure to product, and damages.  The court also asked whether there was medical documentation confirming the </w:t>
      </w:r>
      <w:r w:rsidRPr="00D63B51">
        <w:rPr>
          <w:rFonts w:cs="Times New Roman"/>
        </w:rPr>
        <w:lastRenderedPageBreak/>
        <w:t>diagnosis but did not require the claimant to submit the documentation.</w:t>
      </w:r>
      <w:r w:rsidRPr="00D63B51">
        <w:rPr>
          <w:rFonts w:cs="Times New Roman"/>
          <w:vertAlign w:val="superscript"/>
        </w:rPr>
        <w:footnoteReference w:id="312"/>
      </w:r>
      <w:r w:rsidRPr="00D63B51">
        <w:rPr>
          <w:rFonts w:cs="Times New Roman"/>
        </w:rPr>
        <w:t xml:space="preserve">  The modified form added questions in the same format as in the Official Form, </w:t>
      </w:r>
      <w:r w:rsidRPr="00D63B51">
        <w:rPr>
          <w:rFonts w:cs="Times New Roman"/>
          <w:i/>
          <w:iCs/>
        </w:rPr>
        <w:t>i.e</w:t>
      </w:r>
      <w:r w:rsidRPr="00D63B51">
        <w:rPr>
          <w:rFonts w:cs="Times New Roman"/>
        </w:rPr>
        <w:t>., checkboxes for “yes” or “no” and a menu-of-selections responses. The added questions imposed modest burdens on a creditor and did not apply to any other bankruptcy cases.</w:t>
      </w:r>
      <w:r w:rsidRPr="00D63B51">
        <w:rPr>
          <w:rFonts w:cs="Times New Roman"/>
          <w:vertAlign w:val="superscript"/>
        </w:rPr>
        <w:footnoteReference w:id="313"/>
      </w:r>
    </w:p>
    <w:p w14:paraId="5F18CA9D" w14:textId="77777777" w:rsidR="00CE2632" w:rsidRPr="00D63B51" w:rsidRDefault="00CE2632" w:rsidP="00CE2632">
      <w:pPr>
        <w:spacing w:line="360" w:lineRule="auto"/>
        <w:ind w:firstLine="720"/>
        <w:jc w:val="both"/>
        <w:rPr>
          <w:rFonts w:cs="Times New Roman"/>
        </w:rPr>
      </w:pPr>
      <w:r w:rsidRPr="00D63B51">
        <w:rPr>
          <w:rFonts w:cs="Times New Roman"/>
        </w:rPr>
        <w:t xml:space="preserve">The basic information about personal-injury claims will vary in every mass-tort MDL and mass-tort bankruptcy.  But the modifications to the proof-of-claim form approved in the </w:t>
      </w:r>
      <w:r w:rsidRPr="00D63B51">
        <w:rPr>
          <w:rFonts w:cs="Times New Roman"/>
          <w:i/>
          <w:iCs/>
        </w:rPr>
        <w:t>LTL Management</w:t>
      </w:r>
      <w:r w:rsidRPr="00D63B51">
        <w:rPr>
          <w:rFonts w:cs="Times New Roman"/>
        </w:rPr>
        <w:t xml:space="preserve"> bankruptcy as well as the earlier mass-tort bankruptcies provide good models for acceptable modifications, which do not unduly burden the creditor yet provide needed information.   In particular, the parties and court should consider whether a creditor must submit documentation about the extent of exposure and injury or whether a statement acknowledging such documentation exists is sufficient. The experience in mass-tort MDLs regarding claims alleging personal injuries because of defective drugs is instructional.  To screen claims, the PFS may require the plaintiff to submit documentation of the exposure as shown by a prescription or receipt of purchase.</w:t>
      </w:r>
    </w:p>
    <w:p w14:paraId="5521CA71" w14:textId="31674D66" w:rsidR="00CE2632" w:rsidRPr="00D63B51" w:rsidRDefault="00CE2632" w:rsidP="00CE2632">
      <w:pPr>
        <w:ind w:left="720" w:right="720"/>
        <w:jc w:val="both"/>
        <w:rPr>
          <w:rFonts w:cs="Times New Roman"/>
        </w:rPr>
      </w:pPr>
      <w:r w:rsidRPr="00D63B51">
        <w:rPr>
          <w:rFonts w:cs="Times New Roman"/>
          <w:b/>
          <w:bCs/>
        </w:rPr>
        <w:t>Best Practice MDL-§ 1</w:t>
      </w:r>
      <w:r w:rsidR="006F12BE" w:rsidRPr="00D63B51">
        <w:rPr>
          <w:rFonts w:cs="Times New Roman"/>
          <w:b/>
          <w:bCs/>
        </w:rPr>
        <w:t>5</w:t>
      </w:r>
      <w:r w:rsidRPr="00D63B51">
        <w:rPr>
          <w:rFonts w:cs="Times New Roman"/>
          <w:b/>
          <w:bCs/>
        </w:rPr>
        <w:t>(c):</w:t>
      </w:r>
      <w:r w:rsidRPr="00D63B51">
        <w:rPr>
          <w:b/>
          <w:bCs/>
        </w:rPr>
        <w:t xml:space="preserve"> </w:t>
      </w:r>
      <w:r w:rsidRPr="00D63B51">
        <w:t>The Advisory Committee on Federal Rules of Bankruptcy Procedure should consider</w:t>
      </w:r>
      <w:r w:rsidRPr="00D63B51">
        <w:rPr>
          <w:b/>
          <w:bCs/>
        </w:rPr>
        <w:t xml:space="preserve"> </w:t>
      </w:r>
      <w:r w:rsidRPr="00D63B51">
        <w:t>revising the national instructions to</w:t>
      </w:r>
      <w:r w:rsidRPr="00D63B51">
        <w:rPr>
          <w:rFonts w:cs="Times New Roman"/>
        </w:rPr>
        <w:t xml:space="preserve"> Question 8, Part 2, Official Form 410, and clarify that the creditor should provide basic information about personal-injury claims, including attachments supporting the claim, as required by the court in a mass-tort bankruptcy. Permanent No. MDL-§ 14(b).</w:t>
      </w:r>
    </w:p>
    <w:p w14:paraId="0C602FFD" w14:textId="77777777" w:rsidR="00CE2632" w:rsidRPr="00D63B51" w:rsidRDefault="00CE2632" w:rsidP="00CE2632">
      <w:pPr>
        <w:ind w:left="720" w:right="720"/>
        <w:jc w:val="both"/>
        <w:rPr>
          <w:rFonts w:cs="Times New Roman"/>
        </w:rPr>
      </w:pPr>
    </w:p>
    <w:p w14:paraId="611DB5B4" w14:textId="77777777" w:rsidR="00CE2632" w:rsidRPr="00D63B51" w:rsidRDefault="00CE2632" w:rsidP="00CE2632">
      <w:pPr>
        <w:spacing w:line="360" w:lineRule="auto"/>
        <w:ind w:firstLine="720"/>
        <w:jc w:val="both"/>
      </w:pPr>
      <w:r w:rsidRPr="00D63B51">
        <w:rPr>
          <w:rFonts w:cs="Times New Roman"/>
        </w:rPr>
        <w:t xml:space="preserve">The 2017 amendments to Fed. R. Bk. P. 9009(a) expressly authorized the alteration of an Official Form in accordance with its accompanying National Instructions.   </w:t>
      </w:r>
      <w:r w:rsidRPr="00D63B51">
        <w:t xml:space="preserve">The use of the form’s instructions provides “a more rapid method ... to deal with problems or concerns about the permissible extent of deviations from a form that might come to light.” As noted in the history of the Rule 9009, the Rules Committees can revise an Official Form’s national instructions without seeking approval from the Judicial Conference or the Supreme Court as would be otherwise required for a rule amendment.  </w:t>
      </w:r>
    </w:p>
    <w:p w14:paraId="4BD0AE74" w14:textId="77777777" w:rsidR="00CE2632" w:rsidRPr="00D63B51" w:rsidRDefault="00CE2632" w:rsidP="00CE2632">
      <w:pPr>
        <w:spacing w:line="360" w:lineRule="auto"/>
        <w:ind w:firstLine="720"/>
        <w:jc w:val="both"/>
        <w:rPr>
          <w:rFonts w:cs="Times New Roman"/>
        </w:rPr>
      </w:pPr>
      <w:r w:rsidRPr="00D63B51">
        <w:lastRenderedPageBreak/>
        <w:t xml:space="preserve">Rule 9009(a) anticipates the need for an expedited process to address unanticipated or new developments.  The influx of mass-tort product-liability and other personal-injury bankruptcy cases arising from MDLs is a recent phenomenon, which has caused serious problems for courts trying to determine voting-eligibility rights and develop a reorganization plan based on insufficient information about personal-injury claims.  Although Rule 3001(a) can be read to authorize appropriate revisions to Official Form 410, as these best practices promote, a minor revision to the National Instructions to the form would eliminate any uncertainty. </w:t>
      </w:r>
    </w:p>
    <w:p w14:paraId="1FC17FD8" w14:textId="6F4054FC" w:rsidR="00CE2632" w:rsidRPr="00D63B51" w:rsidRDefault="00CE2632" w:rsidP="00CE2632">
      <w:pPr>
        <w:ind w:left="720" w:right="720"/>
        <w:jc w:val="both"/>
        <w:rPr>
          <w:rFonts w:cs="Times New Roman"/>
        </w:rPr>
      </w:pPr>
      <w:r w:rsidRPr="00D63B51">
        <w:rPr>
          <w:rFonts w:cs="Times New Roman"/>
          <w:b/>
          <w:bCs/>
        </w:rPr>
        <w:t>Best Practice MDL-§ 1</w:t>
      </w:r>
      <w:r w:rsidR="00F93D8F" w:rsidRPr="00D63B51">
        <w:rPr>
          <w:rFonts w:cs="Times New Roman"/>
          <w:b/>
          <w:bCs/>
        </w:rPr>
        <w:t>5</w:t>
      </w:r>
      <w:r w:rsidRPr="00D63B51">
        <w:rPr>
          <w:rFonts w:cs="Times New Roman"/>
          <w:b/>
          <w:bCs/>
        </w:rPr>
        <w:t>(d):</w:t>
      </w:r>
      <w:r w:rsidRPr="00D63B51">
        <w:rPr>
          <w:rFonts w:cs="Times New Roman"/>
        </w:rPr>
        <w:t xml:space="preserve"> If a court handling a mass-tort bankruptcy declines to permit modifications to Official Form 410, it should consider the best alternative means to collect and transmit information describing the individual personal-injury claims.</w:t>
      </w:r>
      <w:r w:rsidR="000A0A7D" w:rsidRPr="00D63B51">
        <w:rPr>
          <w:rFonts w:cs="Times New Roman"/>
        </w:rPr>
        <w:t xml:space="preserve"> </w:t>
      </w:r>
      <w:r w:rsidR="000A0A7D" w:rsidRPr="00D63B51">
        <w:t xml:space="preserve">Permanent No. </w:t>
      </w:r>
      <w:r w:rsidR="000A0A7D" w:rsidRPr="00D63B51">
        <w:rPr>
          <w:rFonts w:cs="Times New Roman"/>
        </w:rPr>
        <w:t>MDL-§ 19(b).</w:t>
      </w:r>
      <w:r w:rsidRPr="00D63B51">
        <w:rPr>
          <w:rFonts w:cs="Times New Roman"/>
        </w:rPr>
        <w:t xml:space="preserve"> </w:t>
      </w:r>
    </w:p>
    <w:p w14:paraId="5D5243EE" w14:textId="77777777" w:rsidR="00CE2632" w:rsidRPr="00D63B51" w:rsidRDefault="00CE2632" w:rsidP="00CE2632">
      <w:pPr>
        <w:ind w:left="720" w:right="720"/>
        <w:jc w:val="both"/>
        <w:rPr>
          <w:rFonts w:cs="Times New Roman"/>
        </w:rPr>
      </w:pPr>
    </w:p>
    <w:p w14:paraId="3804DFB9" w14:textId="77777777" w:rsidR="00CE2632" w:rsidRPr="00D63B51" w:rsidRDefault="00CE2632" w:rsidP="00CE2632">
      <w:pPr>
        <w:spacing w:line="360" w:lineRule="auto"/>
        <w:ind w:firstLine="720"/>
        <w:jc w:val="both"/>
        <w:rPr>
          <w:rFonts w:cs="Times New Roman"/>
        </w:rPr>
      </w:pPr>
      <w:r w:rsidRPr="00D63B51">
        <w:rPr>
          <w:rFonts w:cs="Times New Roman"/>
        </w:rPr>
        <w:t xml:space="preserve">Instead of, or in addition to modifying the proof-of-claim form, a court may approve alternative means to obtain information about personal-injury claims. The information collected by alternative means would not be restricted by the limits imposed under Rule 3001.  </w:t>
      </w:r>
    </w:p>
    <w:p w14:paraId="2E078304" w14:textId="77777777" w:rsidR="00CE2632" w:rsidRPr="00D63B51" w:rsidRDefault="00CE2632" w:rsidP="00CE2632">
      <w:pPr>
        <w:spacing w:line="360" w:lineRule="auto"/>
        <w:ind w:firstLine="720"/>
        <w:jc w:val="both"/>
        <w:rPr>
          <w:rFonts w:cs="Times New Roman"/>
        </w:rPr>
      </w:pPr>
      <w:r w:rsidRPr="00D63B51">
        <w:rPr>
          <w:rFonts w:cs="Times New Roman"/>
        </w:rPr>
        <w:t>Courts have required early exchange of information about the factual bases for claims and defenses to facilitate efficient case management under the court’s inherent authority to manage their caseload.  Alternatively, courts in several mass-tort MDLs have ordered that the parties exchange fact sheets, which request more information about personal-injury claims, as “standard interrogatories” under Rule 33.</w:t>
      </w:r>
      <w:r w:rsidRPr="00D63B51">
        <w:rPr>
          <w:rFonts w:cs="Times New Roman"/>
          <w:vertAlign w:val="superscript"/>
        </w:rPr>
        <w:footnoteReference w:id="314"/>
      </w:r>
      <w:r w:rsidRPr="00D63B51">
        <w:rPr>
          <w:rFonts w:cs="Times New Roman"/>
        </w:rPr>
        <w:t xml:space="preserve">  Relying on the discovery rules instead of inherent authority provides some advantages.  Unlike sanctions for failing to comply with orders issued under the court’s inherent authority, which may raise questions about the limits of such authority and procedures, a party failing to comply with “standard interrogatories” is subject to provisions governing sanctions under Rule 37.  The discovery-rule provisions provide clear procedures and sanctions for violations, including dismissal in appropriate circumstances.</w:t>
      </w:r>
    </w:p>
    <w:p w14:paraId="7139FCE1" w14:textId="5B5FA3EC" w:rsidR="00CE2632" w:rsidRPr="00D63B51" w:rsidRDefault="00CE2632" w:rsidP="00CE2632">
      <w:pPr>
        <w:spacing w:line="360" w:lineRule="auto"/>
        <w:ind w:firstLine="720"/>
        <w:jc w:val="both"/>
        <w:rPr>
          <w:rFonts w:cs="Times New Roman"/>
        </w:rPr>
      </w:pPr>
      <w:r w:rsidRPr="00D63B51">
        <w:rPr>
          <w:rFonts w:cs="Times New Roman"/>
        </w:rPr>
        <w:t xml:space="preserve">Fed. R. Bk. P. 7033 and 7037 authorize a bankruptcy court to exercise the same authority in </w:t>
      </w:r>
      <w:r w:rsidR="009C473E" w:rsidRPr="00D63B51">
        <w:rPr>
          <w:rFonts w:cs="Times New Roman"/>
        </w:rPr>
        <w:t>FED. R. CIV. P.</w:t>
      </w:r>
      <w:r w:rsidRPr="00D63B51">
        <w:rPr>
          <w:rFonts w:cs="Times New Roman"/>
        </w:rPr>
        <w:t xml:space="preserve"> 33 and 37 in adversary proceedings. </w:t>
      </w:r>
    </w:p>
    <w:p w14:paraId="58A72811" w14:textId="2F646D96" w:rsidR="00CE2632" w:rsidRPr="00D63B51" w:rsidRDefault="00CE2632" w:rsidP="00CE2632">
      <w:pPr>
        <w:ind w:left="720" w:right="720"/>
        <w:jc w:val="both"/>
      </w:pPr>
      <w:r w:rsidRPr="00D63B51">
        <w:rPr>
          <w:b/>
          <w:bCs/>
        </w:rPr>
        <w:t>Best Practice MDL-§ 1</w:t>
      </w:r>
      <w:r w:rsidR="00F93D8F" w:rsidRPr="00D63B51">
        <w:rPr>
          <w:b/>
          <w:bCs/>
        </w:rPr>
        <w:t>5</w:t>
      </w:r>
      <w:r w:rsidRPr="00D63B51">
        <w:rPr>
          <w:b/>
          <w:bCs/>
        </w:rPr>
        <w:t xml:space="preserve">(e): </w:t>
      </w:r>
      <w:r w:rsidRPr="00D63B51">
        <w:t>The trustee should, and a creditor may,</w:t>
      </w:r>
      <w:r w:rsidRPr="00D63B51">
        <w:rPr>
          <w:b/>
          <w:bCs/>
        </w:rPr>
        <w:t xml:space="preserve"> </w:t>
      </w:r>
      <w:r w:rsidRPr="00D63B51">
        <w:t xml:space="preserve">object to a </w:t>
      </w:r>
      <w:r w:rsidRPr="00D63B51">
        <w:rPr>
          <w:i/>
          <w:iCs/>
        </w:rPr>
        <w:t>parens patriae</w:t>
      </w:r>
      <w:r w:rsidRPr="00D63B51">
        <w:t xml:space="preserve"> claim filed by a local branch of government if it has no power to file such a claim. </w:t>
      </w:r>
      <w:r w:rsidR="000A0A7D" w:rsidRPr="00D63B51">
        <w:t xml:space="preserve">Permanent No. </w:t>
      </w:r>
      <w:r w:rsidR="000A0A7D" w:rsidRPr="00D63B51">
        <w:rPr>
          <w:rFonts w:cs="Times New Roman"/>
        </w:rPr>
        <w:t>MDL-§ 19(c).</w:t>
      </w:r>
    </w:p>
    <w:p w14:paraId="1FB8F669" w14:textId="77777777" w:rsidR="00CE2632" w:rsidRPr="00D63B51" w:rsidRDefault="00CE2632" w:rsidP="00CE2632">
      <w:pPr>
        <w:ind w:left="720" w:right="720"/>
        <w:rPr>
          <w:rFonts w:cs="Times New Roman"/>
        </w:rPr>
      </w:pPr>
    </w:p>
    <w:p w14:paraId="15D1D2A5" w14:textId="77777777" w:rsidR="00CE2632" w:rsidRPr="00D63B51" w:rsidRDefault="00CE2632" w:rsidP="00CE2632">
      <w:pPr>
        <w:spacing w:line="360" w:lineRule="auto"/>
        <w:ind w:firstLine="720"/>
        <w:jc w:val="both"/>
        <w:rPr>
          <w:rFonts w:cs="Times New Roman"/>
          <w:color w:val="001D35"/>
          <w:shd w:val="clear" w:color="auto" w:fill="FFFFFF"/>
        </w:rPr>
      </w:pPr>
      <w:r w:rsidRPr="00D63B51">
        <w:rPr>
          <w:rFonts w:cs="Times New Roman"/>
          <w:color w:val="001D35"/>
          <w:shd w:val="clear" w:color="auto" w:fill="FFFFFF"/>
        </w:rPr>
        <w:t xml:space="preserve">Courts uniformly acknowledge a state’s legal right to sue as </w:t>
      </w:r>
      <w:r w:rsidRPr="00D63B51">
        <w:rPr>
          <w:rFonts w:cs="Times New Roman"/>
          <w:i/>
          <w:iCs/>
          <w:color w:val="001D35"/>
          <w:shd w:val="clear" w:color="auto" w:fill="FFFFFF"/>
        </w:rPr>
        <w:t>parens patriae</w:t>
      </w:r>
      <w:r w:rsidRPr="00D63B51">
        <w:rPr>
          <w:rFonts w:cs="Times New Roman"/>
          <w:color w:val="001D35"/>
          <w:shd w:val="clear" w:color="auto" w:fill="FFFFFF"/>
        </w:rPr>
        <w:t xml:space="preserve"> on behalf of its citizens’ interests.  State attorneys general use </w:t>
      </w:r>
      <w:r w:rsidRPr="00D63B51">
        <w:rPr>
          <w:rFonts w:cs="Times New Roman"/>
          <w:i/>
          <w:iCs/>
          <w:color w:val="001D35"/>
          <w:shd w:val="clear" w:color="auto" w:fill="FFFFFF"/>
        </w:rPr>
        <w:t>parens patriae</w:t>
      </w:r>
      <w:r w:rsidRPr="00D63B51">
        <w:rPr>
          <w:rFonts w:cs="Times New Roman"/>
          <w:color w:val="001D35"/>
          <w:shd w:val="clear" w:color="auto" w:fill="FFFFFF"/>
        </w:rPr>
        <w:t xml:space="preserve"> standing to obtain monetary relief </w:t>
      </w:r>
      <w:r w:rsidRPr="00D63B51">
        <w:rPr>
          <w:rFonts w:cs="Times New Roman"/>
          <w:color w:val="001D35"/>
          <w:shd w:val="clear" w:color="auto" w:fill="FFFFFF"/>
        </w:rPr>
        <w:lastRenderedPageBreak/>
        <w:t>and damages for wrongs done to the public.</w:t>
      </w:r>
      <w:r w:rsidRPr="00D63B51">
        <w:rPr>
          <w:rFonts w:cs="Times New Roman"/>
          <w:color w:val="001D35"/>
          <w:shd w:val="clear" w:color="auto" w:fill="FFFFFF"/>
          <w:vertAlign w:val="superscript"/>
        </w:rPr>
        <w:footnoteReference w:id="315"/>
      </w:r>
      <w:r w:rsidRPr="00D63B51">
        <w:rPr>
          <w:rFonts w:cs="Times New Roman"/>
          <w:color w:val="001D35"/>
          <w:shd w:val="clear" w:color="auto" w:fill="FFFFFF"/>
        </w:rPr>
        <w:t xml:space="preserve">  The authority to file such lawsuits is vested in state attorneys general by their consumer protection statutes, false claims acts, constitutional or judicially developed </w:t>
      </w:r>
      <w:r w:rsidRPr="00D63B51">
        <w:rPr>
          <w:rFonts w:cs="Times New Roman"/>
          <w:i/>
          <w:iCs/>
          <w:color w:val="001D35"/>
          <w:shd w:val="clear" w:color="auto" w:fill="FFFFFF"/>
        </w:rPr>
        <w:t>parens patriae</w:t>
      </w:r>
      <w:r w:rsidRPr="00D63B51">
        <w:rPr>
          <w:rFonts w:cs="Times New Roman"/>
          <w:color w:val="001D35"/>
          <w:shd w:val="clear" w:color="auto" w:fill="FFFFFF"/>
        </w:rPr>
        <w:t xml:space="preserve"> authority, and other statutory grants of power.</w:t>
      </w:r>
      <w:r w:rsidRPr="00D63B51">
        <w:rPr>
          <w:rFonts w:cs="Times New Roman"/>
          <w:color w:val="001D35"/>
          <w:shd w:val="clear" w:color="auto" w:fill="FFFFFF"/>
          <w:vertAlign w:val="superscript"/>
        </w:rPr>
        <w:footnoteReference w:id="316"/>
      </w:r>
      <w:r w:rsidRPr="00D63B51">
        <w:rPr>
          <w:rFonts w:cs="Times New Roman"/>
          <w:color w:val="001D35"/>
          <w:shd w:val="clear" w:color="auto" w:fill="FFFFFF"/>
        </w:rPr>
        <w:t xml:space="preserve"> </w:t>
      </w:r>
    </w:p>
    <w:p w14:paraId="2D8AB5C5" w14:textId="77777777" w:rsidR="00CE2632" w:rsidRPr="00D63B51" w:rsidRDefault="00CE2632" w:rsidP="00CE2632">
      <w:pPr>
        <w:spacing w:line="360" w:lineRule="auto"/>
        <w:ind w:firstLine="720"/>
        <w:jc w:val="both"/>
        <w:rPr>
          <w:rFonts w:cs="Times New Roman"/>
          <w:color w:val="001D35"/>
          <w:shd w:val="clear" w:color="auto" w:fill="FFFFFF"/>
        </w:rPr>
      </w:pPr>
      <w:r w:rsidRPr="00D63B51">
        <w:t>Local branches of government, including c</w:t>
      </w:r>
      <w:r w:rsidRPr="00D63B51">
        <w:rPr>
          <w:rFonts w:cs="Times New Roman"/>
          <w:color w:val="001D35"/>
          <w:shd w:val="clear" w:color="auto" w:fill="FFFFFF"/>
        </w:rPr>
        <w:t>ities and counties, are “creatures of the State” and derive their power from the state. Each state is responsible for granting broad or limited authority to local branches of government, including counties, municipalities, school districts, and other political subdivisions. States have adopted: (i) some version of the Dillon Rule,</w:t>
      </w:r>
      <w:r w:rsidRPr="00D63B51">
        <w:rPr>
          <w:rFonts w:cs="Times New Roman"/>
          <w:color w:val="001D35"/>
          <w:shd w:val="clear" w:color="auto" w:fill="FFFFFF"/>
          <w:vertAlign w:val="superscript"/>
        </w:rPr>
        <w:footnoteReference w:id="317"/>
      </w:r>
      <w:r w:rsidRPr="00D63B51">
        <w:rPr>
          <w:rFonts w:cs="Times New Roman"/>
          <w:color w:val="001D35"/>
          <w:shd w:val="clear" w:color="auto" w:fill="FFFFFF"/>
        </w:rPr>
        <w:t xml:space="preserve"> which limits local branches of government to only those powers expressly granted by the state or fairly implied as well as those that are indispensable; or (ii) some version of Home Rule granted under a state constitutional or statutory provision, which implies separate independent authority.</w:t>
      </w:r>
      <w:r w:rsidRPr="00D63B51">
        <w:rPr>
          <w:rFonts w:cs="Times New Roman"/>
          <w:color w:val="001D35"/>
          <w:shd w:val="clear" w:color="auto" w:fill="FFFFFF"/>
          <w:vertAlign w:val="superscript"/>
        </w:rPr>
        <w:footnoteReference w:id="318"/>
      </w:r>
    </w:p>
    <w:p w14:paraId="3D6C1863" w14:textId="5F456B08" w:rsidR="00CE2632" w:rsidRPr="00D63B51" w:rsidRDefault="00CE2632" w:rsidP="00CE2632">
      <w:pPr>
        <w:spacing w:line="360" w:lineRule="auto"/>
        <w:jc w:val="both"/>
        <w:rPr>
          <w:rFonts w:cs="Times New Roman"/>
          <w:color w:val="001D35"/>
          <w:shd w:val="clear" w:color="auto" w:fill="FFFFFF"/>
        </w:rPr>
      </w:pPr>
      <w:r w:rsidRPr="00D63B51">
        <w:rPr>
          <w:rFonts w:cs="Times New Roman"/>
          <w:color w:val="001D35"/>
          <w:shd w:val="clear" w:color="auto" w:fill="FFFFFF"/>
        </w:rPr>
        <w:tab/>
        <w:t xml:space="preserve">Whether a </w:t>
      </w:r>
      <w:r w:rsidRPr="00D63B51">
        <w:t xml:space="preserve">local branch of government </w:t>
      </w:r>
      <w:r w:rsidRPr="00D63B51">
        <w:rPr>
          <w:rFonts w:cs="Times New Roman"/>
          <w:color w:val="001D35"/>
          <w:shd w:val="clear" w:color="auto" w:fill="FFFFFF"/>
        </w:rPr>
        <w:t xml:space="preserve">has standing to file a </w:t>
      </w:r>
      <w:r w:rsidRPr="00D63B51">
        <w:rPr>
          <w:rFonts w:cs="Times New Roman"/>
          <w:i/>
          <w:iCs/>
          <w:color w:val="001D35"/>
          <w:shd w:val="clear" w:color="auto" w:fill="FFFFFF"/>
        </w:rPr>
        <w:t>parens patriae</w:t>
      </w:r>
      <w:r w:rsidRPr="00D63B51">
        <w:rPr>
          <w:rFonts w:cs="Times New Roman"/>
          <w:color w:val="001D35"/>
          <w:shd w:val="clear" w:color="auto" w:fill="FFFFFF"/>
        </w:rPr>
        <w:t xml:space="preserve"> claim in bankruptcy on behalf of its citizens depends on its grant of power from the state. Because standing is required and affects the court’s power to decide a case, standing issues are jurisdictional.  Standing issues must be addressed whenever raised and should be resolved early in the litigation, though the issue can be raised at any time during the litigation.</w:t>
      </w:r>
      <w:r w:rsidRPr="00D63B51">
        <w:rPr>
          <w:rFonts w:cs="Times New Roman"/>
          <w:color w:val="001D35"/>
          <w:shd w:val="clear" w:color="auto" w:fill="FFFFFF"/>
          <w:vertAlign w:val="superscript"/>
        </w:rPr>
        <w:footnoteReference w:id="319"/>
      </w:r>
      <w:r w:rsidRPr="00D63B51">
        <w:rPr>
          <w:rFonts w:cs="Times New Roman"/>
          <w:color w:val="001D35"/>
          <w:shd w:val="clear" w:color="auto" w:fill="FFFFFF"/>
        </w:rPr>
        <w:t xml:space="preserve">  Determining whether a </w:t>
      </w:r>
      <w:r w:rsidRPr="00D63B51">
        <w:t xml:space="preserve">local branch of government </w:t>
      </w:r>
      <w:r w:rsidRPr="00D63B51">
        <w:rPr>
          <w:rFonts w:cs="Times New Roman"/>
          <w:color w:val="001D35"/>
          <w:shd w:val="clear" w:color="auto" w:fill="FFFFFF"/>
        </w:rPr>
        <w:t xml:space="preserve">has standing to file a </w:t>
      </w:r>
      <w:r w:rsidRPr="00D63B51">
        <w:rPr>
          <w:rFonts w:cs="Times New Roman"/>
          <w:i/>
          <w:iCs/>
          <w:color w:val="001D35"/>
          <w:shd w:val="clear" w:color="auto" w:fill="FFFFFF"/>
        </w:rPr>
        <w:t>parens patriae</w:t>
      </w:r>
      <w:r w:rsidRPr="00D63B51">
        <w:rPr>
          <w:rFonts w:cs="Times New Roman"/>
          <w:color w:val="001D35"/>
          <w:shd w:val="clear" w:color="auto" w:fill="FFFFFF"/>
        </w:rPr>
        <w:t xml:space="preserve"> claim in bankruptcy requires analysis of the pertinent state law and caselaw, which often are not well defined and open to conflicting interpretations.  Although the role of a local political subdivision when it files a proof of claim is usually self-evident, the proof of claim should clearly indicate that the filing is on behalf of its citizens, so that the notice can be easily recognized by the respective state attorney general’s office </w:t>
      </w:r>
      <w:r w:rsidRPr="00D63B51">
        <w:rPr>
          <w:rFonts w:cs="Times New Roman"/>
          <w:color w:val="001D35"/>
          <w:shd w:val="clear" w:color="auto" w:fill="FFFFFF"/>
        </w:rPr>
        <w:lastRenderedPageBreak/>
        <w:t>for appropriate action, if any.</w:t>
      </w:r>
      <w:r w:rsidRPr="00D63B51">
        <w:rPr>
          <w:rFonts w:cs="Times New Roman"/>
          <w:color w:val="001D35"/>
          <w:shd w:val="clear" w:color="auto" w:fill="FFFFFF"/>
          <w:vertAlign w:val="superscript"/>
        </w:rPr>
        <w:footnoteReference w:id="320"/>
      </w:r>
      <w:r w:rsidRPr="00D63B51">
        <w:rPr>
          <w:rFonts w:cs="Times New Roman"/>
          <w:color w:val="001D35"/>
          <w:shd w:val="clear" w:color="auto" w:fill="FFFFFF"/>
        </w:rPr>
        <w:t xml:space="preserve"> </w:t>
      </w:r>
      <w:r w:rsidR="0030314E" w:rsidRPr="00D63B51">
        <w:rPr>
          <w:rFonts w:cs="Times New Roman"/>
          <w:color w:val="001D35"/>
          <w:shd w:val="clear" w:color="auto" w:fill="FFFFFF"/>
        </w:rPr>
        <w:t>For good reasons</w:t>
      </w:r>
      <w:r w:rsidR="002233E4" w:rsidRPr="00D63B51">
        <w:rPr>
          <w:rFonts w:cs="Times New Roman"/>
          <w:color w:val="001D35"/>
          <w:shd w:val="clear" w:color="auto" w:fill="FFFFFF"/>
        </w:rPr>
        <w:t>, the court should be open</w:t>
      </w:r>
      <w:r w:rsidR="00C54AA0" w:rsidRPr="00D63B51">
        <w:rPr>
          <w:rFonts w:cs="Times New Roman"/>
          <w:color w:val="001D35"/>
          <w:shd w:val="clear" w:color="auto" w:fill="FFFFFF"/>
        </w:rPr>
        <w:t xml:space="preserve"> to considering a request from the state attorney gener</w:t>
      </w:r>
      <w:r w:rsidR="004B7A10" w:rsidRPr="00D63B51">
        <w:rPr>
          <w:rFonts w:cs="Times New Roman"/>
          <w:color w:val="001D35"/>
          <w:shd w:val="clear" w:color="auto" w:fill="FFFFFF"/>
        </w:rPr>
        <w:t>a</w:t>
      </w:r>
      <w:r w:rsidR="00C54AA0" w:rsidRPr="00D63B51">
        <w:rPr>
          <w:rFonts w:cs="Times New Roman"/>
          <w:color w:val="001D35"/>
          <w:shd w:val="clear" w:color="auto" w:fill="FFFFFF"/>
        </w:rPr>
        <w:t xml:space="preserve">l’s office to add a checkbox on the </w:t>
      </w:r>
      <w:r w:rsidR="004B7A10" w:rsidRPr="00D63B51">
        <w:rPr>
          <w:rFonts w:cs="Times New Roman"/>
          <w:color w:val="001D35"/>
          <w:shd w:val="clear" w:color="auto" w:fill="FFFFFF"/>
        </w:rPr>
        <w:t xml:space="preserve">proof-of-claim form </w:t>
      </w:r>
      <w:r w:rsidR="001457F5" w:rsidRPr="00D63B51">
        <w:rPr>
          <w:rFonts w:cs="Times New Roman"/>
          <w:color w:val="001D35"/>
          <w:shd w:val="clear" w:color="auto" w:fill="FFFFFF"/>
        </w:rPr>
        <w:t xml:space="preserve">indicating </w:t>
      </w:r>
      <w:r w:rsidR="00C07B92" w:rsidRPr="00D63B51">
        <w:rPr>
          <w:rFonts w:cs="Times New Roman"/>
          <w:color w:val="001D35"/>
          <w:shd w:val="clear" w:color="auto" w:fill="FFFFFF"/>
        </w:rPr>
        <w:t xml:space="preserve">that the local political subdivision is filing </w:t>
      </w:r>
      <w:r w:rsidR="001457F5" w:rsidRPr="00D63B51">
        <w:rPr>
          <w:rFonts w:cs="Times New Roman"/>
          <w:color w:val="001D35"/>
          <w:shd w:val="clear" w:color="auto" w:fill="FFFFFF"/>
        </w:rPr>
        <w:t xml:space="preserve"> a </w:t>
      </w:r>
      <w:r w:rsidR="001457F5" w:rsidRPr="00D63B51">
        <w:rPr>
          <w:rFonts w:cs="Times New Roman"/>
          <w:i/>
          <w:iCs/>
          <w:color w:val="001D35"/>
          <w:shd w:val="clear" w:color="auto" w:fill="FFFFFF"/>
        </w:rPr>
        <w:t>parens patriae</w:t>
      </w:r>
      <w:r w:rsidR="001457F5" w:rsidRPr="00D63B51">
        <w:rPr>
          <w:rFonts w:cs="Times New Roman"/>
          <w:color w:val="001D35"/>
          <w:shd w:val="clear" w:color="auto" w:fill="FFFFFF"/>
        </w:rPr>
        <w:t xml:space="preserve"> claim</w:t>
      </w:r>
      <w:r w:rsidR="00C07B92" w:rsidRPr="00D63B51">
        <w:rPr>
          <w:rFonts w:cs="Times New Roman"/>
          <w:color w:val="001D35"/>
          <w:shd w:val="clear" w:color="auto" w:fill="FFFFFF"/>
        </w:rPr>
        <w:t xml:space="preserve">. </w:t>
      </w:r>
    </w:p>
    <w:p w14:paraId="76F0754A" w14:textId="77777777" w:rsidR="00CE2632" w:rsidRPr="00D63B51" w:rsidRDefault="00CE2632" w:rsidP="00CE2632">
      <w:pPr>
        <w:spacing w:line="360" w:lineRule="auto"/>
        <w:ind w:firstLine="720"/>
        <w:jc w:val="both"/>
        <w:rPr>
          <w:rFonts w:cs="Times New Roman"/>
          <w:color w:val="001D35"/>
          <w:shd w:val="clear" w:color="auto" w:fill="FFFFFF"/>
        </w:rPr>
      </w:pPr>
      <w:r w:rsidRPr="00D63B51">
        <w:rPr>
          <w:rFonts w:cs="Times New Roman"/>
          <w:color w:val="001D35"/>
          <w:shd w:val="clear" w:color="auto" w:fill="FFFFFF"/>
        </w:rPr>
        <w:t xml:space="preserve">The trustee should, and a creditor may, object to a </w:t>
      </w:r>
      <w:r w:rsidRPr="00D63B51">
        <w:rPr>
          <w:rFonts w:cs="Times New Roman"/>
          <w:i/>
          <w:iCs/>
          <w:color w:val="001D35"/>
          <w:shd w:val="clear" w:color="auto" w:fill="FFFFFF"/>
        </w:rPr>
        <w:t>parens patriae</w:t>
      </w:r>
      <w:r w:rsidRPr="00D63B51">
        <w:rPr>
          <w:rFonts w:cs="Times New Roman"/>
          <w:color w:val="001D35"/>
          <w:shd w:val="clear" w:color="auto" w:fill="FFFFFF"/>
        </w:rPr>
        <w:t xml:space="preserve"> claim filed by a </w:t>
      </w:r>
      <w:r w:rsidRPr="00D63B51">
        <w:t xml:space="preserve">local branch of government </w:t>
      </w:r>
      <w:r w:rsidRPr="00D63B51">
        <w:rPr>
          <w:rFonts w:cs="Times New Roman"/>
          <w:color w:val="001D35"/>
          <w:shd w:val="clear" w:color="auto" w:fill="FFFFFF"/>
        </w:rPr>
        <w:t xml:space="preserve">on standing grounds, disputing its authority.  Fed. R. Bk. P. 3007 implements the Bankruptcy Code’s governing provisions and indicates a clear preference for the trustee to assume the responsibility to make the objection, explaining that: </w:t>
      </w:r>
    </w:p>
    <w:p w14:paraId="01D0843C" w14:textId="77777777" w:rsidR="00CE2632" w:rsidRPr="00D63B51" w:rsidRDefault="00CE2632" w:rsidP="00CE2632">
      <w:pPr>
        <w:ind w:left="720" w:right="720"/>
        <w:jc w:val="both"/>
        <w:rPr>
          <w:rFonts w:cs="Times New Roman"/>
          <w:color w:val="001D35"/>
          <w:shd w:val="clear" w:color="auto" w:fill="FFFFFF"/>
        </w:rPr>
      </w:pPr>
      <w:r w:rsidRPr="00D63B51">
        <w:rPr>
          <w:rFonts w:cs="Times New Roman"/>
          <w:color w:val="001D35"/>
          <w:shd w:val="clear" w:color="auto" w:fill="FFFFFF"/>
        </w:rPr>
        <w:t>While the debtor’s other creditors may make objections to the allowance of a claim, the demands of orderly and expeditious administration have led to a recognition that the right to object is generally exercised by the trustee.  Pursuant to § 502(a) of the Code, however, any party in interest may object to a claim.  But under § 704 the trustee, if any purpose would be served thereby, has the duty to examine proofs of claim and object to improper claims.</w:t>
      </w:r>
      <w:r w:rsidRPr="00D63B51">
        <w:rPr>
          <w:rFonts w:cs="Times New Roman"/>
          <w:color w:val="001D35"/>
          <w:shd w:val="clear" w:color="auto" w:fill="FFFFFF"/>
          <w:vertAlign w:val="superscript"/>
        </w:rPr>
        <w:footnoteReference w:id="321"/>
      </w:r>
      <w:r w:rsidRPr="00D63B51">
        <w:rPr>
          <w:rFonts w:cs="Times New Roman"/>
          <w:color w:val="001D35"/>
          <w:shd w:val="clear" w:color="auto" w:fill="FFFFFF"/>
        </w:rPr>
        <w:t xml:space="preserve">  </w:t>
      </w:r>
    </w:p>
    <w:p w14:paraId="376D9816" w14:textId="77777777" w:rsidR="00CE2632" w:rsidRPr="00D63B51" w:rsidRDefault="00CE2632" w:rsidP="00CE2632">
      <w:pPr>
        <w:spacing w:line="360" w:lineRule="auto"/>
        <w:ind w:firstLine="720"/>
        <w:jc w:val="both"/>
        <w:rPr>
          <w:rFonts w:cs="Times New Roman"/>
        </w:rPr>
      </w:pPr>
    </w:p>
    <w:p w14:paraId="195BAE7F" w14:textId="46E9BB85" w:rsidR="002B3645" w:rsidRPr="00D63B51" w:rsidRDefault="00CE2632" w:rsidP="002B3645">
      <w:pPr>
        <w:jc w:val="both"/>
        <w:rPr>
          <w:rFonts w:cs="Times New Roman"/>
        </w:rPr>
      </w:pPr>
      <w:r w:rsidRPr="00D63B51">
        <w:rPr>
          <w:rFonts w:cs="Times New Roman"/>
          <w:b/>
          <w:bCs/>
          <w:u w:val="single"/>
        </w:rPr>
        <w:t>GUIDELINE MDL-§ 1</w:t>
      </w:r>
      <w:r w:rsidR="00F93D8F" w:rsidRPr="00D63B51">
        <w:rPr>
          <w:rFonts w:cs="Times New Roman"/>
          <w:b/>
          <w:bCs/>
          <w:u w:val="single"/>
        </w:rPr>
        <w:t>6</w:t>
      </w:r>
      <w:r w:rsidRPr="00D63B51">
        <w:rPr>
          <w:rFonts w:cs="Times New Roman"/>
          <w:b/>
          <w:bCs/>
          <w:u w:val="single"/>
        </w:rPr>
        <w:t>:</w:t>
      </w:r>
      <w:r w:rsidRPr="00D63B51">
        <w:rPr>
          <w:rFonts w:cs="Times New Roman"/>
        </w:rPr>
        <w:t xml:space="preserve"> A bankruptcy court’s authority to appoint a neutral to assist it manage a mass-tort bankruptcy is limited.</w:t>
      </w:r>
      <w:r w:rsidR="000A0A7D" w:rsidRPr="00D63B51">
        <w:t xml:space="preserve"> Permanent No. </w:t>
      </w:r>
      <w:r w:rsidR="000A0A7D" w:rsidRPr="00D63B51">
        <w:rPr>
          <w:rFonts w:cs="Times New Roman"/>
        </w:rPr>
        <w:t>MDL-§ 20.</w:t>
      </w:r>
    </w:p>
    <w:p w14:paraId="48DFD36B" w14:textId="77777777" w:rsidR="002B3645" w:rsidRPr="00D63B51" w:rsidRDefault="002B3645" w:rsidP="00CE2632">
      <w:pPr>
        <w:spacing w:line="360" w:lineRule="auto"/>
        <w:ind w:firstLine="720"/>
        <w:jc w:val="both"/>
        <w:rPr>
          <w:rFonts w:cs="Times New Roman"/>
        </w:rPr>
      </w:pPr>
    </w:p>
    <w:p w14:paraId="541D7A94" w14:textId="049E52EC" w:rsidR="00CE2632" w:rsidRPr="00D63B51" w:rsidRDefault="00CE2632" w:rsidP="00CE2632">
      <w:pPr>
        <w:spacing w:line="360" w:lineRule="auto"/>
        <w:ind w:firstLine="720"/>
        <w:jc w:val="both"/>
        <w:rPr>
          <w:rFonts w:cs="Times New Roman"/>
        </w:rPr>
      </w:pPr>
      <w:r w:rsidRPr="00D63B51">
        <w:rPr>
          <w:rFonts w:cs="Times New Roman"/>
        </w:rPr>
        <w:t>A bankruptcy court can appoint a mediator and a Rule 706 expert, and can approve the appointment of a trustee or an examiner by the United States trustee under the Bankruptcy Code and rules.</w:t>
      </w:r>
      <w:r w:rsidRPr="00D63B51">
        <w:rPr>
          <w:rFonts w:cs="Times New Roman"/>
          <w:vertAlign w:val="superscript"/>
        </w:rPr>
        <w:footnoteReference w:id="322"/>
      </w:r>
      <w:r w:rsidRPr="00D63B51">
        <w:rPr>
          <w:rFonts w:cs="Times New Roman"/>
        </w:rPr>
        <w:t xml:space="preserve"> But these options have inherent limitations and often incur substantial costs.</w:t>
      </w:r>
      <w:r w:rsidRPr="00D63B51">
        <w:rPr>
          <w:rFonts w:cs="Times New Roman"/>
          <w:vertAlign w:val="superscript"/>
        </w:rPr>
        <w:footnoteReference w:id="323"/>
      </w:r>
      <w:r w:rsidRPr="00D63B51">
        <w:rPr>
          <w:rFonts w:cs="Times New Roman"/>
        </w:rPr>
        <w:t xml:space="preserve"> Unlike a district court, which can appoint a special master to handle a wide range of duties in a civil action to assist in case management, a bankruptcy court is not authorized to appoint a special master under Fed. R. Bk. P. 9031 in a bankruptcy case or proceeding.  As a result, bankruptcy courts have </w:t>
      </w:r>
      <w:r w:rsidRPr="00D63B51">
        <w:rPr>
          <w:rFonts w:cs="Times New Roman"/>
        </w:rPr>
        <w:lastRenderedPageBreak/>
        <w:t>relied on their inherent authority to appoint neutrals,</w:t>
      </w:r>
      <w:r w:rsidRPr="00D63B51">
        <w:rPr>
          <w:rFonts w:cs="Times New Roman"/>
          <w:vertAlign w:val="superscript"/>
        </w:rPr>
        <w:footnoteReference w:id="324"/>
      </w:r>
      <w:r w:rsidRPr="00D63B51">
        <w:rPr>
          <w:rFonts w:cs="Times New Roman"/>
        </w:rPr>
        <w:t xml:space="preserve"> who provide assistance similar to the assistance provided by a special master.   </w:t>
      </w:r>
    </w:p>
    <w:p w14:paraId="09F46958" w14:textId="1B612204" w:rsidR="00CE2632" w:rsidRPr="00D63B51" w:rsidRDefault="009C473E" w:rsidP="00CE2632">
      <w:pPr>
        <w:spacing w:line="360" w:lineRule="auto"/>
        <w:ind w:firstLine="720"/>
        <w:jc w:val="both"/>
        <w:rPr>
          <w:rFonts w:cs="Times New Roman"/>
        </w:rPr>
      </w:pPr>
      <w:r w:rsidRPr="00D63B51">
        <w:rPr>
          <w:rFonts w:cs="Times New Roman"/>
        </w:rPr>
        <w:t>FED. R. CIV. P.</w:t>
      </w:r>
      <w:r w:rsidR="00CE2632" w:rsidRPr="00D63B51">
        <w:rPr>
          <w:rFonts w:cs="Times New Roman"/>
        </w:rPr>
        <w:t xml:space="preserve"> 53, which governs the appointment of a special master in a civil action, was comprehensively revised in 2003, many years after Fed. R. Bk. P. 9031 was last substantively amended.</w:t>
      </w:r>
      <w:r w:rsidR="00CE2632" w:rsidRPr="00D63B51">
        <w:rPr>
          <w:rFonts w:cs="Times New Roman"/>
          <w:vertAlign w:val="superscript"/>
        </w:rPr>
        <w:t xml:space="preserve"> </w:t>
      </w:r>
      <w:r w:rsidR="00CE2632" w:rsidRPr="00D63B51">
        <w:rPr>
          <w:rFonts w:cs="Times New Roman"/>
          <w:vertAlign w:val="superscript"/>
        </w:rPr>
        <w:footnoteReference w:id="325"/>
      </w:r>
      <w:r w:rsidR="00CE2632" w:rsidRPr="00D63B51">
        <w:rPr>
          <w:rFonts w:cs="Times New Roman"/>
        </w:rPr>
        <w:t xml:space="preserve">  The amendments updated Rule 53 to reflect contemporaneous practices of district courts, which expanded the duties assigned to masters. The range of assistance from masters was recognized and highlighted in an earlier draft of the Committee Note to Rule 53, which relates to bankruptcy cases with equal strength:</w:t>
      </w:r>
    </w:p>
    <w:p w14:paraId="007A05D4" w14:textId="77777777" w:rsidR="00CE2632" w:rsidRPr="00D63B51" w:rsidRDefault="00CE2632" w:rsidP="00CE2632">
      <w:pPr>
        <w:ind w:left="720" w:right="720" w:firstLine="720"/>
        <w:jc w:val="both"/>
        <w:rPr>
          <w:rFonts w:cs="Times New Roman"/>
        </w:rPr>
      </w:pPr>
      <w:r w:rsidRPr="00D63B51">
        <w:rPr>
          <w:rFonts w:cs="Times New Roman"/>
        </w:rPr>
        <w:t>[T]he demands of complex litigation may present needs that can be addressed only with appointment of a special master.  Some cases may require more attention than a judge can devote while attending to the needs of other cases, and the most demanding cases may require more than the full time of a single judicial officer.  Other cases may call for expert knowledge in a particular subject.  The entrenched and legitimate concern that appointment of a special master may engender delay and added expense must be balanced against recognition that an appropriate appointment can reduce costs and delay.  Recognition of the essential help that a master can provide is reflected in the wide variety of responsibilities that have been assigned to pretrial masters.  Settlement masters are used to mediate or otherwise facilitate settlement. Masters are used to supervise discovery, particularly when the parties have been unable to manage discovery as they should or when it is necessary to deal with claims that thousands of documents are protected by privilege, work product, or protective order. In special circumstances, a master may be asked to conduct preliminary pretrial conferences; a pretrial conference directed to shaping the trial should be conducted by the officer who will preside at the trial.  Masters may be used to hear and either decide or make recommendations on pretrial motions.  More general pretrial management duties may be assigned as well.</w:t>
      </w:r>
      <w:r w:rsidRPr="00D63B51">
        <w:rPr>
          <w:rFonts w:cs="Times New Roman"/>
          <w:vertAlign w:val="superscript"/>
        </w:rPr>
        <w:footnoteReference w:id="326"/>
      </w:r>
    </w:p>
    <w:p w14:paraId="643E339C" w14:textId="77777777" w:rsidR="00CE2632" w:rsidRPr="00D63B51" w:rsidRDefault="00CE2632" w:rsidP="00CE2632">
      <w:pPr>
        <w:spacing w:line="360" w:lineRule="auto"/>
        <w:ind w:firstLine="720"/>
        <w:jc w:val="both"/>
        <w:rPr>
          <w:rFonts w:cs="Times New Roman"/>
        </w:rPr>
      </w:pPr>
    </w:p>
    <w:p w14:paraId="414EDE36" w14:textId="77777777" w:rsidR="00CE2632" w:rsidRPr="00D63B51" w:rsidRDefault="00CE2632" w:rsidP="00CE2632">
      <w:pPr>
        <w:spacing w:line="360" w:lineRule="auto"/>
        <w:ind w:firstLine="720"/>
        <w:jc w:val="both"/>
        <w:rPr>
          <w:rFonts w:cs="Times New Roman"/>
        </w:rPr>
      </w:pPr>
      <w:r w:rsidRPr="00D63B51">
        <w:rPr>
          <w:rFonts w:cs="Times New Roman"/>
        </w:rPr>
        <w:lastRenderedPageBreak/>
        <w:t>Amended Rule 53 contains many safeguards and procedures that protect the court, lawyers, and the special master, which were developed after a particularly rigorous rulemaking process.</w:t>
      </w:r>
      <w:r w:rsidRPr="00D63B51">
        <w:rPr>
          <w:rFonts w:cs="Times New Roman"/>
          <w:vertAlign w:val="superscript"/>
        </w:rPr>
        <w:footnoteReference w:id="327"/>
      </w:r>
      <w:r w:rsidRPr="00D63B51">
        <w:rPr>
          <w:rFonts w:cs="Times New Roman"/>
        </w:rPr>
        <w:t xml:space="preserve">  Bankruptcy courts have appointed neutrals on ad hoc basis without the benefit of a rule that provides uniform practices and procedures. The lack of official guidance increases the risk that ad hoc procedures in bankruptcy cases and proceedings may not include safeguards and protections for the appointment of a neutral that were determined to be important in civil actions. </w:t>
      </w:r>
    </w:p>
    <w:p w14:paraId="09AF8A33" w14:textId="7C79C0D1" w:rsidR="00CE2632" w:rsidRPr="00D63B51" w:rsidRDefault="00CE2632" w:rsidP="00CE2632">
      <w:pPr>
        <w:ind w:left="720" w:right="720"/>
        <w:jc w:val="both"/>
        <w:rPr>
          <w:rFonts w:cs="Times New Roman"/>
        </w:rPr>
      </w:pPr>
      <w:r w:rsidRPr="00D63B51">
        <w:rPr>
          <w:rFonts w:cs="Times New Roman"/>
        </w:rPr>
        <w:t xml:space="preserve"> </w:t>
      </w:r>
      <w:r w:rsidRPr="00D63B51">
        <w:rPr>
          <w:rFonts w:cs="Times New Roman"/>
          <w:b/>
          <w:bCs/>
        </w:rPr>
        <w:t>Best Practice MDL-§ 1</w:t>
      </w:r>
      <w:r w:rsidR="00F93D8F" w:rsidRPr="00D63B51">
        <w:rPr>
          <w:rFonts w:cs="Times New Roman"/>
          <w:b/>
          <w:bCs/>
        </w:rPr>
        <w:t>6</w:t>
      </w:r>
      <w:r w:rsidRPr="00D63B51">
        <w:rPr>
          <w:rFonts w:cs="Times New Roman"/>
          <w:b/>
          <w:bCs/>
        </w:rPr>
        <w:t>(a):</w:t>
      </w:r>
      <w:r w:rsidRPr="00D63B51">
        <w:rPr>
          <w:b/>
          <w:bCs/>
        </w:rPr>
        <w:t xml:space="preserve"> </w:t>
      </w:r>
      <w:r w:rsidRPr="00D63B51">
        <w:t>W</w:t>
      </w:r>
      <w:r w:rsidRPr="00D63B51">
        <w:rPr>
          <w:rFonts w:cs="Times New Roman"/>
        </w:rPr>
        <w:t xml:space="preserve">hen appointing a neutral under its inherent authority or under its authority to govern discovery, a bankruptcy court should adopt the safeguards and procedures  of </w:t>
      </w:r>
      <w:r w:rsidR="009C473E" w:rsidRPr="00D63B51">
        <w:rPr>
          <w:rFonts w:cs="Times New Roman"/>
        </w:rPr>
        <w:t>FED. R. CIV. P.</w:t>
      </w:r>
      <w:r w:rsidRPr="00D63B51">
        <w:rPr>
          <w:rFonts w:cs="Times New Roman"/>
        </w:rPr>
        <w:t xml:space="preserve"> 53, which governs the appointment of a special master in a civil action, with appropriate revisions consistent with the rule and the circumstances of the bankruptcy case or proceeding.</w:t>
      </w:r>
      <w:r w:rsidRPr="00D63B51">
        <w:rPr>
          <w:rFonts w:cs="Times New Roman"/>
          <w:vertAlign w:val="superscript"/>
        </w:rPr>
        <w:footnoteReference w:id="328"/>
      </w:r>
      <w:r w:rsidR="000A0A7D" w:rsidRPr="00D63B51">
        <w:rPr>
          <w:rFonts w:cs="Times New Roman"/>
        </w:rPr>
        <w:t xml:space="preserve"> </w:t>
      </w:r>
      <w:r w:rsidR="000A0A7D" w:rsidRPr="00D63B51">
        <w:t xml:space="preserve">Permanent No. </w:t>
      </w:r>
      <w:r w:rsidR="000A0A7D" w:rsidRPr="00D63B51">
        <w:rPr>
          <w:rFonts w:cs="Times New Roman"/>
        </w:rPr>
        <w:t>MDL-§ 20(a).</w:t>
      </w:r>
    </w:p>
    <w:p w14:paraId="2E556C11" w14:textId="77777777" w:rsidR="00CE2632" w:rsidRPr="00D63B51" w:rsidRDefault="00CE2632" w:rsidP="00CE2632">
      <w:pPr>
        <w:spacing w:line="360" w:lineRule="auto"/>
        <w:ind w:firstLine="720"/>
        <w:jc w:val="both"/>
        <w:rPr>
          <w:rFonts w:cs="Times New Roman"/>
        </w:rPr>
      </w:pPr>
    </w:p>
    <w:p w14:paraId="1E1FA218" w14:textId="6E2ABCA9" w:rsidR="00CE2632" w:rsidRPr="00D63B51" w:rsidRDefault="00CE2632" w:rsidP="00CE2632">
      <w:pPr>
        <w:spacing w:line="360" w:lineRule="auto"/>
        <w:ind w:firstLine="720"/>
        <w:jc w:val="both"/>
        <w:rPr>
          <w:rFonts w:cs="Times New Roman"/>
        </w:rPr>
      </w:pPr>
      <w:r w:rsidRPr="00D63B51">
        <w:rPr>
          <w:rFonts w:cs="Times New Roman"/>
        </w:rPr>
        <w:t xml:space="preserve"> In 2024, the Advisory Committee on Bankruptcy Rules began considering proposed amendments to Fed. R. Bk. P. 9031, which would permit a bankruptcy court to appoint a special master in a bankruptcy action in accordance with the provisions of Rule 53.</w:t>
      </w:r>
      <w:r w:rsidRPr="00D63B51">
        <w:rPr>
          <w:rFonts w:cs="Times New Roman"/>
          <w:vertAlign w:val="superscript"/>
        </w:rPr>
        <w:footnoteReference w:id="329"/>
      </w:r>
      <w:r w:rsidRPr="00D63B51">
        <w:rPr>
          <w:rFonts w:cs="Times New Roman"/>
        </w:rPr>
        <w:t xml:space="preserve">  Until the rule is amended, a bankruptcy court should, under its inherent authority, incorporate the protections and procedures in </w:t>
      </w:r>
      <w:r w:rsidR="009C473E" w:rsidRPr="00D63B51">
        <w:rPr>
          <w:rFonts w:cs="Times New Roman"/>
        </w:rPr>
        <w:t>FED. R. CIV. P.</w:t>
      </w:r>
      <w:r w:rsidRPr="00D63B51">
        <w:rPr>
          <w:rFonts w:cs="Times New Roman"/>
        </w:rPr>
        <w:t xml:space="preserve"> 53 when it appoints a neutral.</w:t>
      </w:r>
      <w:r w:rsidRPr="00D63B51">
        <w:rPr>
          <w:rFonts w:cs="Times New Roman"/>
          <w:vertAlign w:val="superscript"/>
        </w:rPr>
        <w:footnoteReference w:id="330"/>
      </w:r>
      <w:r w:rsidRPr="00D63B51">
        <w:rPr>
          <w:rFonts w:cs="Times New Roman"/>
        </w:rPr>
        <w:t xml:space="preserve">  The order appointing the neutral should address the following Rule 53 provisions:</w:t>
      </w:r>
    </w:p>
    <w:p w14:paraId="3E9A24FF" w14:textId="77777777" w:rsidR="00CE2632" w:rsidRPr="00D63B51" w:rsidRDefault="00CE2632" w:rsidP="00CE2632">
      <w:pPr>
        <w:numPr>
          <w:ilvl w:val="0"/>
          <w:numId w:val="24"/>
        </w:numPr>
        <w:spacing w:line="360" w:lineRule="auto"/>
        <w:ind w:left="1505"/>
        <w:contextualSpacing/>
        <w:jc w:val="both"/>
        <w:rPr>
          <w:rFonts w:cs="Times New Roman"/>
        </w:rPr>
      </w:pPr>
      <w:r w:rsidRPr="00D63B51">
        <w:rPr>
          <w:rFonts w:cs="Times New Roman"/>
        </w:rPr>
        <w:t>Scope of Authority – delineation of duties assigned to the master, including any investigation or enforcement duties and any limits on the master’s authority;</w:t>
      </w:r>
      <w:r w:rsidRPr="00D63B51">
        <w:rPr>
          <w:rFonts w:cs="Times New Roman"/>
          <w:vertAlign w:val="superscript"/>
        </w:rPr>
        <w:footnoteReference w:id="331"/>
      </w:r>
    </w:p>
    <w:p w14:paraId="3A8A1FE8" w14:textId="77777777" w:rsidR="00CE2632" w:rsidRPr="00D63B51" w:rsidRDefault="00CE2632" w:rsidP="00CE2632">
      <w:pPr>
        <w:numPr>
          <w:ilvl w:val="0"/>
          <w:numId w:val="24"/>
        </w:numPr>
        <w:spacing w:line="360" w:lineRule="auto"/>
        <w:ind w:left="1505"/>
        <w:contextualSpacing/>
        <w:jc w:val="both"/>
        <w:rPr>
          <w:rFonts w:cs="Times New Roman"/>
        </w:rPr>
      </w:pPr>
      <w:r w:rsidRPr="00D63B51">
        <w:rPr>
          <w:rFonts w:cs="Times New Roman"/>
        </w:rPr>
        <w:t>Eligibility Requirements – disqualification if based on relationship to the parties, attorneys, action, or court as required under 28 U.S.C.§ 455;</w:t>
      </w:r>
      <w:r w:rsidRPr="00D63B51">
        <w:rPr>
          <w:rFonts w:cs="Times New Roman"/>
          <w:vertAlign w:val="superscript"/>
        </w:rPr>
        <w:footnoteReference w:id="332"/>
      </w:r>
    </w:p>
    <w:p w14:paraId="5FF6D5E1" w14:textId="77777777" w:rsidR="00CE2632" w:rsidRPr="00D63B51" w:rsidRDefault="00CE2632" w:rsidP="00CE2632">
      <w:pPr>
        <w:numPr>
          <w:ilvl w:val="0"/>
          <w:numId w:val="24"/>
        </w:numPr>
        <w:spacing w:line="360" w:lineRule="auto"/>
        <w:ind w:left="1505"/>
        <w:contextualSpacing/>
        <w:jc w:val="both"/>
        <w:rPr>
          <w:rFonts w:cs="Times New Roman"/>
        </w:rPr>
      </w:pPr>
      <w:r w:rsidRPr="00D63B51">
        <w:rPr>
          <w:rFonts w:cs="Times New Roman"/>
        </w:rPr>
        <w:lastRenderedPageBreak/>
        <w:t>Notice of Proposed Appointment – “court must give the parties notice and an opportunity to be heard” on the proposed appointment;</w:t>
      </w:r>
      <w:r w:rsidRPr="00D63B51">
        <w:rPr>
          <w:rFonts w:cs="Times New Roman"/>
          <w:vertAlign w:val="superscript"/>
        </w:rPr>
        <w:footnoteReference w:id="333"/>
      </w:r>
    </w:p>
    <w:p w14:paraId="1B780756" w14:textId="77777777" w:rsidR="00CE2632" w:rsidRPr="00D63B51" w:rsidRDefault="00CE2632" w:rsidP="00CE2632">
      <w:pPr>
        <w:numPr>
          <w:ilvl w:val="0"/>
          <w:numId w:val="24"/>
        </w:numPr>
        <w:spacing w:line="360" w:lineRule="auto"/>
        <w:ind w:left="1505"/>
        <w:contextualSpacing/>
        <w:jc w:val="both"/>
        <w:rPr>
          <w:rFonts w:cs="Times New Roman"/>
        </w:rPr>
      </w:pPr>
      <w:r w:rsidRPr="00D63B51">
        <w:rPr>
          <w:rFonts w:cs="Times New Roman"/>
        </w:rPr>
        <w:t>Parties May Suggest Candidates – any party may suggest a candidate for appointment;</w:t>
      </w:r>
      <w:r w:rsidRPr="00D63B51">
        <w:rPr>
          <w:rFonts w:cs="Times New Roman"/>
          <w:vertAlign w:val="superscript"/>
        </w:rPr>
        <w:footnoteReference w:id="334"/>
      </w:r>
    </w:p>
    <w:p w14:paraId="66BE259D" w14:textId="77777777" w:rsidR="00CE2632" w:rsidRPr="00D63B51" w:rsidRDefault="00CE2632" w:rsidP="00CE2632">
      <w:pPr>
        <w:numPr>
          <w:ilvl w:val="0"/>
          <w:numId w:val="24"/>
        </w:numPr>
        <w:spacing w:line="360" w:lineRule="auto"/>
        <w:ind w:left="1505"/>
        <w:contextualSpacing/>
        <w:jc w:val="both"/>
        <w:rPr>
          <w:rFonts w:cs="Times New Roman"/>
        </w:rPr>
      </w:pPr>
      <w:r w:rsidRPr="00D63B51">
        <w:rPr>
          <w:rFonts w:cs="Times New Roman"/>
          <w:i/>
          <w:iCs/>
        </w:rPr>
        <w:t>Ex Parte</w:t>
      </w:r>
      <w:r w:rsidRPr="00D63B51">
        <w:rPr>
          <w:rFonts w:cs="Times New Roman"/>
        </w:rPr>
        <w:t xml:space="preserve"> Communications – “circumstances, if any, in which the master may communicate </w:t>
      </w:r>
      <w:r w:rsidRPr="00D63B51">
        <w:rPr>
          <w:rFonts w:cs="Times New Roman"/>
          <w:i/>
          <w:iCs/>
        </w:rPr>
        <w:t>ex parte</w:t>
      </w:r>
      <w:r w:rsidRPr="00D63B51">
        <w:rPr>
          <w:rFonts w:cs="Times New Roman"/>
        </w:rPr>
        <w:t xml:space="preserve"> with the court or a party;”</w:t>
      </w:r>
      <w:r w:rsidRPr="00D63B51">
        <w:rPr>
          <w:rFonts w:cs="Times New Roman"/>
          <w:vertAlign w:val="superscript"/>
        </w:rPr>
        <w:footnoteReference w:id="335"/>
      </w:r>
    </w:p>
    <w:p w14:paraId="27B5DACB" w14:textId="77777777" w:rsidR="00CE2632" w:rsidRPr="00D63B51" w:rsidRDefault="00CE2632" w:rsidP="00CE2632">
      <w:pPr>
        <w:numPr>
          <w:ilvl w:val="0"/>
          <w:numId w:val="24"/>
        </w:numPr>
        <w:spacing w:line="360" w:lineRule="auto"/>
        <w:ind w:left="1505"/>
        <w:contextualSpacing/>
        <w:jc w:val="both"/>
        <w:rPr>
          <w:rFonts w:cs="Times New Roman"/>
        </w:rPr>
      </w:pPr>
      <w:r w:rsidRPr="00D63B51">
        <w:rPr>
          <w:rFonts w:cs="Times New Roman"/>
        </w:rPr>
        <w:t>Preservation of Materials – “nature of the materials to be preserved and filed as the record of the master’s activities;”</w:t>
      </w:r>
      <w:r w:rsidRPr="00D63B51">
        <w:rPr>
          <w:rFonts w:cs="Times New Roman"/>
          <w:vertAlign w:val="superscript"/>
        </w:rPr>
        <w:footnoteReference w:id="336"/>
      </w:r>
    </w:p>
    <w:p w14:paraId="069760A9" w14:textId="77777777" w:rsidR="00CE2632" w:rsidRPr="00D63B51" w:rsidRDefault="00CE2632" w:rsidP="00CE2632">
      <w:pPr>
        <w:numPr>
          <w:ilvl w:val="0"/>
          <w:numId w:val="24"/>
        </w:numPr>
        <w:spacing w:line="360" w:lineRule="auto"/>
        <w:ind w:left="1505"/>
        <w:contextualSpacing/>
        <w:jc w:val="both"/>
        <w:rPr>
          <w:rFonts w:cs="Times New Roman"/>
        </w:rPr>
      </w:pPr>
      <w:r w:rsidRPr="00D63B51">
        <w:rPr>
          <w:rFonts w:cs="Times New Roman"/>
        </w:rPr>
        <w:t>Procedures and Standards for Reviewing the Master’s Orders, Findings, and Recommendations – “the time limits, method of filing the record;”</w:t>
      </w:r>
      <w:r w:rsidRPr="00D63B51">
        <w:rPr>
          <w:rFonts w:cs="Times New Roman"/>
          <w:vertAlign w:val="superscript"/>
        </w:rPr>
        <w:footnoteReference w:id="337"/>
      </w:r>
    </w:p>
    <w:p w14:paraId="7863EEBC" w14:textId="77777777" w:rsidR="00CE2632" w:rsidRPr="00D63B51" w:rsidRDefault="00CE2632" w:rsidP="00CE2632">
      <w:pPr>
        <w:numPr>
          <w:ilvl w:val="0"/>
          <w:numId w:val="24"/>
        </w:numPr>
        <w:spacing w:line="360" w:lineRule="auto"/>
        <w:ind w:left="1505"/>
        <w:contextualSpacing/>
        <w:jc w:val="both"/>
        <w:rPr>
          <w:rFonts w:cs="Times New Roman"/>
        </w:rPr>
      </w:pPr>
      <w:r w:rsidRPr="00D63B51">
        <w:rPr>
          <w:rFonts w:cs="Times New Roman"/>
        </w:rPr>
        <w:t>Master’s Compensation – “basis, terms, and procedure for fixing the master’s compensation;”</w:t>
      </w:r>
      <w:r w:rsidRPr="00D63B51">
        <w:rPr>
          <w:rFonts w:cs="Times New Roman"/>
          <w:vertAlign w:val="superscript"/>
        </w:rPr>
        <w:footnoteReference w:id="338"/>
      </w:r>
    </w:p>
    <w:p w14:paraId="2CCA9D1B" w14:textId="77777777" w:rsidR="00CE2632" w:rsidRPr="00D63B51" w:rsidRDefault="00CE2632" w:rsidP="00CE2632">
      <w:pPr>
        <w:numPr>
          <w:ilvl w:val="0"/>
          <w:numId w:val="24"/>
        </w:numPr>
        <w:spacing w:line="360" w:lineRule="auto"/>
        <w:ind w:left="1505"/>
        <w:contextualSpacing/>
        <w:jc w:val="both"/>
        <w:rPr>
          <w:rFonts w:cs="Times New Roman"/>
        </w:rPr>
      </w:pPr>
      <w:r w:rsidRPr="00D63B51">
        <w:rPr>
          <w:rFonts w:cs="Times New Roman"/>
        </w:rPr>
        <w:t>Filing Master’s Orders – “A master who issues an order must file it and promptly serve a copy on each party.”</w:t>
      </w:r>
      <w:r w:rsidRPr="00D63B51">
        <w:rPr>
          <w:rFonts w:cs="Times New Roman"/>
          <w:vertAlign w:val="superscript"/>
        </w:rPr>
        <w:footnoteReference w:id="339"/>
      </w:r>
    </w:p>
    <w:p w14:paraId="73F9E38E" w14:textId="77777777" w:rsidR="00CE2632" w:rsidRPr="00D63B51" w:rsidRDefault="00CE2632" w:rsidP="00CE2632">
      <w:pPr>
        <w:numPr>
          <w:ilvl w:val="0"/>
          <w:numId w:val="24"/>
        </w:numPr>
        <w:spacing w:line="360" w:lineRule="auto"/>
        <w:ind w:left="1512"/>
        <w:contextualSpacing/>
        <w:jc w:val="both"/>
        <w:rPr>
          <w:rFonts w:cs="Times New Roman"/>
        </w:rPr>
      </w:pPr>
      <w:r w:rsidRPr="00D63B51">
        <w:rPr>
          <w:rFonts w:cs="Times New Roman"/>
        </w:rPr>
        <w:t>Parties’ Opportunity for a Hearing – “court must give the parties notice and an opportunity to be heard” when acting on a master’s order, report, or recommendation;</w:t>
      </w:r>
      <w:r w:rsidRPr="00D63B51">
        <w:rPr>
          <w:rFonts w:cs="Times New Roman"/>
          <w:vertAlign w:val="superscript"/>
        </w:rPr>
        <w:footnoteReference w:id="340"/>
      </w:r>
    </w:p>
    <w:p w14:paraId="549BBB1E" w14:textId="77777777" w:rsidR="00CE2632" w:rsidRPr="00D63B51" w:rsidRDefault="00CE2632" w:rsidP="00CE2632">
      <w:pPr>
        <w:numPr>
          <w:ilvl w:val="0"/>
          <w:numId w:val="24"/>
        </w:numPr>
        <w:spacing w:line="360" w:lineRule="auto"/>
        <w:ind w:left="1512"/>
        <w:contextualSpacing/>
        <w:jc w:val="both"/>
        <w:rPr>
          <w:rFonts w:cs="Times New Roman"/>
          <w:b/>
          <w:bCs/>
        </w:rPr>
      </w:pPr>
      <w:r w:rsidRPr="00D63B51">
        <w:rPr>
          <w:rFonts w:cs="Times New Roman"/>
        </w:rPr>
        <w:t>Parties’ Objections – unless the court sets a different time, parties may object to the master’s order, report, or recommendation no later than 21 days after a copy is served;</w:t>
      </w:r>
      <w:r w:rsidRPr="00D63B51">
        <w:rPr>
          <w:rFonts w:cs="Times New Roman"/>
          <w:vertAlign w:val="superscript"/>
        </w:rPr>
        <w:footnoteReference w:id="341"/>
      </w:r>
    </w:p>
    <w:p w14:paraId="7566438A" w14:textId="77777777" w:rsidR="00CE2632" w:rsidRPr="00D63B51" w:rsidRDefault="00CE2632" w:rsidP="00CE2632">
      <w:pPr>
        <w:numPr>
          <w:ilvl w:val="0"/>
          <w:numId w:val="24"/>
        </w:numPr>
        <w:spacing w:line="360" w:lineRule="auto"/>
        <w:ind w:left="1512"/>
        <w:contextualSpacing/>
        <w:jc w:val="both"/>
        <w:rPr>
          <w:rFonts w:cs="Times New Roman"/>
          <w:b/>
          <w:bCs/>
        </w:rPr>
      </w:pPr>
      <w:r w:rsidRPr="00D63B51">
        <w:rPr>
          <w:rFonts w:cs="Times New Roman"/>
        </w:rPr>
        <w:lastRenderedPageBreak/>
        <w:t>Reviewing Factual Findings and Legal Conclusions – court must decide de novo all objections to master’s findings of fact and conclusions of law;</w:t>
      </w:r>
      <w:r w:rsidRPr="00D63B51">
        <w:rPr>
          <w:rFonts w:cs="Times New Roman"/>
          <w:vertAlign w:val="superscript"/>
        </w:rPr>
        <w:footnoteReference w:id="342"/>
      </w:r>
      <w:r w:rsidRPr="00D63B51">
        <w:rPr>
          <w:rFonts w:cs="Times New Roman"/>
        </w:rPr>
        <w:t xml:space="preserve"> and</w:t>
      </w:r>
    </w:p>
    <w:p w14:paraId="6F39F692" w14:textId="77777777" w:rsidR="00CE2632" w:rsidRPr="00D63B51" w:rsidRDefault="00CE2632" w:rsidP="00CE2632">
      <w:pPr>
        <w:numPr>
          <w:ilvl w:val="0"/>
          <w:numId w:val="24"/>
        </w:numPr>
        <w:spacing w:line="360" w:lineRule="auto"/>
        <w:ind w:left="1512"/>
        <w:contextualSpacing/>
        <w:jc w:val="both"/>
        <w:rPr>
          <w:rFonts w:cs="Times New Roman"/>
          <w:b/>
          <w:bCs/>
        </w:rPr>
      </w:pPr>
      <w:r w:rsidRPr="00D63B51">
        <w:rPr>
          <w:rFonts w:cs="Times New Roman"/>
        </w:rPr>
        <w:t>Payment of Master’s Compensation – master’s compensation must be paid either by a party or parties or from a fund or subject matter of the action within the court’s control.</w:t>
      </w:r>
      <w:r w:rsidRPr="00D63B51">
        <w:rPr>
          <w:rFonts w:cs="Times New Roman"/>
          <w:vertAlign w:val="superscript"/>
        </w:rPr>
        <w:footnoteReference w:id="343"/>
      </w:r>
      <w:r w:rsidRPr="00D63B51">
        <w:rPr>
          <w:rFonts w:cs="Times New Roman"/>
          <w:b/>
          <w:bCs/>
        </w:rPr>
        <w:t xml:space="preserve"> </w:t>
      </w:r>
    </w:p>
    <w:p w14:paraId="4D537EC1" w14:textId="6CF0E032" w:rsidR="00CE2632" w:rsidRPr="00D63B51" w:rsidRDefault="00CE2632" w:rsidP="00CE2632">
      <w:pPr>
        <w:ind w:left="720" w:right="720"/>
        <w:jc w:val="both"/>
      </w:pPr>
      <w:r w:rsidRPr="00D63B51">
        <w:rPr>
          <w:rFonts w:cs="Times New Roman"/>
          <w:b/>
          <w:bCs/>
        </w:rPr>
        <w:t>Best Practice MDL-§ 1</w:t>
      </w:r>
      <w:r w:rsidR="00F93D8F" w:rsidRPr="00D63B51">
        <w:rPr>
          <w:rFonts w:cs="Times New Roman"/>
          <w:b/>
          <w:bCs/>
        </w:rPr>
        <w:t>6</w:t>
      </w:r>
      <w:r w:rsidRPr="00D63B51">
        <w:rPr>
          <w:rFonts w:cs="Times New Roman"/>
          <w:b/>
          <w:bCs/>
        </w:rPr>
        <w:t>(b):</w:t>
      </w:r>
      <w:r w:rsidRPr="00D63B51">
        <w:rPr>
          <w:b/>
          <w:bCs/>
        </w:rPr>
        <w:t xml:space="preserve"> </w:t>
      </w:r>
      <w:r w:rsidRPr="00D63B51">
        <w:t xml:space="preserve">After notice and a hearing, the court must fix the neutral’s compensation, which is payable as an administrative expense. </w:t>
      </w:r>
      <w:r w:rsidR="000A0A7D" w:rsidRPr="00D63B51">
        <w:t xml:space="preserve"> Permanent No. </w:t>
      </w:r>
      <w:r w:rsidR="000A0A7D" w:rsidRPr="00D63B51">
        <w:rPr>
          <w:rFonts w:cs="Times New Roman"/>
        </w:rPr>
        <w:t>MDL-§ 20</w:t>
      </w:r>
      <w:r w:rsidR="00065C68" w:rsidRPr="00D63B51">
        <w:rPr>
          <w:rFonts w:cs="Times New Roman"/>
        </w:rPr>
        <w:t>(b).</w:t>
      </w:r>
    </w:p>
    <w:p w14:paraId="173281FD" w14:textId="77777777" w:rsidR="00CE2632" w:rsidRPr="00D63B51" w:rsidRDefault="00CE2632" w:rsidP="00CE2632">
      <w:pPr>
        <w:ind w:left="720" w:right="720"/>
        <w:jc w:val="both"/>
      </w:pPr>
    </w:p>
    <w:p w14:paraId="07B19284" w14:textId="77777777" w:rsidR="00CE2632" w:rsidRPr="00D63B51" w:rsidRDefault="00CE2632" w:rsidP="00CE2632">
      <w:pPr>
        <w:spacing w:line="360" w:lineRule="auto"/>
        <w:ind w:firstLine="720"/>
        <w:jc w:val="both"/>
      </w:pPr>
      <w:r w:rsidRPr="00D63B51">
        <w:t>The order appointing a neutral</w:t>
      </w:r>
      <w:r w:rsidRPr="00D63B51" w:rsidDel="000310E3">
        <w:t xml:space="preserve"> </w:t>
      </w:r>
      <w:r w:rsidRPr="00D63B51">
        <w:t>must state the basis, terms, and procedures for fixing the neutral’s</w:t>
      </w:r>
      <w:r w:rsidRPr="00D63B51" w:rsidDel="000310E3">
        <w:t xml:space="preserve"> </w:t>
      </w:r>
      <w:r w:rsidRPr="00D63B51">
        <w:t>compensation.</w:t>
      </w:r>
      <w:r w:rsidRPr="00D63B51">
        <w:rPr>
          <w:vertAlign w:val="superscript"/>
        </w:rPr>
        <w:footnoteReference w:id="344"/>
      </w:r>
      <w:r w:rsidRPr="00D63B51">
        <w:t xml:space="preserve">  In setting the rate of the neutral’s</w:t>
      </w:r>
      <w:r w:rsidRPr="00D63B51" w:rsidDel="000310E3">
        <w:t xml:space="preserve"> </w:t>
      </w:r>
      <w:r w:rsidRPr="00D63B51">
        <w:t>compensation, the court should consider: (i) the time, nature, extent, and value of the services; (ii) the amount in controversy; and (iii) the cost of comparable services in non-bankruptcy cases.</w:t>
      </w:r>
      <w:r w:rsidRPr="00D63B51">
        <w:rPr>
          <w:vertAlign w:val="superscript"/>
        </w:rPr>
        <w:footnoteReference w:id="345"/>
      </w:r>
      <w:r w:rsidRPr="00D63B51">
        <w:t xml:space="preserve">  The parties should provide the court with information about rates of compensation in other cases, most notably mass-tort MDLs.</w:t>
      </w:r>
      <w:r w:rsidRPr="00D63B51">
        <w:rPr>
          <w:vertAlign w:val="superscript"/>
        </w:rPr>
        <w:footnoteReference w:id="346"/>
      </w:r>
    </w:p>
    <w:p w14:paraId="424E8FFE" w14:textId="77777777" w:rsidR="00CE2632" w:rsidRPr="00D63B51" w:rsidRDefault="00CE2632" w:rsidP="00CE2632">
      <w:pPr>
        <w:spacing w:line="360" w:lineRule="auto"/>
        <w:ind w:firstLine="720"/>
        <w:jc w:val="both"/>
      </w:pPr>
      <w:r w:rsidRPr="00D63B51">
        <w:t>The neutral’s</w:t>
      </w:r>
      <w:r w:rsidRPr="00D63B51" w:rsidDel="000310E3">
        <w:t xml:space="preserve"> </w:t>
      </w:r>
      <w:r w:rsidRPr="00D63B51">
        <w:t>compensation is payable as an administrative expense and given higher priority than other creditor claims.</w:t>
      </w:r>
      <w:r w:rsidRPr="00D63B51">
        <w:rPr>
          <w:vertAlign w:val="superscript"/>
        </w:rPr>
        <w:footnoteReference w:id="347"/>
      </w:r>
      <w:r w:rsidRPr="00D63B51">
        <w:t xml:space="preserve">  The court may revise the initial basis and terms of the neutral’s</w:t>
      </w:r>
      <w:r w:rsidRPr="00D63B51" w:rsidDel="000310E3">
        <w:t xml:space="preserve"> </w:t>
      </w:r>
      <w:r w:rsidRPr="00D63B51">
        <w:t>compensation after notice and an opportunity to be heard but should protect the parties against unfair surprises.</w:t>
      </w:r>
      <w:r w:rsidRPr="00D63B51">
        <w:rPr>
          <w:vertAlign w:val="superscript"/>
        </w:rPr>
        <w:footnoteReference w:id="348"/>
      </w:r>
      <w:r w:rsidRPr="00D63B51">
        <w:t xml:space="preserve"> A neutral</w:t>
      </w:r>
      <w:r w:rsidRPr="00D63B51" w:rsidDel="005723A9">
        <w:t xml:space="preserve"> </w:t>
      </w:r>
      <w:r w:rsidRPr="00D63B51">
        <w:t>seeking compensation from the estate for services authorized by the court must file a detailed statement of the “services rendered, time expended and expenses incurred, and (2) the amounts requested.”</w:t>
      </w:r>
      <w:r w:rsidRPr="00D63B51">
        <w:rPr>
          <w:vertAlign w:val="superscript"/>
        </w:rPr>
        <w:footnoteReference w:id="349"/>
      </w:r>
      <w:r w:rsidRPr="00D63B51">
        <w:t xml:space="preserve">  </w:t>
      </w:r>
    </w:p>
    <w:p w14:paraId="5AF6EC66" w14:textId="77777777" w:rsidR="00CE2632" w:rsidRPr="00D63B51" w:rsidRDefault="00CE2632" w:rsidP="00CE2632">
      <w:pPr>
        <w:spacing w:line="360" w:lineRule="auto"/>
        <w:ind w:firstLine="720"/>
        <w:jc w:val="both"/>
        <w:rPr>
          <w:b/>
          <w:bCs/>
          <w:u w:val="single"/>
        </w:rPr>
      </w:pPr>
      <w:r w:rsidRPr="00D63B51">
        <w:t>In a bankruptcy case, one or more parties, including non-debtor insurance companies, may request that the court appoint a neutral</w:t>
      </w:r>
      <w:r w:rsidRPr="00D63B51" w:rsidDel="005723A9">
        <w:t xml:space="preserve"> </w:t>
      </w:r>
      <w:r w:rsidRPr="00D63B51">
        <w:t>and may be willing to bear the cost themselves. Under such circumstances, a bankruptcy court may exercise its inherent case-management authority to appoint a neutral</w:t>
      </w:r>
      <w:r w:rsidRPr="00D63B51" w:rsidDel="005723A9">
        <w:t xml:space="preserve"> </w:t>
      </w:r>
      <w:r w:rsidRPr="00D63B51">
        <w:t xml:space="preserve">subject to payment by the parties.  The court should consider the same factors that a </w:t>
      </w:r>
      <w:r w:rsidRPr="00D63B51">
        <w:lastRenderedPageBreak/>
        <w:t>district judge considers in allocating payment for the neutral’s</w:t>
      </w:r>
      <w:r w:rsidRPr="00D63B51" w:rsidDel="005723A9">
        <w:t xml:space="preserve"> </w:t>
      </w:r>
      <w:r w:rsidRPr="00D63B51">
        <w:t>compensation. In a civil action, a court can allocate payment among the parties “after considering the nature and amount of the controversy, the parties’ means, and the extent to which any party is more responsible than other parties for the reference to a master.”</w:t>
      </w:r>
      <w:r w:rsidRPr="00D63B51">
        <w:rPr>
          <w:vertAlign w:val="superscript"/>
        </w:rPr>
        <w:footnoteReference w:id="350"/>
      </w:r>
      <w:r w:rsidRPr="00D63B51">
        <w:t xml:space="preserve"> </w:t>
      </w:r>
    </w:p>
    <w:p w14:paraId="33443ADA" w14:textId="77777777" w:rsidR="003F0E1F" w:rsidRPr="00D63B51" w:rsidRDefault="003F0E1F" w:rsidP="003F0E1F">
      <w:pPr>
        <w:spacing w:after="160"/>
        <w:ind w:left="1498"/>
        <w:contextualSpacing/>
        <w:jc w:val="both"/>
        <w:rPr>
          <w:rFonts w:cs="Times New Roman"/>
          <w:color w:val="auto"/>
        </w:rPr>
      </w:pPr>
    </w:p>
    <w:p w14:paraId="6CA5F356" w14:textId="4CD0D1DF" w:rsidR="00CE2632" w:rsidRPr="00D63B51" w:rsidRDefault="00CE2632" w:rsidP="005063AC">
      <w:pPr>
        <w:jc w:val="both"/>
      </w:pPr>
      <w:r w:rsidRPr="00D63B51">
        <w:rPr>
          <w:b/>
          <w:bCs/>
          <w:u w:val="single"/>
        </w:rPr>
        <w:t xml:space="preserve">GUIDELINE </w:t>
      </w:r>
      <w:r w:rsidRPr="00D63B51">
        <w:rPr>
          <w:rFonts w:cs="Times New Roman"/>
          <w:b/>
          <w:bCs/>
          <w:u w:val="single"/>
        </w:rPr>
        <w:t>MDL-§ 1</w:t>
      </w:r>
      <w:r w:rsidR="00B21B6D" w:rsidRPr="00D63B51">
        <w:rPr>
          <w:rFonts w:cs="Times New Roman"/>
          <w:b/>
          <w:bCs/>
          <w:u w:val="single"/>
        </w:rPr>
        <w:t>7</w:t>
      </w:r>
      <w:r w:rsidRPr="00D63B51">
        <w:rPr>
          <w:rFonts w:cs="Times New Roman"/>
          <w:b/>
          <w:bCs/>
        </w:rPr>
        <w:t>:</w:t>
      </w:r>
      <w:r w:rsidRPr="00D63B51">
        <w:rPr>
          <w:b/>
          <w:bCs/>
        </w:rPr>
        <w:t xml:space="preserve"> </w:t>
      </w:r>
      <w:r w:rsidRPr="00D63B51">
        <w:t xml:space="preserve">The Supreme Court held in </w:t>
      </w:r>
      <w:r w:rsidRPr="00D63B51">
        <w:rPr>
          <w:i/>
          <w:iCs/>
        </w:rPr>
        <w:t>Purdue Pharma</w:t>
      </w:r>
      <w:r w:rsidRPr="00D63B51">
        <w:t xml:space="preserve"> that the Bankruptcy Code does not authorize the release of claims against nondebtors as part of a Chapter 11 reorganization plan in a non-asbestos mass-tort bankruptcy without the consent of tort claimants.</w:t>
      </w:r>
      <w:r w:rsidR="00065C68" w:rsidRPr="00D63B51">
        <w:t xml:space="preserve"> Permanent No. </w:t>
      </w:r>
      <w:r w:rsidR="00065C68" w:rsidRPr="00D63B51">
        <w:rPr>
          <w:rFonts w:cs="Times New Roman"/>
        </w:rPr>
        <w:t>MDL-§ 21.</w:t>
      </w:r>
    </w:p>
    <w:p w14:paraId="35751E88" w14:textId="77777777" w:rsidR="00CE2632" w:rsidRPr="00D63B51" w:rsidRDefault="00CE2632" w:rsidP="00CE2632">
      <w:pPr>
        <w:ind w:left="720" w:right="720"/>
        <w:jc w:val="both"/>
      </w:pPr>
    </w:p>
    <w:p w14:paraId="69211DA6" w14:textId="77777777" w:rsidR="00CE2632" w:rsidRPr="00D63B51" w:rsidRDefault="00CE2632" w:rsidP="00CE2632">
      <w:pPr>
        <w:spacing w:line="360" w:lineRule="auto"/>
        <w:ind w:firstLine="720"/>
        <w:jc w:val="both"/>
      </w:pPr>
      <w:r w:rsidRPr="00D63B51">
        <w:t>Generally, a discharge in bankruptcy operates only for the benefit of the debtor against its creditors and does not affect the liability of any other entity.</w:t>
      </w:r>
      <w:r w:rsidRPr="00D63B51">
        <w:rPr>
          <w:vertAlign w:val="superscript"/>
        </w:rPr>
        <w:footnoteReference w:id="351"/>
      </w:r>
      <w:r w:rsidRPr="00D63B51">
        <w:t xml:space="preserve"> But for decades, some, but not all, bankruptcy courts and courts of appeals determined that nonconsensual releases of nondebtors from liability could be appropriate and essential in mass-tort bankruptcy cases, though in certain narrow circumstances under 11 U.S.C. </w:t>
      </w:r>
      <w:r w:rsidRPr="00D63B51">
        <w:rPr>
          <w:rFonts w:cs="Times New Roman"/>
        </w:rPr>
        <w:t xml:space="preserve">§ </w:t>
      </w:r>
      <w:r w:rsidRPr="00D63B51">
        <w:t>1123(b)(6).</w:t>
      </w:r>
      <w:r w:rsidRPr="00D63B51">
        <w:rPr>
          <w:vertAlign w:val="superscript"/>
        </w:rPr>
        <w:footnoteReference w:id="352"/>
      </w:r>
      <w:r w:rsidRPr="00D63B51">
        <w:t xml:space="preserve"> These courts developed and applied non-exhaustive lists of factors determining whether a nonconsensual, nondebtor release was “appropriate” in a given case, usually in exchange for a substantial monetary contribution to the debtor’s estate.</w:t>
      </w:r>
      <w:r w:rsidRPr="00D63B51">
        <w:rPr>
          <w:vertAlign w:val="superscript"/>
        </w:rPr>
        <w:footnoteReference w:id="353"/>
      </w:r>
      <w:r w:rsidRPr="00D63B51">
        <w:t xml:space="preserve"> The factors were applied in a holistic inquiry that depended on the precise facts and circumstances of each case.  </w:t>
      </w:r>
    </w:p>
    <w:p w14:paraId="367B45C4" w14:textId="77777777" w:rsidR="00CE2632" w:rsidRPr="00D63B51" w:rsidRDefault="00CE2632" w:rsidP="00CE2632">
      <w:pPr>
        <w:spacing w:line="360" w:lineRule="auto"/>
        <w:ind w:firstLine="720"/>
        <w:jc w:val="both"/>
      </w:pPr>
      <w:r w:rsidRPr="00D63B51">
        <w:t xml:space="preserve">Among the factors considered for approval of nonconsensual releases of claims against third parties were the degree to which the released claims and claims against the debtor were intertwined, the importance of the releases to the reorganization, the contributions made by the releasing parties to the debtor’s estate, whether affected creditors overwhelmingly supported the </w:t>
      </w:r>
      <w:r w:rsidRPr="00D63B51">
        <w:lastRenderedPageBreak/>
        <w:t>plan, and whether the plan provided for fair payment of enjoined claims.</w:t>
      </w:r>
      <w:r w:rsidRPr="00D63B51">
        <w:rPr>
          <w:vertAlign w:val="superscript"/>
        </w:rPr>
        <w:footnoteReference w:id="354"/>
      </w:r>
      <w:r w:rsidRPr="00D63B51">
        <w:t xml:space="preserve">  Illustrative examples of nondebtors whose liability was discharged under nonconsensual releases were directors, officers, shareholders, and affiliates of bankrupt companies, insurance and other indemnification entities, and franchisees and other entities who provided substantial contributions to the debtor’s estate. </w:t>
      </w:r>
    </w:p>
    <w:p w14:paraId="32304F97" w14:textId="77777777" w:rsidR="00CE2632" w:rsidRPr="00D63B51" w:rsidRDefault="00CE2632" w:rsidP="00CE2632">
      <w:pPr>
        <w:spacing w:line="360" w:lineRule="auto"/>
        <w:ind w:firstLine="720"/>
        <w:jc w:val="both"/>
      </w:pPr>
      <w:r w:rsidRPr="00D63B51">
        <w:t xml:space="preserve">The Supreme Court in </w:t>
      </w:r>
      <w:r w:rsidRPr="00D63B51">
        <w:rPr>
          <w:i/>
          <w:iCs/>
        </w:rPr>
        <w:t>Purdue Pharma</w:t>
      </w:r>
      <w:r w:rsidRPr="00D63B51">
        <w:t xml:space="preserve"> overturned the court decisions granting nonconsensual releases of claims against nondebtors outside the asbestos context, holding that the bankruptcy code does not authorize a release and injunction that, as part of a plan of reorganization under Chapter 11, effectively seek to discharge claims against a nondebtor without the consent of the affected claimants.</w:t>
      </w:r>
      <w:r w:rsidRPr="00D63B51">
        <w:rPr>
          <w:vertAlign w:val="superscript"/>
        </w:rPr>
        <w:footnoteReference w:id="355"/>
      </w:r>
      <w:r w:rsidRPr="00D63B51">
        <w:t xml:space="preserve"> But the holding did not question </w:t>
      </w:r>
      <w:r w:rsidRPr="00D63B51">
        <w:rPr>
          <w:i/>
          <w:iCs/>
        </w:rPr>
        <w:t>consensual</w:t>
      </w:r>
      <w:r w:rsidRPr="00D63B51">
        <w:t xml:space="preserve"> third-party releases offered in connection with a bankruptcy reorganization plan nor what qualified as a consensual release or a plan that provided for the full satisfaction of claims against a third-party nondebtor.</w:t>
      </w:r>
      <w:r w:rsidRPr="00D63B51">
        <w:rPr>
          <w:vertAlign w:val="superscript"/>
        </w:rPr>
        <w:footnoteReference w:id="356"/>
      </w:r>
    </w:p>
    <w:p w14:paraId="026A101A" w14:textId="02D791AC" w:rsidR="00CE2632" w:rsidRPr="00D63B51" w:rsidRDefault="00CE2632" w:rsidP="00CE2632">
      <w:pPr>
        <w:ind w:left="720" w:right="720"/>
        <w:jc w:val="both"/>
      </w:pPr>
      <w:r w:rsidRPr="00D63B51">
        <w:rPr>
          <w:rFonts w:cs="Times New Roman"/>
          <w:b/>
          <w:bCs/>
        </w:rPr>
        <w:t>Best Practice MDL-§ 1</w:t>
      </w:r>
      <w:r w:rsidR="00B21B6D" w:rsidRPr="00D63B51">
        <w:rPr>
          <w:rFonts w:cs="Times New Roman"/>
          <w:b/>
          <w:bCs/>
        </w:rPr>
        <w:t>7</w:t>
      </w:r>
      <w:r w:rsidRPr="00D63B51">
        <w:rPr>
          <w:rFonts w:cs="Times New Roman"/>
          <w:b/>
          <w:bCs/>
        </w:rPr>
        <w:t>(a):</w:t>
      </w:r>
      <w:r w:rsidRPr="00D63B51">
        <w:rPr>
          <w:b/>
          <w:bCs/>
        </w:rPr>
        <w:t xml:space="preserve"> </w:t>
      </w:r>
      <w:r w:rsidRPr="00D63B51">
        <w:t xml:space="preserve">Parties in a mass-tort bankruptcy should recommend procedures governing the consensual release of claims against nondebtors if they are important to the reorganization and are consistent with the ruling in </w:t>
      </w:r>
      <w:r w:rsidRPr="00D63B51">
        <w:rPr>
          <w:i/>
          <w:iCs/>
        </w:rPr>
        <w:t>Purdue Pharma</w:t>
      </w:r>
      <w:r w:rsidRPr="00D63B51">
        <w:t>.</w:t>
      </w:r>
      <w:r w:rsidRPr="00D63B51">
        <w:rPr>
          <w:vertAlign w:val="superscript"/>
        </w:rPr>
        <w:footnoteReference w:id="357"/>
      </w:r>
      <w:r w:rsidR="00065C68" w:rsidRPr="00D63B51">
        <w:t xml:space="preserve"> Permanent No. </w:t>
      </w:r>
      <w:r w:rsidR="00065C68" w:rsidRPr="00D63B51">
        <w:rPr>
          <w:rFonts w:cs="Times New Roman"/>
        </w:rPr>
        <w:t>MDL-§ 21(a).</w:t>
      </w:r>
    </w:p>
    <w:p w14:paraId="39F86A6C" w14:textId="77777777" w:rsidR="00CE2632" w:rsidRPr="00D63B51" w:rsidRDefault="00CE2632" w:rsidP="00CE2632">
      <w:pPr>
        <w:ind w:left="720" w:right="720"/>
        <w:jc w:val="both"/>
      </w:pPr>
    </w:p>
    <w:p w14:paraId="0A1774D3" w14:textId="3200F457" w:rsidR="00CE2632" w:rsidRPr="00D63B51" w:rsidRDefault="00CE2632" w:rsidP="00CE2632">
      <w:pPr>
        <w:spacing w:line="360" w:lineRule="auto"/>
        <w:jc w:val="both"/>
      </w:pPr>
      <w:r w:rsidRPr="00D63B51">
        <w:t xml:space="preserve"> </w:t>
      </w:r>
      <w:r w:rsidRPr="00D63B51">
        <w:tab/>
        <w:t xml:space="preserve">Before </w:t>
      </w:r>
      <w:r w:rsidRPr="00D63B51">
        <w:rPr>
          <w:i/>
          <w:iCs/>
        </w:rPr>
        <w:t>Purdue Pharma</w:t>
      </w:r>
      <w:r w:rsidRPr="00D63B51">
        <w:t>, it was generally accepted that a Chapter 11 plan could release claims against nondebtors if the releases were consensual, or nonconsensual in limited circumstances.</w:t>
      </w:r>
      <w:r w:rsidRPr="00D63B51">
        <w:rPr>
          <w:vertAlign w:val="superscript"/>
        </w:rPr>
        <w:footnoteReference w:id="358"/>
      </w:r>
      <w:r w:rsidRPr="00D63B51">
        <w:t xml:space="preserve"> These releases were granted in favor of parties who made sizable contributions to the debtor’s </w:t>
      </w:r>
      <w:r w:rsidR="00165865" w:rsidRPr="00D63B51">
        <w:t>estate but</w:t>
      </w:r>
      <w:r w:rsidRPr="00D63B51">
        <w:t xml:space="preserve"> did not file their own bankruptcies. The release agreements absolved the nondebtor of all current and future claims related to the mass tort, which typically was the nondebtor’s </w:t>
      </w:r>
      <w:r w:rsidRPr="00D63B51">
        <w:rPr>
          <w:i/>
          <w:iCs/>
        </w:rPr>
        <w:t>sine qua non</w:t>
      </w:r>
      <w:r w:rsidRPr="00D63B51">
        <w:t xml:space="preserve"> to make sizable contributions to the debtor’s estate. </w:t>
      </w:r>
    </w:p>
    <w:p w14:paraId="40E986FD" w14:textId="77777777" w:rsidR="00CE2632" w:rsidRPr="00D63B51" w:rsidRDefault="00CE2632" w:rsidP="00CE2632">
      <w:pPr>
        <w:spacing w:line="360" w:lineRule="auto"/>
        <w:ind w:firstLine="720"/>
        <w:jc w:val="both"/>
      </w:pPr>
      <w:r w:rsidRPr="00D63B51">
        <w:t>The Supreme Court invalidated nonconsensual releases but expressly took no position on the validity of consensual releases, stating that “[n]othing in what we have said should be construed to call into question consensual third-party releases offered in connection with a bankruptcy reorganization plan.”</w:t>
      </w:r>
      <w:r w:rsidRPr="00D63B51">
        <w:rPr>
          <w:vertAlign w:val="superscript"/>
        </w:rPr>
        <w:footnoteReference w:id="359"/>
      </w:r>
      <w:r w:rsidRPr="00D63B51">
        <w:t xml:space="preserve">  In some mass-tort bankruptcies, funding of a Chapter 11 reorganization </w:t>
      </w:r>
      <w:r w:rsidRPr="00D63B51">
        <w:lastRenderedPageBreak/>
        <w:t xml:space="preserve">plan will depend on contributions to a trust established to compensate tort claimants from nondebtors. The likelihood that some creditors, </w:t>
      </w:r>
      <w:r w:rsidRPr="00D63B51">
        <w:rPr>
          <w:i/>
          <w:iCs/>
        </w:rPr>
        <w:t>e.g</w:t>
      </w:r>
      <w:r w:rsidRPr="00D63B51">
        <w:t>., tort claimants, will withhold their consent to releases and  the extent nondebtors are open to consensual partial-release agreements -- which do not absolve them of liability from all claimants -- will depend on the facts of the case.</w:t>
      </w:r>
      <w:r w:rsidRPr="00D63B51">
        <w:rPr>
          <w:vertAlign w:val="superscript"/>
        </w:rPr>
        <w:footnoteReference w:id="360"/>
      </w:r>
      <w:r w:rsidRPr="00D63B51">
        <w:t xml:space="preserve">  But the Court raised the possibility that the benefit of releases may induce nondebtors to negotiate consensual releases that are more favorable to tort claimants.</w:t>
      </w:r>
      <w:r w:rsidRPr="00D63B51">
        <w:rPr>
          <w:vertAlign w:val="superscript"/>
        </w:rPr>
        <w:footnoteReference w:id="361"/>
      </w:r>
      <w:r w:rsidRPr="00D63B51">
        <w:t xml:space="preserve"> </w:t>
      </w:r>
    </w:p>
    <w:p w14:paraId="59EC648F" w14:textId="77777777" w:rsidR="00CE2632" w:rsidRPr="00D63B51" w:rsidRDefault="00CE2632" w:rsidP="00CE2632">
      <w:pPr>
        <w:spacing w:line="360" w:lineRule="auto"/>
        <w:ind w:firstLine="720"/>
        <w:jc w:val="both"/>
      </w:pPr>
      <w:r w:rsidRPr="00D63B51">
        <w:rPr>
          <w:i/>
          <w:iCs/>
        </w:rPr>
        <w:t>Purdue Pharma</w:t>
      </w:r>
      <w:r w:rsidRPr="00D63B51">
        <w:t xml:space="preserve"> provided no guidance, other than citing </w:t>
      </w:r>
      <w:r w:rsidRPr="00D63B51">
        <w:rPr>
          <w:i/>
          <w:iCs/>
        </w:rPr>
        <w:t>In re Speciality Equipment</w:t>
      </w:r>
      <w:r w:rsidRPr="00D63B51">
        <w:t xml:space="preserve"> </w:t>
      </w:r>
      <w:r w:rsidRPr="00D63B51">
        <w:rPr>
          <w:i/>
          <w:iCs/>
        </w:rPr>
        <w:t>Cos</w:t>
      </w:r>
      <w:r w:rsidRPr="00D63B51">
        <w:t>.,</w:t>
      </w:r>
      <w:r w:rsidRPr="00D63B51">
        <w:rPr>
          <w:vertAlign w:val="superscript"/>
        </w:rPr>
        <w:footnoteReference w:id="362"/>
      </w:r>
      <w:r w:rsidRPr="00D63B51">
        <w:t xml:space="preserve"> for the proposition that consensual releases “pose different questions and may rest on different legal grounds than the nonconsensual release at issue here.”</w:t>
      </w:r>
      <w:r w:rsidRPr="00D63B51">
        <w:rPr>
          <w:vertAlign w:val="superscript"/>
        </w:rPr>
        <w:footnoteReference w:id="363"/>
      </w:r>
      <w:r w:rsidRPr="00D63B51">
        <w:t xml:space="preserve"> Under pre-</w:t>
      </w:r>
      <w:r w:rsidRPr="00D63B51">
        <w:rPr>
          <w:i/>
          <w:iCs/>
        </w:rPr>
        <w:t>Purdue</w:t>
      </w:r>
      <w:r w:rsidRPr="00D63B51">
        <w:t xml:space="preserve"> practice, while courts only approved nonconsensual agreements occasionally, they often approved consensual release agreements as part of a reorganization plan.  In mass-tort bankruptcies, plans often include a mechanism for claimants to “opt out” from a release agreement, which adds sizable contributions from nondebtors to a trust in return for a release from all liability.  The key issue in approving these consensual release agreements was whether the notice of the opt-out provision provided adequate information that was conspicuous, clearly stated, and understandable sufficient to make an informed judgment.</w:t>
      </w:r>
      <w:r w:rsidRPr="00D63B51">
        <w:rPr>
          <w:vertAlign w:val="superscript"/>
        </w:rPr>
        <w:footnoteReference w:id="364"/>
      </w:r>
    </w:p>
    <w:p w14:paraId="5CDABB2F" w14:textId="3A1176F6" w:rsidR="00CE2632" w:rsidRPr="00D63B51" w:rsidRDefault="00CE2632" w:rsidP="00CE2632">
      <w:pPr>
        <w:spacing w:line="360" w:lineRule="auto"/>
        <w:ind w:firstLine="720"/>
        <w:jc w:val="both"/>
      </w:pPr>
      <w:r w:rsidRPr="00D63B51">
        <w:t xml:space="preserve">Courts addressing the consensual-release issue left open in </w:t>
      </w:r>
      <w:r w:rsidRPr="00D63B51">
        <w:rPr>
          <w:i/>
          <w:iCs/>
        </w:rPr>
        <w:t>Purdue</w:t>
      </w:r>
      <w:r w:rsidRPr="00D63B51">
        <w:t xml:space="preserve">, have found such agreements valid largely on contractual grounds but have disagreed on how these releases are </w:t>
      </w:r>
      <w:r w:rsidR="00A24159" w:rsidRPr="00D63B51">
        <w:t>implemented</w:t>
      </w:r>
      <w:r w:rsidRPr="00D63B51">
        <w:t>. Some courts require affirmative opt-in provisions, while others permit opt-out provisions.</w:t>
      </w:r>
      <w:r w:rsidRPr="00D63B51">
        <w:rPr>
          <w:vertAlign w:val="superscript"/>
        </w:rPr>
        <w:footnoteReference w:id="365"/>
      </w:r>
      <w:r w:rsidRPr="00D63B51">
        <w:t xml:space="preserve"> Courts that require an opt-in provision conclude that an affirmative manifestation </w:t>
      </w:r>
      <w:r w:rsidRPr="00D63B51">
        <w:lastRenderedPageBreak/>
        <w:t>indicating consent is important because one’s rights to pursue separate lawsuits may otherwise be extinguished unintentionally.</w:t>
      </w:r>
      <w:r w:rsidRPr="00D63B51">
        <w:rPr>
          <w:vertAlign w:val="superscript"/>
        </w:rPr>
        <w:footnoteReference w:id="366"/>
      </w:r>
      <w:r w:rsidRPr="00D63B51">
        <w:t xml:space="preserve"> Conversely, other courts allow opt-out provisions to protect tort claimants from unintentionally forgoing  added contributions established for their benefit.</w:t>
      </w:r>
      <w:r w:rsidRPr="00D63B51">
        <w:rPr>
          <w:vertAlign w:val="superscript"/>
        </w:rPr>
        <w:footnoteReference w:id="367"/>
      </w:r>
      <w:r w:rsidRPr="00D63B51">
        <w:t xml:space="preserve"> These courts are also concerned that tort claimants underestimate the costs, burdens, and chance of success in pursuing separate litigation as well as difficulty in securing counsel willing to pursue such litigation. </w:t>
      </w:r>
    </w:p>
    <w:p w14:paraId="4E4BCFDE" w14:textId="78AD230C" w:rsidR="00CE2632" w:rsidRPr="00D63B51" w:rsidRDefault="00CE2632" w:rsidP="00CE2632">
      <w:pPr>
        <w:spacing w:line="360" w:lineRule="auto"/>
        <w:ind w:firstLine="720"/>
        <w:jc w:val="both"/>
      </w:pPr>
      <w:r w:rsidRPr="00D63B51">
        <w:t>The touchstone for assessing whether opt-in or opt-out provisions meet constitutional due-process considerations is whether the notice enables the tort creditors to make informed decision about whether to accept or decline a release agreement.</w:t>
      </w:r>
      <w:r w:rsidRPr="00D63B51">
        <w:rPr>
          <w:vertAlign w:val="superscript"/>
        </w:rPr>
        <w:footnoteReference w:id="368"/>
      </w:r>
      <w:r w:rsidRPr="00D63B51">
        <w:t xml:space="preserve"> Jurisprudence governing notices to opt out from proposed class-action settlements under </w:t>
      </w:r>
      <w:r w:rsidR="009C473E" w:rsidRPr="00D63B51">
        <w:t>FED. R. CIV. P.</w:t>
      </w:r>
      <w:r w:rsidRPr="00D63B51">
        <w:t xml:space="preserve"> 23(c), including the means, format, and content of notices that meet constitutional due-process requirements, provides guidance on effecting a valid consensual release in a mass-tort bankruptcy.</w:t>
      </w:r>
      <w:r w:rsidRPr="00D63B51">
        <w:rPr>
          <w:vertAlign w:val="superscript"/>
        </w:rPr>
        <w:footnoteReference w:id="369"/>
      </w:r>
      <w:r w:rsidRPr="00D63B51">
        <w:t xml:space="preserve">  </w:t>
      </w:r>
      <w:r w:rsidRPr="00D63B51">
        <w:rPr>
          <w:i/>
          <w:iCs/>
        </w:rPr>
        <w:t>See</w:t>
      </w:r>
      <w:r w:rsidRPr="00D63B51">
        <w:t xml:space="preserve"> </w:t>
      </w:r>
      <w:r w:rsidRPr="00D63B51">
        <w:rPr>
          <w:rFonts w:eastAsia="Times New Roman" w:cs="Times New Roman"/>
          <w:b/>
          <w:bCs/>
          <w:color w:val="000000"/>
        </w:rPr>
        <w:t xml:space="preserve">GUIDELINE </w:t>
      </w:r>
      <w:r w:rsidRPr="00D63B51">
        <w:rPr>
          <w:rFonts w:eastAsia="Times New Roman" w:cs="Times New Roman"/>
          <w:b/>
          <w:bCs/>
          <w:color w:val="000000"/>
        </w:rPr>
        <w:lastRenderedPageBreak/>
        <w:t>MDL-§ 17</w:t>
      </w:r>
      <w:r w:rsidRPr="00D63B51">
        <w:rPr>
          <w:rFonts w:eastAsia="Times New Roman" w:cs="Times New Roman"/>
          <w:color w:val="000000"/>
        </w:rPr>
        <w:t xml:space="preserve"> for a discussion of best practices promoting clarity in writing notices, including release provisions.</w:t>
      </w:r>
      <w:r w:rsidRPr="00D63B51">
        <w:rPr>
          <w:rFonts w:eastAsia="Times New Roman" w:cs="Times New Roman"/>
          <w:b/>
          <w:bCs/>
          <w:color w:val="000000"/>
        </w:rPr>
        <w:t xml:space="preserve"> </w:t>
      </w:r>
    </w:p>
    <w:p w14:paraId="62F3BD7F" w14:textId="298D30A9" w:rsidR="00B21B6D" w:rsidRPr="00D63B51" w:rsidRDefault="00B21B6D" w:rsidP="00B21B6D">
      <w:pPr>
        <w:ind w:left="720" w:right="720"/>
        <w:contextualSpacing/>
        <w:jc w:val="both"/>
        <w:rPr>
          <w:rFonts w:cs="Times New Roman"/>
          <w:color w:val="auto"/>
        </w:rPr>
      </w:pPr>
      <w:r w:rsidRPr="00D63B51">
        <w:rPr>
          <w:rFonts w:eastAsia="Times New Roman" w:cs="Times New Roman"/>
          <w:b/>
          <w:bCs/>
          <w:color w:val="000000"/>
        </w:rPr>
        <w:t>Best Practice MDL-§ 17(b): </w:t>
      </w:r>
      <w:r w:rsidRPr="00D63B51">
        <w:rPr>
          <w:rFonts w:eastAsia="Times New Roman" w:cs="Times New Roman"/>
          <w:color w:val="000000"/>
        </w:rPr>
        <w:t>A notice asking creditors to release claims against a nondebtor and waive their rights to sue the nondebtor must fully and clearly explain the request, instructions, and consequences.</w:t>
      </w:r>
      <w:r w:rsidR="00065C68" w:rsidRPr="00D63B51">
        <w:rPr>
          <w:rFonts w:eastAsia="Times New Roman" w:cs="Times New Roman"/>
          <w:color w:val="000000"/>
        </w:rPr>
        <w:t xml:space="preserve"> </w:t>
      </w:r>
      <w:r w:rsidR="00065C68" w:rsidRPr="00D63B51">
        <w:t xml:space="preserve">Permanent No. </w:t>
      </w:r>
      <w:r w:rsidR="00065C68" w:rsidRPr="00D63B51">
        <w:rPr>
          <w:rFonts w:cs="Times New Roman"/>
        </w:rPr>
        <w:t>MDL-§ 21(b).</w:t>
      </w:r>
    </w:p>
    <w:p w14:paraId="3BB98C7A" w14:textId="77777777" w:rsidR="00B21B6D" w:rsidRPr="00D63B51" w:rsidRDefault="00B21B6D" w:rsidP="00065C68">
      <w:pPr>
        <w:ind w:right="720"/>
        <w:contextualSpacing/>
        <w:jc w:val="both"/>
        <w:rPr>
          <w:rFonts w:cs="Times New Roman"/>
          <w:color w:val="auto"/>
        </w:rPr>
      </w:pPr>
    </w:p>
    <w:p w14:paraId="584EE7E8" w14:textId="77777777" w:rsidR="00B21B6D" w:rsidRPr="00D63B51" w:rsidRDefault="00B21B6D" w:rsidP="00B21B6D">
      <w:pPr>
        <w:spacing w:after="160" w:line="360" w:lineRule="auto"/>
        <w:ind w:firstLine="720"/>
        <w:jc w:val="both"/>
        <w:rPr>
          <w:rFonts w:cs="Times New Roman"/>
        </w:rPr>
      </w:pPr>
      <w:r w:rsidRPr="00D63B51">
        <w:rPr>
          <w:rFonts w:cs="Times New Roman"/>
        </w:rPr>
        <w:t xml:space="preserve">The principles described in Best Practice MDL-§ 17(a) above, with respect to notices to tort claimants generally, apply with at least equal force to releases of claims against nondebtors.  Contributions from nondebtors to the debtor’s estate (or, increasingly commonly, to a trust for the benefit of tort claimants) will often be a significant part of the funding for tort claimants’ recoveries.  And those contributions can be an important consideration for those eligible to vote to confirm a proposed reorganization plan.  </w:t>
      </w:r>
    </w:p>
    <w:p w14:paraId="662382F9" w14:textId="77777777" w:rsidR="00B21B6D" w:rsidRPr="00D63B51" w:rsidRDefault="00B21B6D" w:rsidP="00B21B6D">
      <w:pPr>
        <w:spacing w:after="160" w:line="360" w:lineRule="auto"/>
        <w:ind w:firstLine="720"/>
        <w:jc w:val="both"/>
        <w:rPr>
          <w:rFonts w:cs="Times New Roman"/>
        </w:rPr>
      </w:pPr>
      <w:r w:rsidRPr="00D63B51">
        <w:rPr>
          <w:rFonts w:cs="Times New Roman"/>
        </w:rPr>
        <w:t xml:space="preserve">But the nondebtor’s contributions are contingent on releases from claims—which must be described in a notice incident to confirmation of the plan.  Releases (and notices relating to them) must be written in plain, easily understood English.  </w:t>
      </w:r>
      <w:r w:rsidRPr="00D63B51">
        <w:rPr>
          <w:rFonts w:cs="Times New Roman"/>
          <w:i/>
          <w:iCs/>
        </w:rPr>
        <w:t>See</w:t>
      </w:r>
      <w:r w:rsidRPr="00D63B51">
        <w:rPr>
          <w:rFonts w:cs="Times New Roman"/>
        </w:rPr>
        <w:t xml:space="preserve"> GUIDELINE </w:t>
      </w:r>
      <w:r w:rsidRPr="00D63B51">
        <w:rPr>
          <w:rFonts w:eastAsia="Times New Roman" w:cs="Times New Roman"/>
          <w:color w:val="000000"/>
        </w:rPr>
        <w:t>MDL-§ 16 for a discussion</w:t>
      </w:r>
      <w:r w:rsidRPr="00D63B51">
        <w:rPr>
          <w:rFonts w:eastAsia="Times New Roman" w:cs="Times New Roman"/>
          <w:b/>
          <w:bCs/>
          <w:color w:val="000000"/>
        </w:rPr>
        <w:t xml:space="preserve"> </w:t>
      </w:r>
      <w:r w:rsidRPr="00D63B51">
        <w:rPr>
          <w:rFonts w:eastAsia="Times New Roman" w:cs="Times New Roman"/>
          <w:color w:val="000000"/>
        </w:rPr>
        <w:t>of release provisions</w:t>
      </w:r>
      <w:r w:rsidRPr="00D63B51">
        <w:rPr>
          <w:rFonts w:eastAsia="Times New Roman" w:cs="Times New Roman"/>
          <w:b/>
          <w:bCs/>
          <w:color w:val="000000"/>
        </w:rPr>
        <w:t xml:space="preserve"> </w:t>
      </w:r>
      <w:r w:rsidRPr="00D63B51">
        <w:rPr>
          <w:rFonts w:eastAsia="Times New Roman" w:cs="Times New Roman"/>
          <w:color w:val="000000"/>
        </w:rPr>
        <w:t xml:space="preserve">and the effect of the Supreme Court’s decision in </w:t>
      </w:r>
      <w:r w:rsidRPr="00D63B51">
        <w:rPr>
          <w:rFonts w:eastAsia="Times New Roman" w:cs="Times New Roman"/>
          <w:i/>
          <w:iCs/>
          <w:color w:val="000000"/>
        </w:rPr>
        <w:t>Purdue Pharma</w:t>
      </w:r>
      <w:r w:rsidRPr="00D63B51">
        <w:rPr>
          <w:rFonts w:eastAsia="Times New Roman" w:cs="Times New Roman"/>
          <w:b/>
          <w:bCs/>
          <w:color w:val="000000"/>
        </w:rPr>
        <w:t>.</w:t>
      </w:r>
    </w:p>
    <w:p w14:paraId="7B648689" w14:textId="77777777" w:rsidR="00B21B6D" w:rsidRPr="00D63B51" w:rsidRDefault="00B21B6D" w:rsidP="00B21B6D">
      <w:pPr>
        <w:spacing w:line="360" w:lineRule="auto"/>
        <w:ind w:firstLine="720"/>
        <w:jc w:val="both"/>
      </w:pPr>
      <w:r w:rsidRPr="00D63B51">
        <w:rPr>
          <w:i/>
          <w:iCs/>
        </w:rPr>
        <w:t>Purdue Pharma</w:t>
      </w:r>
      <w:r w:rsidRPr="00D63B51">
        <w:t xml:space="preserve"> prohibits nonconsensual release provisions but provides little guidance for the use of consensual releases. Post-</w:t>
      </w:r>
      <w:r w:rsidRPr="00D63B51">
        <w:rPr>
          <w:i/>
          <w:iCs/>
        </w:rPr>
        <w:t>Purdue</w:t>
      </w:r>
      <w:r w:rsidRPr="00D63B51">
        <w:t xml:space="preserve"> courts addressing the consensual-release issue left open in </w:t>
      </w:r>
      <w:r w:rsidRPr="00D63B51">
        <w:rPr>
          <w:i/>
          <w:iCs/>
        </w:rPr>
        <w:t>Purdue</w:t>
      </w:r>
      <w:r w:rsidRPr="00D63B51">
        <w:t>, have disagreed on how these releases are effected, with some courts requiring affirmative opt-in provisions and others permitting opt-out provisions.</w:t>
      </w:r>
      <w:r w:rsidRPr="00D63B51">
        <w:rPr>
          <w:vertAlign w:val="superscript"/>
        </w:rPr>
        <w:footnoteReference w:id="370"/>
      </w:r>
      <w:r w:rsidRPr="00D63B51">
        <w:t xml:space="preserve">  In either event, the notice of the opt-out or opt-in provision must provide adequate information that is conspicuous, clearly stated, and sufficiently understandable to make an informed judgment.</w:t>
      </w:r>
      <w:r w:rsidRPr="00D63B51">
        <w:rPr>
          <w:vertAlign w:val="superscript"/>
        </w:rPr>
        <w:footnoteReference w:id="371"/>
      </w:r>
      <w:r w:rsidRPr="00D63B51">
        <w:t xml:space="preserve">  Such information should explain the </w:t>
      </w:r>
      <w:r w:rsidRPr="00D63B51">
        <w:rPr>
          <w:i/>
          <w:iCs/>
        </w:rPr>
        <w:t>quid pro quo</w:t>
      </w:r>
      <w:r w:rsidRPr="00D63B51">
        <w:t xml:space="preserve"> in exchange for the release, </w:t>
      </w:r>
      <w:r w:rsidRPr="00D63B51">
        <w:rPr>
          <w:i/>
          <w:iCs/>
        </w:rPr>
        <w:t>e.g</w:t>
      </w:r>
      <w:r w:rsidRPr="00D63B51">
        <w:t>., the amount of contributions from the nondebtor to the trust fund, the anticipated recovery per type of injury, and the initial payment percentage.</w:t>
      </w:r>
      <w:r w:rsidRPr="00D63B51">
        <w:rPr>
          <w:vertAlign w:val="superscript"/>
        </w:rPr>
        <w:footnoteReference w:id="372"/>
      </w:r>
      <w:r w:rsidRPr="00D63B51">
        <w:t xml:space="preserve">  </w:t>
      </w:r>
    </w:p>
    <w:p w14:paraId="5A8A2E2E" w14:textId="77777777" w:rsidR="00B21B6D" w:rsidRPr="00D63B51" w:rsidRDefault="00B21B6D" w:rsidP="00B21B6D">
      <w:pPr>
        <w:spacing w:after="160" w:line="360" w:lineRule="auto"/>
        <w:ind w:firstLine="720"/>
        <w:jc w:val="both"/>
        <w:rPr>
          <w:rFonts w:cs="Times New Roman"/>
        </w:rPr>
      </w:pPr>
      <w:r w:rsidRPr="00D63B51">
        <w:rPr>
          <w:rFonts w:cs="Times New Roman"/>
        </w:rPr>
        <w:t xml:space="preserve">In many cases, the master ballot for a plan’s confirmation contains space for a release provision, which provides an efficient means to secure tort claimants’ consents.  The release provisions in the ballot typically notify tort-claimant creditors of their rights to: </w:t>
      </w:r>
    </w:p>
    <w:p w14:paraId="021A70A8" w14:textId="77777777" w:rsidR="00B21B6D" w:rsidRPr="00D63B51" w:rsidRDefault="00B21B6D" w:rsidP="00B21B6D">
      <w:pPr>
        <w:numPr>
          <w:ilvl w:val="0"/>
          <w:numId w:val="29"/>
        </w:numPr>
        <w:tabs>
          <w:tab w:val="left" w:pos="432"/>
        </w:tabs>
        <w:spacing w:after="240"/>
        <w:ind w:left="1080" w:right="720"/>
        <w:jc w:val="both"/>
        <w:rPr>
          <w:color w:val="auto"/>
          <w:kern w:val="2"/>
          <w:szCs w:val="22"/>
          <w14:ligatures w14:val="standardContextual"/>
        </w:rPr>
      </w:pPr>
      <w:r w:rsidRPr="00D63B51">
        <w:rPr>
          <w:color w:val="auto"/>
          <w:kern w:val="2"/>
          <w:szCs w:val="22"/>
          <w14:ligatures w14:val="standardContextual"/>
        </w:rPr>
        <w:lastRenderedPageBreak/>
        <w:t>consent to release claims against nondebtors and share in the nondebtors’ contributions to a trust established for their benefit; or</w:t>
      </w:r>
    </w:p>
    <w:p w14:paraId="4B609D9E" w14:textId="77777777" w:rsidR="00B21B6D" w:rsidRPr="00D63B51" w:rsidRDefault="00B21B6D" w:rsidP="00B21B6D">
      <w:pPr>
        <w:numPr>
          <w:ilvl w:val="0"/>
          <w:numId w:val="29"/>
        </w:numPr>
        <w:tabs>
          <w:tab w:val="left" w:pos="432"/>
        </w:tabs>
        <w:spacing w:after="240"/>
        <w:ind w:left="1080" w:right="720"/>
        <w:jc w:val="both"/>
        <w:rPr>
          <w:color w:val="auto"/>
          <w:kern w:val="2"/>
          <w:szCs w:val="22"/>
          <w14:ligatures w14:val="standardContextual"/>
        </w:rPr>
      </w:pPr>
      <w:r w:rsidRPr="00D63B51">
        <w:rPr>
          <w:color w:val="auto"/>
          <w:kern w:val="2"/>
          <w:szCs w:val="22"/>
          <w14:ligatures w14:val="standardContextual"/>
        </w:rPr>
        <w:t>reject releasing claims against nondebtors, leaving open the opportunity to sue, continue to sue, or be part of any other lawsuit against the nondebtors about the legal issues in this case.</w:t>
      </w:r>
    </w:p>
    <w:p w14:paraId="548BA645" w14:textId="77777777" w:rsidR="00B21B6D" w:rsidRPr="00D63B51" w:rsidRDefault="00B21B6D" w:rsidP="00B21B6D">
      <w:pPr>
        <w:spacing w:after="160" w:line="360" w:lineRule="auto"/>
        <w:ind w:firstLine="720"/>
        <w:jc w:val="both"/>
        <w:rPr>
          <w:rFonts w:cs="Times New Roman"/>
        </w:rPr>
      </w:pPr>
      <w:r w:rsidRPr="00D63B51">
        <w:rPr>
          <w:rFonts w:cs="Times New Roman"/>
        </w:rPr>
        <w:t xml:space="preserve">To achieve that end, master ballots often contain an opt-out checkbox, which must be checked by anyone who wants to be excluded from an agreement releasing claims against nondebtors.  A note accompanies the checkbox, which explains the consequences of checking or failing to check the opt-out box when the creditor votes to accept or reject the plan.  A full explanation of the consequences of the possible voting scenarios is required, addressing consequences when a tort-claimant creditor, for example: </w:t>
      </w:r>
    </w:p>
    <w:p w14:paraId="0C7676D1" w14:textId="77777777" w:rsidR="00B21B6D" w:rsidRPr="00D63B51" w:rsidRDefault="00B21B6D" w:rsidP="00B21B6D">
      <w:pPr>
        <w:numPr>
          <w:ilvl w:val="0"/>
          <w:numId w:val="28"/>
        </w:numPr>
        <w:tabs>
          <w:tab w:val="left" w:pos="432"/>
        </w:tabs>
        <w:spacing w:after="240"/>
        <w:ind w:left="1080" w:right="720"/>
        <w:jc w:val="both"/>
        <w:rPr>
          <w:color w:val="auto"/>
          <w:kern w:val="2"/>
          <w:szCs w:val="22"/>
          <w14:ligatures w14:val="standardContextual"/>
        </w:rPr>
      </w:pPr>
      <w:r w:rsidRPr="00D63B51">
        <w:rPr>
          <w:color w:val="auto"/>
          <w:kern w:val="2"/>
          <w:szCs w:val="22"/>
          <w14:ligatures w14:val="standardContextual"/>
        </w:rPr>
        <w:t>approves</w:t>
      </w:r>
      <w:r w:rsidRPr="00D63B51">
        <w:rPr>
          <w:b/>
          <w:bCs/>
          <w:color w:val="auto"/>
          <w:kern w:val="2"/>
          <w:szCs w:val="22"/>
          <w14:ligatures w14:val="standardContextual"/>
        </w:rPr>
        <w:t xml:space="preserve"> </w:t>
      </w:r>
      <w:r w:rsidRPr="00D63B51">
        <w:rPr>
          <w:color w:val="auto"/>
          <w:kern w:val="2"/>
          <w:szCs w:val="22"/>
          <w14:ligatures w14:val="standardContextual"/>
        </w:rPr>
        <w:t>plan confirmation, and fails to check the opt-out box;</w:t>
      </w:r>
    </w:p>
    <w:p w14:paraId="37B8E9EC" w14:textId="77777777" w:rsidR="00B21B6D" w:rsidRPr="00D63B51" w:rsidRDefault="00B21B6D" w:rsidP="00B21B6D">
      <w:pPr>
        <w:numPr>
          <w:ilvl w:val="0"/>
          <w:numId w:val="28"/>
        </w:numPr>
        <w:tabs>
          <w:tab w:val="left" w:pos="432"/>
        </w:tabs>
        <w:spacing w:after="240"/>
        <w:ind w:left="1080" w:right="720"/>
        <w:jc w:val="both"/>
        <w:rPr>
          <w:color w:val="auto"/>
          <w:kern w:val="2"/>
          <w:szCs w:val="22"/>
          <w14:ligatures w14:val="standardContextual"/>
        </w:rPr>
      </w:pPr>
      <w:r w:rsidRPr="00D63B51">
        <w:rPr>
          <w:color w:val="auto"/>
          <w:kern w:val="2"/>
          <w:szCs w:val="22"/>
          <w14:ligatures w14:val="standardContextual"/>
        </w:rPr>
        <w:t>approves plan confirmation, and checks the opt-out box;</w:t>
      </w:r>
    </w:p>
    <w:p w14:paraId="4BF2CCD7" w14:textId="77777777" w:rsidR="00B21B6D" w:rsidRPr="00D63B51" w:rsidRDefault="00B21B6D" w:rsidP="00B21B6D">
      <w:pPr>
        <w:numPr>
          <w:ilvl w:val="0"/>
          <w:numId w:val="28"/>
        </w:numPr>
        <w:tabs>
          <w:tab w:val="left" w:pos="432"/>
        </w:tabs>
        <w:spacing w:after="240"/>
        <w:ind w:left="1080" w:right="720"/>
        <w:jc w:val="both"/>
        <w:rPr>
          <w:color w:val="auto"/>
          <w:kern w:val="2"/>
          <w:szCs w:val="22"/>
          <w14:ligatures w14:val="standardContextual"/>
        </w:rPr>
      </w:pPr>
      <w:r w:rsidRPr="00D63B51">
        <w:rPr>
          <w:color w:val="auto"/>
          <w:kern w:val="2"/>
          <w:szCs w:val="22"/>
          <w14:ligatures w14:val="standardContextual"/>
        </w:rPr>
        <w:t>fails to approve plan confirmation (by abstaining, or failing to vote, on the confirmation vote) and fails to</w:t>
      </w:r>
      <w:r w:rsidRPr="00D63B51">
        <w:rPr>
          <w:b/>
          <w:bCs/>
          <w:color w:val="auto"/>
          <w:kern w:val="2"/>
          <w:szCs w:val="22"/>
          <w14:ligatures w14:val="standardContextual"/>
        </w:rPr>
        <w:t xml:space="preserve"> </w:t>
      </w:r>
      <w:r w:rsidRPr="00D63B51">
        <w:rPr>
          <w:color w:val="auto"/>
          <w:kern w:val="2"/>
          <w:szCs w:val="22"/>
          <w14:ligatures w14:val="standardContextual"/>
        </w:rPr>
        <w:t>check the op-out box; or</w:t>
      </w:r>
    </w:p>
    <w:p w14:paraId="3CA9203C" w14:textId="77777777" w:rsidR="00B21B6D" w:rsidRPr="00D63B51" w:rsidRDefault="00B21B6D" w:rsidP="00B21B6D">
      <w:pPr>
        <w:numPr>
          <w:ilvl w:val="0"/>
          <w:numId w:val="28"/>
        </w:numPr>
        <w:tabs>
          <w:tab w:val="left" w:pos="432"/>
        </w:tabs>
        <w:spacing w:after="240"/>
        <w:ind w:left="1080" w:right="720"/>
        <w:jc w:val="both"/>
        <w:rPr>
          <w:color w:val="auto"/>
          <w:kern w:val="2"/>
          <w:szCs w:val="22"/>
          <w14:ligatures w14:val="standardContextual"/>
        </w:rPr>
      </w:pPr>
      <w:r w:rsidRPr="00D63B51">
        <w:rPr>
          <w:color w:val="auto"/>
          <w:kern w:val="2"/>
          <w:szCs w:val="22"/>
          <w14:ligatures w14:val="standardContextual"/>
        </w:rPr>
        <w:t>fails to approve the plan confirmation (by a vote against it) and checks the opt-out box.</w:t>
      </w:r>
      <w:r w:rsidRPr="00D63B51">
        <w:rPr>
          <w:rFonts w:cs="Times New Roman"/>
          <w:color w:val="auto"/>
          <w:kern w:val="2"/>
          <w:szCs w:val="22"/>
          <w:vertAlign w:val="superscript"/>
          <w14:ligatures w14:val="standardContextual"/>
        </w:rPr>
        <w:footnoteReference w:id="373"/>
      </w:r>
    </w:p>
    <w:p w14:paraId="3F466641" w14:textId="77777777" w:rsidR="00B21B6D" w:rsidRPr="00D63B51" w:rsidRDefault="00B21B6D" w:rsidP="00B21B6D">
      <w:pPr>
        <w:spacing w:line="360" w:lineRule="auto"/>
        <w:ind w:firstLine="720"/>
        <w:jc w:val="both"/>
      </w:pPr>
      <w:r w:rsidRPr="00D63B51">
        <w:rPr>
          <w:rFonts w:cs="Times New Roman"/>
        </w:rPr>
        <w:t xml:space="preserve">These opt-out release mechanisms will be particularly scrutinized after </w:t>
      </w:r>
      <w:r w:rsidRPr="00D63B51">
        <w:rPr>
          <w:rFonts w:cs="Times New Roman"/>
          <w:i/>
          <w:iCs/>
        </w:rPr>
        <w:t>Purdue Pharma</w:t>
      </w:r>
      <w:r w:rsidRPr="00D63B51">
        <w:rPr>
          <w:rFonts w:cs="Times New Roman"/>
        </w:rPr>
        <w:t xml:space="preserve"> to assess whether the action or inaction of the claimant qualifies as a knowing and consensual release.  </w:t>
      </w:r>
      <w:r w:rsidRPr="00D63B51">
        <w:t>The touchstone for assessing whether opt-in or opt-out provisions meet constitutional due-process considerations is whether the notice to tort creditors enables them to make informed decisions about whether to accept or decline a release agreement and understand the consequences of their action or inaction.</w:t>
      </w:r>
      <w:r w:rsidRPr="00D63B51">
        <w:rPr>
          <w:vertAlign w:val="superscript"/>
        </w:rPr>
        <w:footnoteReference w:id="374"/>
      </w:r>
      <w:r w:rsidRPr="00D63B51">
        <w:t xml:space="preserve">  </w:t>
      </w:r>
    </w:p>
    <w:p w14:paraId="0ACD97E5" w14:textId="77777777" w:rsidR="00B21B6D" w:rsidRPr="00D63B51" w:rsidRDefault="00B21B6D" w:rsidP="00B21B6D">
      <w:pPr>
        <w:spacing w:after="160" w:line="360" w:lineRule="auto"/>
        <w:ind w:firstLine="720"/>
        <w:jc w:val="both"/>
        <w:rPr>
          <w:rFonts w:cs="Times New Roman"/>
        </w:rPr>
      </w:pPr>
      <w:r w:rsidRPr="00D63B51">
        <w:rPr>
          <w:rFonts w:cs="Times New Roman"/>
        </w:rPr>
        <w:lastRenderedPageBreak/>
        <w:t>Courts have held “opt-out” release boxes contained in the middle of a master ballot located next to the box for accepting or rejecting a proposed plan adequate—if the language explaining the consequences of checking the box is conspicuously and clearly stated.</w:t>
      </w:r>
      <w:r w:rsidRPr="00D63B51">
        <w:rPr>
          <w:rFonts w:cs="Times New Roman"/>
          <w:vertAlign w:val="superscript"/>
        </w:rPr>
        <w:footnoteReference w:id="375"/>
      </w:r>
      <w:r w:rsidRPr="00D63B51">
        <w:rPr>
          <w:rFonts w:cs="Times New Roman"/>
        </w:rPr>
        <w:t xml:space="preserve">  But too often the text explaining these release provisions is full of legalese, overlong, in all caps, and contained in long block paragraphs, which obfuscate—instead of clarifying—the issue for the tort-claimant creditor.</w:t>
      </w:r>
      <w:r w:rsidRPr="00D63B51">
        <w:rPr>
          <w:rFonts w:cs="Times New Roman"/>
          <w:vertAlign w:val="superscript"/>
        </w:rPr>
        <w:footnoteReference w:id="376"/>
      </w:r>
      <w:r w:rsidRPr="00D63B51">
        <w:rPr>
          <w:rFonts w:cs="Times New Roman"/>
        </w:rPr>
        <w:t xml:space="preserve">  In addition, they often fail to explain the </w:t>
      </w:r>
      <w:r w:rsidRPr="00D63B51">
        <w:rPr>
          <w:rFonts w:cs="Times New Roman"/>
          <w:i/>
          <w:iCs/>
        </w:rPr>
        <w:t>quid pro quo</w:t>
      </w:r>
      <w:r w:rsidRPr="00D63B51">
        <w:rPr>
          <w:rFonts w:cs="Times New Roman"/>
        </w:rPr>
        <w:t xml:space="preserve"> in exchange for the release.</w:t>
      </w:r>
    </w:p>
    <w:p w14:paraId="0C48DC39" w14:textId="77777777" w:rsidR="00B21B6D" w:rsidRPr="00D63B51" w:rsidRDefault="00B21B6D" w:rsidP="00B21B6D">
      <w:pPr>
        <w:spacing w:after="160" w:line="360" w:lineRule="auto"/>
        <w:ind w:firstLine="720"/>
        <w:jc w:val="both"/>
        <w:rPr>
          <w:rFonts w:cs="Times New Roman"/>
        </w:rPr>
      </w:pPr>
      <w:r w:rsidRPr="00D63B51">
        <w:rPr>
          <w:rFonts w:cs="Times New Roman"/>
        </w:rPr>
        <w:t xml:space="preserve">Highlighting unclear release text in bold print, upper-case letters, and repeating the text in multiple places does not cure bad content; it makes it worse.  And it calls into question whether the claimants’ releases can be fairly said to be knowing and consensual. </w:t>
      </w:r>
    </w:p>
    <w:p w14:paraId="62353ABD" w14:textId="1E678A99" w:rsidR="00B21B6D" w:rsidRPr="00D63B51" w:rsidRDefault="00B21B6D" w:rsidP="00B21B6D">
      <w:pPr>
        <w:spacing w:after="160" w:line="360" w:lineRule="auto"/>
        <w:ind w:firstLine="720"/>
        <w:jc w:val="both"/>
        <w:rPr>
          <w:rFonts w:cs="Times New Roman"/>
          <w:b/>
          <w:bCs/>
        </w:rPr>
      </w:pPr>
      <w:r w:rsidRPr="00D63B51">
        <w:rPr>
          <w:rFonts w:cs="Times New Roman"/>
        </w:rPr>
        <w:t>Appendix B contains a side-by-side comparison with a standard-release provision and a restyled version, which is substantially shorter and clearer</w:t>
      </w:r>
      <w:r w:rsidR="00ED7A25" w:rsidRPr="00D63B51">
        <w:rPr>
          <w:rFonts w:cs="Times New Roman"/>
        </w:rPr>
        <w:t xml:space="preserve"> </w:t>
      </w:r>
      <w:r w:rsidR="00ED7A25" w:rsidRPr="00D63B51">
        <w:rPr>
          <w:rFonts w:eastAsia="Times New Roman" w:cs="Times New Roman"/>
          <w:color w:val="000000"/>
        </w:rPr>
        <w:t xml:space="preserve">(posted on Center website at </w:t>
      </w:r>
      <w:hyperlink r:id="rId10" w:history="1">
        <w:r w:rsidR="00983120" w:rsidRPr="00D63B51">
          <w:rPr>
            <w:rStyle w:val="Hyperlink"/>
            <w:rFonts w:eastAsia="Times New Roman" w:cs="Times New Roman"/>
          </w:rPr>
          <w:t>https://rabiejcenter.org/</w:t>
        </w:r>
      </w:hyperlink>
      <w:r w:rsidR="00983120" w:rsidRPr="00D63B51">
        <w:rPr>
          <w:rFonts w:eastAsia="Times New Roman" w:cs="Times New Roman"/>
          <w:color w:val="000000"/>
        </w:rPr>
        <w:t xml:space="preserve"> .</w:t>
      </w:r>
    </w:p>
    <w:p w14:paraId="4D7250AA" w14:textId="78109631" w:rsidR="00CE2632" w:rsidRPr="00D63B51" w:rsidRDefault="00CE2632" w:rsidP="00CE2632">
      <w:pPr>
        <w:ind w:left="720" w:right="720"/>
        <w:jc w:val="both"/>
      </w:pPr>
      <w:r w:rsidRPr="00D63B51">
        <w:rPr>
          <w:rFonts w:cs="Times New Roman"/>
          <w:b/>
          <w:bCs/>
        </w:rPr>
        <w:t>Best Practice MDL-§ 1</w:t>
      </w:r>
      <w:r w:rsidR="003622C3" w:rsidRPr="00D63B51">
        <w:rPr>
          <w:rFonts w:cs="Times New Roman"/>
          <w:b/>
          <w:bCs/>
        </w:rPr>
        <w:t>7</w:t>
      </w:r>
      <w:r w:rsidRPr="00D63B51">
        <w:rPr>
          <w:rFonts w:cs="Times New Roman"/>
          <w:b/>
          <w:bCs/>
        </w:rPr>
        <w:t>(</w:t>
      </w:r>
      <w:r w:rsidR="003622C3" w:rsidRPr="00D63B51">
        <w:rPr>
          <w:rFonts w:cs="Times New Roman"/>
          <w:b/>
          <w:bCs/>
        </w:rPr>
        <w:t>c</w:t>
      </w:r>
      <w:r w:rsidRPr="00D63B51">
        <w:rPr>
          <w:rFonts w:cs="Times New Roman"/>
          <w:b/>
          <w:bCs/>
        </w:rPr>
        <w:t>):</w:t>
      </w:r>
      <w:r w:rsidRPr="00D63B51">
        <w:rPr>
          <w:b/>
          <w:bCs/>
        </w:rPr>
        <w:t xml:space="preserve"> </w:t>
      </w:r>
      <w:r w:rsidRPr="00D63B51">
        <w:t>If releases are important to the success of a proposed plan of reorganization,</w:t>
      </w:r>
      <w:r w:rsidRPr="00D63B51">
        <w:rPr>
          <w:b/>
          <w:bCs/>
        </w:rPr>
        <w:t xml:space="preserve"> </w:t>
      </w:r>
      <w:r w:rsidRPr="00D63B51">
        <w:t xml:space="preserve">the debtor should consider the feasibility of </w:t>
      </w:r>
      <w:r w:rsidR="006614D4" w:rsidRPr="00D63B51">
        <w:t>buying back</w:t>
      </w:r>
      <w:r w:rsidRPr="00D63B51">
        <w:t xml:space="preserve"> insurance policies </w:t>
      </w:r>
      <w:r w:rsidR="006614D4" w:rsidRPr="00D63B51">
        <w:t>from</w:t>
      </w:r>
      <w:r w:rsidRPr="00D63B51">
        <w:t xml:space="preserve"> insurance companies, which cover tort claimants, in return for sizable contributions to a litigation trust as part of a Chapter 11 reorganization plan in a mass-tort bankruptcy. </w:t>
      </w:r>
      <w:r w:rsidR="00065C68" w:rsidRPr="00D63B51">
        <w:t xml:space="preserve">Permanent No. </w:t>
      </w:r>
      <w:r w:rsidR="00065C68" w:rsidRPr="00D63B51">
        <w:rPr>
          <w:rFonts w:cs="Times New Roman"/>
        </w:rPr>
        <w:t>MDL-§ 21(c).</w:t>
      </w:r>
    </w:p>
    <w:p w14:paraId="358D5B81" w14:textId="77777777" w:rsidR="00CE2632" w:rsidRPr="00D63B51" w:rsidRDefault="00CE2632" w:rsidP="00CE2632">
      <w:pPr>
        <w:ind w:left="720" w:right="720"/>
        <w:jc w:val="both"/>
      </w:pPr>
    </w:p>
    <w:p w14:paraId="0AFC443A" w14:textId="49C4C84E" w:rsidR="00CE2632" w:rsidRPr="00D63B51" w:rsidRDefault="00CE2632" w:rsidP="00CE2632">
      <w:pPr>
        <w:spacing w:line="360" w:lineRule="auto"/>
        <w:ind w:firstLine="720"/>
        <w:jc w:val="both"/>
      </w:pPr>
      <w:r w:rsidRPr="00D63B51">
        <w:t>In pre-</w:t>
      </w:r>
      <w:r w:rsidRPr="00D63B51">
        <w:rPr>
          <w:i/>
          <w:iCs/>
        </w:rPr>
        <w:t>Purdue</w:t>
      </w:r>
      <w:r w:rsidRPr="00D63B51">
        <w:t xml:space="preserve"> practice, debtor companies </w:t>
      </w:r>
      <w:r w:rsidR="006614D4" w:rsidRPr="00D63B51">
        <w:t>bought back their</w:t>
      </w:r>
      <w:r w:rsidRPr="00D63B51">
        <w:t xml:space="preserve"> insurance policies back </w:t>
      </w:r>
      <w:r w:rsidR="006614D4" w:rsidRPr="00D63B51">
        <w:t>from</w:t>
      </w:r>
      <w:r w:rsidRPr="00D63B51">
        <w:t xml:space="preserve"> insurance companies and channeled the proceeds to a litigation trust for payment of tort claims as part of the Chapter 11 plan in return for tort claimants releasing claims against the insurance companies.</w:t>
      </w:r>
      <w:r w:rsidRPr="00D63B51">
        <w:rPr>
          <w:vertAlign w:val="superscript"/>
        </w:rPr>
        <w:footnoteReference w:id="377"/>
      </w:r>
      <w:r w:rsidRPr="00D63B51">
        <w:t xml:space="preserve">  The </w:t>
      </w:r>
      <w:r w:rsidR="002631A1" w:rsidRPr="00D63B51">
        <w:t>buyback</w:t>
      </w:r>
      <w:r w:rsidRPr="00D63B51">
        <w:t xml:space="preserve"> of insurance policies was authorized either under 11 U.S.C. </w:t>
      </w:r>
      <w:r w:rsidRPr="00D63B51">
        <w:rPr>
          <w:rFonts w:cs="Times New Roman"/>
        </w:rPr>
        <w:t xml:space="preserve">§ </w:t>
      </w:r>
      <w:r w:rsidRPr="00D63B51">
        <w:t xml:space="preserve">363 or </w:t>
      </w:r>
      <w:r w:rsidRPr="00D63B51">
        <w:lastRenderedPageBreak/>
        <w:t xml:space="preserve">assigned to the plan’s trust as part of the plan’s implementation under  11 U.S.C. </w:t>
      </w:r>
      <w:r w:rsidRPr="00D63B51">
        <w:rPr>
          <w:rFonts w:cs="Times New Roman"/>
        </w:rPr>
        <w:t xml:space="preserve">§ </w:t>
      </w:r>
      <w:r w:rsidRPr="00D63B51">
        <w:t xml:space="preserve">1123(a)(5)(B) and (D) as contemplated under 11 U.S.C. </w:t>
      </w:r>
      <w:r w:rsidRPr="00D63B51">
        <w:rPr>
          <w:rFonts w:cs="Times New Roman"/>
        </w:rPr>
        <w:t xml:space="preserve">§ </w:t>
      </w:r>
      <w:r w:rsidRPr="00D63B51">
        <w:t>1123(b)(4).</w:t>
      </w:r>
      <w:r w:rsidRPr="00D63B51">
        <w:rPr>
          <w:vertAlign w:val="superscript"/>
        </w:rPr>
        <w:footnoteReference w:id="378"/>
      </w:r>
    </w:p>
    <w:p w14:paraId="0AD208D1" w14:textId="749F4D4B" w:rsidR="00CE2632" w:rsidRPr="00D63B51" w:rsidRDefault="00CE2632" w:rsidP="00CE2632">
      <w:pPr>
        <w:spacing w:line="360" w:lineRule="auto"/>
        <w:ind w:firstLine="720"/>
        <w:jc w:val="both"/>
      </w:pPr>
      <w:r w:rsidRPr="00D63B51">
        <w:t xml:space="preserve">The Court’s decision in </w:t>
      </w:r>
      <w:r w:rsidRPr="00D63B51">
        <w:rPr>
          <w:i/>
          <w:iCs/>
        </w:rPr>
        <w:t>Purdue Pharma</w:t>
      </w:r>
      <w:r w:rsidRPr="00D63B51">
        <w:t xml:space="preserve"> construing </w:t>
      </w:r>
      <w:r w:rsidRPr="00D63B51">
        <w:rPr>
          <w:rFonts w:cs="Times New Roman"/>
        </w:rPr>
        <w:t xml:space="preserve">§ </w:t>
      </w:r>
      <w:r w:rsidRPr="00D63B51">
        <w:t xml:space="preserve">1123(b)(6) is a narrow one and does not address the </w:t>
      </w:r>
      <w:r w:rsidR="002631A1" w:rsidRPr="00D63B51">
        <w:t>buyback</w:t>
      </w:r>
      <w:r w:rsidRPr="00D63B51">
        <w:t xml:space="preserve"> of insurance policies.  As the Court noted, </w:t>
      </w:r>
      <w:r w:rsidRPr="00D63B51">
        <w:rPr>
          <w:rFonts w:cs="Times New Roman"/>
        </w:rPr>
        <w:t xml:space="preserve">§ </w:t>
      </w:r>
      <w:r w:rsidRPr="00D63B51">
        <w:t xml:space="preserve">1123(b)(1)-(6) addresses the types of provisions that may be included in a Chapter 11 plan.  The section contains five specific paragraphs and one catchall provision. The Court’s holding limits the catchall provision but is not intended to affect the specific provisions describing permissible contents of a Chapter 11 plan under (b)(1) -- (b)(5), which all concern the debtor’s rights and responsibilities.  </w:t>
      </w:r>
    </w:p>
    <w:p w14:paraId="36A8DFB1" w14:textId="77777777" w:rsidR="00CE2632" w:rsidRPr="00D63B51" w:rsidRDefault="00CE2632" w:rsidP="00CE2632">
      <w:pPr>
        <w:spacing w:line="360" w:lineRule="auto"/>
        <w:ind w:firstLine="720"/>
        <w:jc w:val="both"/>
      </w:pPr>
      <w:r w:rsidRPr="00D63B51">
        <w:t xml:space="preserve">The Court confined itself to the questions presented and did not consider whether the bankruptcy code authorized a buyback of insurance policies under one of the specific paragraphs of </w:t>
      </w:r>
      <w:r w:rsidRPr="00D63B51">
        <w:rPr>
          <w:rFonts w:cs="Times New Roman"/>
        </w:rPr>
        <w:t xml:space="preserve">§ </w:t>
      </w:r>
      <w:r w:rsidRPr="00D63B51">
        <w:t xml:space="preserve">1123(b), which it did not address.  Consistent with </w:t>
      </w:r>
      <w:r w:rsidRPr="00D63B51">
        <w:rPr>
          <w:i/>
          <w:iCs/>
        </w:rPr>
        <w:t>Purdue</w:t>
      </w:r>
      <w:r w:rsidRPr="00D63B51">
        <w:t>, a debtor may still buy back its insurance policies from its insurers, under one or more of §§ 363(b), 1123(b)(3), and 1123(b)(6).</w:t>
      </w:r>
      <w:r w:rsidRPr="00D63B51">
        <w:rPr>
          <w:vertAlign w:val="superscript"/>
        </w:rPr>
        <w:footnoteReference w:id="379"/>
      </w:r>
      <w:r w:rsidRPr="00D63B51">
        <w:t xml:space="preserve">   The buyback effectively extinguishes the insurance companies’ liability, and gives insurers comfort that once they have paid the sale consideration to the debtor’s estate, they will not be subjected to further liability on those policies.  The proceeds help fund the trust available to the tort claimants.   The bankruptcy discharge would still apply to the debtor, consistent with </w:t>
      </w:r>
      <w:r w:rsidRPr="00D63B51">
        <w:rPr>
          <w:i/>
          <w:iCs/>
        </w:rPr>
        <w:t>Purdue Pharma</w:t>
      </w:r>
      <w:r w:rsidRPr="00D63B51">
        <w:t xml:space="preserve">.  </w:t>
      </w:r>
    </w:p>
    <w:p w14:paraId="079A51C3" w14:textId="6441F940" w:rsidR="00CE2632" w:rsidRPr="00D63B51" w:rsidRDefault="00CE2632" w:rsidP="00CE2632">
      <w:pPr>
        <w:ind w:left="720" w:right="720"/>
        <w:jc w:val="both"/>
      </w:pPr>
      <w:r w:rsidRPr="00D63B51">
        <w:rPr>
          <w:rFonts w:cs="Times New Roman"/>
          <w:b/>
          <w:bCs/>
        </w:rPr>
        <w:t>Best Practice MDL-§ 1</w:t>
      </w:r>
      <w:r w:rsidR="00530B1F" w:rsidRPr="00D63B51">
        <w:rPr>
          <w:rFonts w:cs="Times New Roman"/>
          <w:b/>
          <w:bCs/>
        </w:rPr>
        <w:t>7</w:t>
      </w:r>
      <w:r w:rsidRPr="00D63B51">
        <w:rPr>
          <w:rFonts w:cs="Times New Roman"/>
          <w:b/>
          <w:bCs/>
        </w:rPr>
        <w:t>(</w:t>
      </w:r>
      <w:r w:rsidR="00530B1F" w:rsidRPr="00D63B51">
        <w:rPr>
          <w:rFonts w:cs="Times New Roman"/>
          <w:b/>
          <w:bCs/>
        </w:rPr>
        <w:t>d</w:t>
      </w:r>
      <w:r w:rsidRPr="00D63B51">
        <w:rPr>
          <w:rFonts w:cs="Times New Roman"/>
          <w:b/>
          <w:bCs/>
        </w:rPr>
        <w:t>):</w:t>
      </w:r>
      <w:r w:rsidRPr="00D63B51">
        <w:rPr>
          <w:b/>
          <w:bCs/>
        </w:rPr>
        <w:t xml:space="preserve"> </w:t>
      </w:r>
      <w:r w:rsidRPr="00D63B51">
        <w:t>The parties</w:t>
      </w:r>
      <w:r w:rsidRPr="00D63B51">
        <w:rPr>
          <w:b/>
          <w:bCs/>
        </w:rPr>
        <w:t xml:space="preserve"> </w:t>
      </w:r>
      <w:r w:rsidRPr="00D63B51">
        <w:t xml:space="preserve">should consider the feasibility of seeking an injunction proscribing any lawsuit directed at members of the creditors committee and independent directors from bad-faith lawsuits for actions taken in a mass-tort bankruptcy until the court determines that their claims are “colorable.” </w:t>
      </w:r>
      <w:r w:rsidR="00065C68" w:rsidRPr="00D63B51">
        <w:t xml:space="preserve">Permanent No. </w:t>
      </w:r>
      <w:r w:rsidR="00065C68" w:rsidRPr="00D63B51">
        <w:rPr>
          <w:rFonts w:cs="Times New Roman"/>
        </w:rPr>
        <w:t>MDL-§ 21(d).</w:t>
      </w:r>
    </w:p>
    <w:p w14:paraId="463F4BC1" w14:textId="77777777" w:rsidR="00CE2632" w:rsidRPr="00D63B51" w:rsidRDefault="00CE2632" w:rsidP="00CE2632">
      <w:pPr>
        <w:ind w:right="720"/>
        <w:jc w:val="both"/>
      </w:pPr>
    </w:p>
    <w:p w14:paraId="054A0182" w14:textId="0A23E683" w:rsidR="00CE2632" w:rsidRPr="00D63B51" w:rsidRDefault="00CE2632" w:rsidP="00CE2632">
      <w:pPr>
        <w:spacing w:line="360" w:lineRule="auto"/>
        <w:ind w:firstLine="720"/>
        <w:jc w:val="both"/>
      </w:pPr>
      <w:r w:rsidRPr="00D63B51">
        <w:t xml:space="preserve">Under </w:t>
      </w:r>
      <w:r w:rsidRPr="00D63B51">
        <w:rPr>
          <w:i/>
          <w:iCs/>
        </w:rPr>
        <w:t>Purdue Pharma</w:t>
      </w:r>
      <w:r w:rsidRPr="00D63B51">
        <w:t xml:space="preserve">, tort claimants have the right not to consent to release their claims against nondebtors as part of a Chapter 11 reorganization plan, and if the tort claimants choose not to consent, they can pursue independent lawsuits against the nondebtors. The filings of a </w:t>
      </w:r>
      <w:r w:rsidRPr="00D63B51">
        <w:lastRenderedPageBreak/>
        <w:t>substantial number of lawsuits, particularly bad-faith or frivolous claims, or claims that those asserting them do not own, could disrupt the Plan’s effectiveness. By means of “Gatekeeper In</w:t>
      </w:r>
      <w:r w:rsidR="00A242B2" w:rsidRPr="00D63B51">
        <w:t>j</w:t>
      </w:r>
      <w:r w:rsidRPr="00D63B51">
        <w:t>unctions,” some, but not all, courts have enjoined putative plaintiffs from filing separate tort actions against nondebtors, at least those who are members of a creditor’s committee and independent directors, until the court has determined that the claims are “colorable.”</w:t>
      </w:r>
      <w:r w:rsidRPr="00D63B51">
        <w:rPr>
          <w:vertAlign w:val="superscript"/>
        </w:rPr>
        <w:footnoteReference w:id="380"/>
      </w:r>
      <w:r w:rsidRPr="00D63B51">
        <w:t xml:space="preserve">  </w:t>
      </w:r>
    </w:p>
    <w:p w14:paraId="03289C44" w14:textId="3295607D" w:rsidR="00CE2632" w:rsidRPr="00D63B51" w:rsidRDefault="00CE2632" w:rsidP="00CE2632">
      <w:pPr>
        <w:ind w:left="720" w:right="720"/>
        <w:jc w:val="both"/>
      </w:pPr>
      <w:r w:rsidRPr="00D63B51">
        <w:rPr>
          <w:rFonts w:cs="Times New Roman"/>
          <w:b/>
          <w:bCs/>
        </w:rPr>
        <w:t>Best Practice MDL-§ 1</w:t>
      </w:r>
      <w:r w:rsidR="00530B1F" w:rsidRPr="00D63B51">
        <w:rPr>
          <w:rFonts w:cs="Times New Roman"/>
          <w:b/>
          <w:bCs/>
        </w:rPr>
        <w:t>7</w:t>
      </w:r>
      <w:r w:rsidRPr="00D63B51">
        <w:rPr>
          <w:rFonts w:cs="Times New Roman"/>
          <w:b/>
          <w:bCs/>
        </w:rPr>
        <w:t>(</w:t>
      </w:r>
      <w:r w:rsidR="00530B1F" w:rsidRPr="00D63B51">
        <w:rPr>
          <w:rFonts w:cs="Times New Roman"/>
          <w:b/>
          <w:bCs/>
        </w:rPr>
        <w:t>e</w:t>
      </w:r>
      <w:r w:rsidRPr="00D63B51">
        <w:rPr>
          <w:rFonts w:cs="Times New Roman"/>
          <w:b/>
          <w:bCs/>
        </w:rPr>
        <w:t>):</w:t>
      </w:r>
      <w:r w:rsidRPr="00D63B51">
        <w:rPr>
          <w:b/>
          <w:bCs/>
        </w:rPr>
        <w:t xml:space="preserve"> </w:t>
      </w:r>
      <w:r w:rsidRPr="00D63B51">
        <w:t xml:space="preserve">The parties in a mass-tort bankruptcy should consider the feasibility of recommending alternative processes that facilitate the resolution of unreleased tort claims against nondebtors who are essential to an effective reorganization plan. </w:t>
      </w:r>
      <w:r w:rsidR="00065C68" w:rsidRPr="00D63B51">
        <w:t xml:space="preserve">Permanent No. </w:t>
      </w:r>
      <w:r w:rsidR="00065C68" w:rsidRPr="00D63B51">
        <w:rPr>
          <w:rFonts w:cs="Times New Roman"/>
        </w:rPr>
        <w:t>MDL-§ 21(e).</w:t>
      </w:r>
      <w:r w:rsidRPr="00D63B51">
        <w:t xml:space="preserve">  </w:t>
      </w:r>
    </w:p>
    <w:p w14:paraId="47FF8D7B" w14:textId="77777777" w:rsidR="00CE2632" w:rsidRPr="00D63B51" w:rsidRDefault="00CE2632" w:rsidP="00CE2632">
      <w:pPr>
        <w:ind w:left="720" w:right="864"/>
        <w:jc w:val="both"/>
      </w:pPr>
    </w:p>
    <w:p w14:paraId="31E38B0B" w14:textId="77777777" w:rsidR="00CE2632" w:rsidRPr="00D63B51" w:rsidRDefault="00CE2632" w:rsidP="00CE2632">
      <w:pPr>
        <w:spacing w:line="360" w:lineRule="auto"/>
        <w:ind w:firstLine="720"/>
        <w:jc w:val="both"/>
      </w:pPr>
      <w:r w:rsidRPr="00D63B51">
        <w:lastRenderedPageBreak/>
        <w:t xml:space="preserve">To the extent that tort claimants in a mass-tort bankruptcy do not consent to release claims related to the mass tort against nondebtors who are essential for an effective chapter 11 reorganization plan, the parties should consider the feasibility of alternative processes to resolve their claims in a single forum.  One option is for the district court to exercise jurisdiction over the claims under 28 U.S.C. </w:t>
      </w:r>
      <w:r w:rsidRPr="00D63B51">
        <w:rPr>
          <w:rFonts w:cs="Times New Roman"/>
        </w:rPr>
        <w:t>§</w:t>
      </w:r>
      <w:r w:rsidRPr="00D63B51">
        <w:t>157(b)(5), which authorizes the direct transfer of cases from state court to federal court without requiring cumbersome removal proceedings.  The reasons for such transfers may be “to achieve the efficiencies of a unified resolution; to prevent the potential unfairness of continuing the prosecution of actions against derivative defendants while the actions against a major defendant, the debtor, are stayed; to prevent the dissipation of a jointly held asset; and to delay.”</w:t>
      </w:r>
      <w:r w:rsidRPr="00D63B51">
        <w:rPr>
          <w:vertAlign w:val="superscript"/>
        </w:rPr>
        <w:footnoteReference w:id="381"/>
      </w:r>
    </w:p>
    <w:p w14:paraId="0159E9EF" w14:textId="77777777" w:rsidR="00CE2632" w:rsidRPr="00D63B51" w:rsidRDefault="00CE2632" w:rsidP="00CE2632">
      <w:pPr>
        <w:spacing w:line="360" w:lineRule="auto"/>
        <w:ind w:firstLine="720"/>
        <w:jc w:val="both"/>
      </w:pPr>
      <w:r w:rsidRPr="00D63B51">
        <w:t>A district court may order that all personal-injury claims arising in or related to the mass-tort bankruptcy be tried in the district court.</w:t>
      </w:r>
      <w:r w:rsidRPr="00D63B51">
        <w:rPr>
          <w:vertAlign w:val="superscript"/>
        </w:rPr>
        <w:footnoteReference w:id="382"/>
      </w:r>
      <w:r w:rsidRPr="00D63B51">
        <w:t xml:space="preserve">  Courts have discretion to accept jurisdiction over these related actions, applying a 12-factor test.</w:t>
      </w:r>
      <w:r w:rsidRPr="00D63B51">
        <w:rPr>
          <w:vertAlign w:val="superscript"/>
        </w:rPr>
        <w:footnoteReference w:id="383"/>
      </w:r>
      <w:r w:rsidRPr="00D63B51">
        <w:t xml:space="preserve">  Several factors relate to the burdens imposed on the court and difficulty in applying various state laws.  Removing actions filed against nondebtor parties who are unable to secure release agreements from all tort claimants into a single forum can facilitate negotiations and possibly lead to a global settlement short of an actual trial, which would become part of the reorganization plan.  If the claims can be settled with few, if any, trials, the burdens on the court to try cases and apply conflict of law analyses are materially reduced.</w:t>
      </w:r>
      <w:r w:rsidRPr="00D63B51">
        <w:rPr>
          <w:vertAlign w:val="superscript"/>
        </w:rPr>
        <w:footnoteReference w:id="384"/>
      </w:r>
    </w:p>
    <w:p w14:paraId="71702D7E" w14:textId="50F1044D" w:rsidR="00CE2632" w:rsidRPr="00D63B51" w:rsidRDefault="00CE2632" w:rsidP="00CE2632">
      <w:pPr>
        <w:spacing w:line="360" w:lineRule="auto"/>
        <w:ind w:firstLine="720"/>
        <w:jc w:val="both"/>
      </w:pPr>
      <w:r w:rsidRPr="00D63B51">
        <w:t xml:space="preserve">In exercising its trial jurisdiction, a court can establish procedures under </w:t>
      </w:r>
      <w:r w:rsidR="009C473E" w:rsidRPr="00D63B51">
        <w:t>FED. R. CIV. P.</w:t>
      </w:r>
      <w:r w:rsidRPr="00D63B51">
        <w:t xml:space="preserve"> 16(c)(2)(L) and 42(a) to facilitate settlement discussions among all the parties. The option could be used not only to handle a small number of key nondebtors, for example, the debtor’s officers and directors, but also larger numbers, for example, numerous insurance companies, who could </w:t>
      </w:r>
      <w:r w:rsidRPr="00D63B51">
        <w:lastRenderedPageBreak/>
        <w:t xml:space="preserve">negotiate voluntary aggregate settlements.  The settlements would be voluntary, but having the interested parties negotiate in a single forum could be an effective approach. </w:t>
      </w:r>
    </w:p>
    <w:p w14:paraId="778E3966" w14:textId="77777777" w:rsidR="00CE2632" w:rsidRPr="00D63B51" w:rsidRDefault="00CE2632" w:rsidP="00CE2632">
      <w:pPr>
        <w:spacing w:line="360" w:lineRule="auto"/>
        <w:ind w:firstLine="720"/>
        <w:jc w:val="both"/>
      </w:pPr>
      <w:r w:rsidRPr="00D63B51">
        <w:t>Alternatively, the court may consider approving a motion to expand the stay to include nondebtor parties, which may accomplish the same goal of coordinating and consolidating the actions.</w:t>
      </w:r>
      <w:r w:rsidRPr="00D63B51">
        <w:rPr>
          <w:vertAlign w:val="superscript"/>
        </w:rPr>
        <w:footnoteReference w:id="385"/>
      </w:r>
      <w:r w:rsidRPr="00D63B51">
        <w:t xml:space="preserve"> “The litigation in state and federal courts around the country will have already been halted, and the debtor will most likely attempt to achieve the ultimate resolution of the litigation against these parties according to the terms of the plan of reorganization.”</w:t>
      </w:r>
      <w:r w:rsidRPr="00D63B51">
        <w:rPr>
          <w:vertAlign w:val="superscript"/>
        </w:rPr>
        <w:footnoteReference w:id="386"/>
      </w:r>
      <w:r w:rsidRPr="00D63B51">
        <w:t xml:space="preserve">  For many years, courts expanded the automatic stay to cover nondebtor parties only in limited circumstances when the interests of the nondebtor were so closely intertwined with those of the debtor “that the litigation in question is tantamount to litigation against the debtor or that it constitutes an effort to obtain possession of or exercise control over property of the estate.”</w:t>
      </w:r>
      <w:r w:rsidRPr="00D63B51">
        <w:rPr>
          <w:vertAlign w:val="superscript"/>
        </w:rPr>
        <w:footnoteReference w:id="387"/>
      </w:r>
      <w:r w:rsidRPr="00D63B51">
        <w:t xml:space="preserve">  But increasingly, courts have enjoined litigation against nondebtors during the pendency of the chapter 11 case, when necessary to maximize the chances of a successful reorganization </w:t>
      </w:r>
      <w:r w:rsidRPr="00D63B51">
        <w:rPr>
          <w:rFonts w:cs="Times New Roman"/>
        </w:rPr>
        <w:t xml:space="preserve">-- </w:t>
      </w:r>
      <w:r w:rsidRPr="00D63B51">
        <w:t>such as when desirable to allow mediation to take its course, or otherwise to permit the negotiation of a plan that might include consensual releases.</w:t>
      </w:r>
      <w:r w:rsidRPr="00D63B51">
        <w:rPr>
          <w:vertAlign w:val="superscript"/>
        </w:rPr>
        <w:footnoteReference w:id="388"/>
      </w:r>
      <w:r w:rsidRPr="00D63B51">
        <w:t xml:space="preserve"> </w:t>
      </w:r>
    </w:p>
    <w:p w14:paraId="59037268" w14:textId="27A9B0B0" w:rsidR="00F62B2D" w:rsidRPr="00D63B51" w:rsidRDefault="00F62B2D" w:rsidP="005063AC">
      <w:pPr>
        <w:pStyle w:val="NoSpacing"/>
        <w:jc w:val="both"/>
      </w:pPr>
      <w:r w:rsidRPr="00D63B51">
        <w:rPr>
          <w:rFonts w:ascii="Times New Roman Bold" w:hAnsi="Times New Roman Bold"/>
          <w:b/>
          <w:bCs/>
          <w:smallCaps/>
          <w:u w:val="single"/>
        </w:rPr>
        <w:t>GUIDELINE</w:t>
      </w:r>
      <w:r w:rsidRPr="00D63B51">
        <w:rPr>
          <w:b/>
          <w:bCs/>
          <w:u w:val="single"/>
        </w:rPr>
        <w:t xml:space="preserve"> </w:t>
      </w:r>
      <w:bookmarkStart w:id="38" w:name="_Hlk152852856"/>
      <w:r w:rsidRPr="00D63B51">
        <w:rPr>
          <w:b/>
          <w:bCs/>
          <w:u w:val="single"/>
        </w:rPr>
        <w:t>MDL-</w:t>
      </w:r>
      <w:r w:rsidRPr="00D63B51">
        <w:rPr>
          <w:rFonts w:cs="Times New Roman"/>
          <w:b/>
          <w:bCs/>
          <w:u w:val="single"/>
        </w:rPr>
        <w:t>§ 1</w:t>
      </w:r>
      <w:r w:rsidR="005063AC" w:rsidRPr="00D63B51">
        <w:rPr>
          <w:rFonts w:cs="Times New Roman"/>
          <w:b/>
          <w:bCs/>
          <w:u w:val="single"/>
        </w:rPr>
        <w:t>8</w:t>
      </w:r>
      <w:r w:rsidRPr="00D63B51">
        <w:rPr>
          <w:b/>
          <w:bCs/>
        </w:rPr>
        <w:t xml:space="preserve">: </w:t>
      </w:r>
      <w:bookmarkEnd w:id="38"/>
      <w:r w:rsidRPr="00D63B51">
        <w:t>Chapter 11 of the Bankruptcy Code offer</w:t>
      </w:r>
      <w:r w:rsidR="004D605F" w:rsidRPr="00D63B51">
        <w:t xml:space="preserve">s </w:t>
      </w:r>
      <w:r w:rsidRPr="00D63B51">
        <w:t xml:space="preserve">a process </w:t>
      </w:r>
      <w:r w:rsidR="004D605F" w:rsidRPr="00D63B51">
        <w:t xml:space="preserve">to estimate the value of tort claims, which may </w:t>
      </w:r>
      <w:r w:rsidR="00B56CB0" w:rsidRPr="00D63B51">
        <w:t>help</w:t>
      </w:r>
      <w:r w:rsidRPr="00D63B51">
        <w:t xml:space="preserve"> drive parties to negotiate a consensual plan of reorganization for a mass-tort</w:t>
      </w:r>
      <w:r w:rsidRPr="00D63B51">
        <w:rPr>
          <w:b/>
          <w:bCs/>
        </w:rPr>
        <w:t xml:space="preserve"> </w:t>
      </w:r>
      <w:r w:rsidRPr="00D63B51">
        <w:t>MDL, which is brought into a bankruptcy court. Permanent No. MDL-</w:t>
      </w:r>
      <w:r w:rsidRPr="00D63B51">
        <w:rPr>
          <w:rFonts w:cs="Times New Roman"/>
        </w:rPr>
        <w:t>§ 5</w:t>
      </w:r>
      <w:r w:rsidRPr="00D63B51">
        <w:t>.</w:t>
      </w:r>
    </w:p>
    <w:p w14:paraId="7448DD10" w14:textId="77777777" w:rsidR="00F62B2D" w:rsidRPr="00D63B51" w:rsidRDefault="00F62B2D" w:rsidP="00F62B2D">
      <w:pPr>
        <w:pStyle w:val="NoSpacing"/>
        <w:ind w:left="720" w:right="720"/>
        <w:jc w:val="both"/>
        <w:rPr>
          <w:rFonts w:cs="Times New Roman"/>
          <w:szCs w:val="24"/>
        </w:rPr>
      </w:pPr>
    </w:p>
    <w:p w14:paraId="2A55B47C" w14:textId="77777777" w:rsidR="00F62B2D" w:rsidRPr="00D63B51" w:rsidRDefault="00F62B2D" w:rsidP="00F62B2D">
      <w:pPr>
        <w:spacing w:line="360" w:lineRule="auto"/>
        <w:ind w:firstLine="360"/>
        <w:jc w:val="both"/>
        <w:rPr>
          <w:rFonts w:cs="Times New Roman"/>
        </w:rPr>
      </w:pPr>
      <w:r w:rsidRPr="00D63B51">
        <w:rPr>
          <w:rFonts w:cs="Times New Roman"/>
        </w:rPr>
        <w:t>Corporate defendants facing financial distress solely or primarily because of pending and threatened mass-tort claims in an MDL have filed petitions for Chapter 11 relief under the Bankruptcy Code to attempt a global resolution.</w:t>
      </w:r>
      <w:r w:rsidRPr="00D63B51">
        <w:rPr>
          <w:rStyle w:val="FootnoteReference"/>
          <w:rFonts w:cs="Times New Roman"/>
        </w:rPr>
        <w:footnoteReference w:id="389"/>
      </w:r>
      <w:r w:rsidRPr="00D63B51">
        <w:rPr>
          <w:rFonts w:cs="Times New Roman"/>
        </w:rPr>
        <w:t xml:space="preserve">  Under Chapter 11, the judge can confirm a reorganization plan, which provides adjusted payments to creditors, including the tort claimants in accordance with the requirements of the Bankruptcy Code.  The presiding bankruptcy judge in a bankruptcy can confirm a proposed reorganization plan if it meets the requirements set forth in § 1129 of the Bankruptcy Code and if it has the support of the required percentage of those eligible to vote on the plan.</w:t>
      </w:r>
      <w:r w:rsidRPr="00D63B51">
        <w:rPr>
          <w:rStyle w:val="FootnoteReference"/>
          <w:rFonts w:cs="Times New Roman"/>
        </w:rPr>
        <w:t xml:space="preserve"> </w:t>
      </w:r>
      <w:r w:rsidRPr="00D63B51">
        <w:rPr>
          <w:rStyle w:val="FootnoteReference"/>
          <w:rFonts w:cs="Times New Roman"/>
        </w:rPr>
        <w:footnoteReference w:id="390"/>
      </w:r>
    </w:p>
    <w:p w14:paraId="34F9D4AF" w14:textId="77777777" w:rsidR="00F62B2D" w:rsidRPr="00D63B51" w:rsidRDefault="00F62B2D" w:rsidP="00F62B2D">
      <w:pPr>
        <w:spacing w:line="360" w:lineRule="auto"/>
        <w:ind w:firstLine="360"/>
        <w:jc w:val="both"/>
        <w:rPr>
          <w:rFonts w:cs="Times New Roman"/>
        </w:rPr>
      </w:pPr>
      <w:r w:rsidRPr="00D63B51">
        <w:rPr>
          <w:rFonts w:cs="Times New Roman"/>
        </w:rPr>
        <w:t xml:space="preserve">In a mass-tort bankruptcy, the formation of a consensual reorganization plan usually hinges on the parties’ and court’s ability to properly value tort claims, which in turn may raise questions about medical and scientific evidence, much of which may have been addressed in the preceding MDL proceedings.  The parties often fundamentally disagree over the validity and value of all or a large portion of the tort claims and are unable to negotiate procedures for disposing of such tort claims and arrive at a consensual plan of reorganization, always the preferred outcome.  </w:t>
      </w:r>
    </w:p>
    <w:p w14:paraId="6F611D08" w14:textId="77777777" w:rsidR="00F62B2D" w:rsidRPr="00D63B51" w:rsidRDefault="00F62B2D" w:rsidP="00F62B2D">
      <w:pPr>
        <w:spacing w:line="360" w:lineRule="auto"/>
        <w:ind w:firstLine="360"/>
        <w:jc w:val="both"/>
        <w:rPr>
          <w:rFonts w:cs="Times New Roman"/>
          <w:b/>
          <w:bCs/>
        </w:rPr>
      </w:pPr>
      <w:r w:rsidRPr="00D63B51">
        <w:rPr>
          <w:rFonts w:cs="Times New Roman"/>
        </w:rPr>
        <w:t>Under such circumstances and when reasonable efforts at reaching a negotiated solution have been exhausted or the parties cannot agree on claim values, most courts have found that a bankruptcy court has the authority to estimate the value of mass-tort claims as part of their responsibility to avoid unduly delaying the administration of the case.</w:t>
      </w:r>
      <w:r w:rsidRPr="00D63B51">
        <w:rPr>
          <w:rStyle w:val="FootnoteReference"/>
          <w:rFonts w:cs="Times New Roman"/>
        </w:rPr>
        <w:footnoteReference w:id="391"/>
      </w:r>
      <w:r w:rsidRPr="00D63B51">
        <w:rPr>
          <w:rFonts w:cs="Times New Roman"/>
        </w:rPr>
        <w:t xml:space="preserve">  This may be necessary to ensure that procedures used to dispose of tort claims after the confirmation of the plan will value such tort claims in a manner consistent with how they would have been handled under the tort system, including voluntary settlements and judgments.</w:t>
      </w:r>
    </w:p>
    <w:p w14:paraId="7BA3A57A" w14:textId="77777777" w:rsidR="00F62B2D" w:rsidRPr="00D63B51" w:rsidRDefault="00F62B2D" w:rsidP="00F62B2D">
      <w:pPr>
        <w:spacing w:line="360" w:lineRule="auto"/>
        <w:ind w:firstLine="360"/>
        <w:jc w:val="both"/>
        <w:rPr>
          <w:rFonts w:cs="Times New Roman"/>
        </w:rPr>
      </w:pPr>
      <w:r w:rsidRPr="00D63B51">
        <w:rPr>
          <w:rFonts w:cs="Times New Roman"/>
        </w:rPr>
        <w:lastRenderedPageBreak/>
        <w:t>The judicial estimation in some high-profile recent non-asbestos mass-tort bankruptcies</w:t>
      </w:r>
      <w:r w:rsidRPr="00D63B51">
        <w:rPr>
          <w:rFonts w:cs="Times New Roman"/>
          <w:b/>
          <w:bCs/>
        </w:rPr>
        <w:t xml:space="preserve"> </w:t>
      </w:r>
      <w:r w:rsidRPr="00D63B51">
        <w:rPr>
          <w:rFonts w:cs="Times New Roman"/>
        </w:rPr>
        <w:t>has been conducted</w:t>
      </w:r>
      <w:r w:rsidRPr="00D63B51">
        <w:rPr>
          <w:rFonts w:cs="Times New Roman"/>
          <w:b/>
          <w:bCs/>
        </w:rPr>
        <w:t xml:space="preserve"> </w:t>
      </w:r>
      <w:r w:rsidRPr="00D63B51">
        <w:rPr>
          <w:rFonts w:cs="Times New Roman"/>
        </w:rPr>
        <w:t>under a backdrop of pending or threatened litigation challenging the validity of the bankruptcy itself, which raises the possibility that the litigation will be returned to the MDL court following dismissal.</w:t>
      </w:r>
      <w:r w:rsidRPr="00D63B51">
        <w:rPr>
          <w:rStyle w:val="FootnoteReference"/>
          <w:rFonts w:cs="Times New Roman"/>
        </w:rPr>
        <w:footnoteReference w:id="392"/>
      </w:r>
    </w:p>
    <w:p w14:paraId="501036F9" w14:textId="77777777" w:rsidR="00F62B2D" w:rsidRPr="00D63B51" w:rsidRDefault="00F62B2D" w:rsidP="00F62B2D">
      <w:pPr>
        <w:spacing w:line="360" w:lineRule="auto"/>
        <w:ind w:firstLine="360"/>
        <w:jc w:val="both"/>
        <w:rPr>
          <w:rFonts w:cs="Times New Roman"/>
        </w:rPr>
      </w:pPr>
      <w:r w:rsidRPr="00D63B51">
        <w:rPr>
          <w:rFonts w:cs="Times New Roman"/>
        </w:rPr>
        <w:t xml:space="preserve">Estimation should not be confused with “liquidation” of a tort claim under the Bankruptcy Code.  A bankruptcy court can estimate tort claims for a bankruptcy purpose, usually one related to determining if a proposed plan of reorganization can be confirmed.  For example, a bankruptcy court can estimate tort claims to determine how much weight should be accorded to such claims for voting purposes, </w:t>
      </w:r>
      <w:r w:rsidRPr="00D63B51">
        <w:rPr>
          <w:rFonts w:cs="Times New Roman"/>
          <w:i/>
          <w:iCs/>
        </w:rPr>
        <w:t>i.e.,</w:t>
      </w:r>
      <w:r w:rsidRPr="00D63B51">
        <w:rPr>
          <w:rFonts w:cs="Times New Roman"/>
        </w:rPr>
        <w:t xml:space="preserve"> to determine if two-thirds in amount have voted to accept the plan.  The ultimate liquidation of tort claims usually occurs post-confirmation and independent of the reorganization proceeding.  This may happen in the tort system or through court-approved trust distribution procedures.</w:t>
      </w:r>
    </w:p>
    <w:p w14:paraId="1919DFD4" w14:textId="77777777" w:rsidR="00F62B2D" w:rsidRPr="00D63B51" w:rsidRDefault="00F62B2D" w:rsidP="00F62B2D">
      <w:pPr>
        <w:spacing w:line="360" w:lineRule="auto"/>
        <w:ind w:firstLine="360"/>
        <w:jc w:val="both"/>
        <w:rPr>
          <w:rFonts w:cs="Times New Roman"/>
        </w:rPr>
      </w:pPr>
      <w:r w:rsidRPr="00D63B51">
        <w:rPr>
          <w:rFonts w:cs="Times New Roman"/>
        </w:rPr>
        <w:t xml:space="preserve">The following best practices provide guidance on the means to most efficiently and effectively estimate the value of tort claims for bankruptcy-relief purposes. </w:t>
      </w:r>
    </w:p>
    <w:p w14:paraId="10AC74AD" w14:textId="16677464" w:rsidR="00F62B2D" w:rsidRPr="00D63B51" w:rsidRDefault="00F62B2D" w:rsidP="00F62B2D">
      <w:pPr>
        <w:pStyle w:val="NoSpacing"/>
        <w:ind w:left="720" w:right="720"/>
        <w:jc w:val="both"/>
      </w:pPr>
      <w:r w:rsidRPr="00D63B51">
        <w:rPr>
          <w:b/>
          <w:bCs/>
          <w:caps/>
        </w:rPr>
        <w:t xml:space="preserve">best practice </w:t>
      </w:r>
      <w:r w:rsidRPr="00D63B51">
        <w:rPr>
          <w:b/>
          <w:bCs/>
        </w:rPr>
        <w:t>MDL-</w:t>
      </w:r>
      <w:r w:rsidRPr="00D63B51">
        <w:rPr>
          <w:rFonts w:cs="Times New Roman"/>
          <w:b/>
          <w:bCs/>
        </w:rPr>
        <w:t>§ 1</w:t>
      </w:r>
      <w:r w:rsidR="005063AC" w:rsidRPr="00D63B51">
        <w:rPr>
          <w:rFonts w:cs="Times New Roman"/>
          <w:b/>
          <w:bCs/>
        </w:rPr>
        <w:t>8</w:t>
      </w:r>
      <w:r w:rsidRPr="00D63B51">
        <w:rPr>
          <w:b/>
          <w:bCs/>
          <w:caps/>
        </w:rPr>
        <w:t>(</w:t>
      </w:r>
      <w:r w:rsidRPr="00D63B51">
        <w:rPr>
          <w:b/>
          <w:bCs/>
        </w:rPr>
        <w:t>a</w:t>
      </w:r>
      <w:r w:rsidRPr="00D63B51">
        <w:rPr>
          <w:b/>
          <w:bCs/>
          <w:caps/>
        </w:rPr>
        <w:t>):</w:t>
      </w:r>
      <w:r w:rsidRPr="00D63B51">
        <w:rPr>
          <w:caps/>
        </w:rPr>
        <w:t xml:space="preserve"> t</w:t>
      </w:r>
      <w:r w:rsidRPr="00D63B51">
        <w:t xml:space="preserve">he court in a mass-tort bankruptcy should consider </w:t>
      </w:r>
      <w:r w:rsidR="005B23BE" w:rsidRPr="00D63B51">
        <w:t xml:space="preserve">as a threshold matter </w:t>
      </w:r>
      <w:r w:rsidRPr="00D63B51">
        <w:t>whether the proposed estimation will promote a timely exit from chapter 11 and promote a resolution of disputes over the value of the tort claims. Permanent No. MDL-</w:t>
      </w:r>
      <w:r w:rsidRPr="00D63B51">
        <w:rPr>
          <w:rFonts w:cs="Times New Roman"/>
        </w:rPr>
        <w:t>§ 5</w:t>
      </w:r>
      <w:r w:rsidRPr="00D63B51">
        <w:t>(a).</w:t>
      </w:r>
    </w:p>
    <w:p w14:paraId="4304CE37" w14:textId="77777777" w:rsidR="00F62B2D" w:rsidRPr="00D63B51" w:rsidRDefault="00F62B2D" w:rsidP="00F62B2D">
      <w:pPr>
        <w:pStyle w:val="NoSpacing"/>
        <w:ind w:left="720" w:right="720"/>
        <w:jc w:val="both"/>
        <w:rPr>
          <w:caps/>
        </w:rPr>
      </w:pPr>
    </w:p>
    <w:p w14:paraId="2A67E4C1" w14:textId="77777777" w:rsidR="00F62B2D" w:rsidRPr="00D63B51" w:rsidRDefault="00F62B2D" w:rsidP="00F62B2D">
      <w:pPr>
        <w:spacing w:line="360" w:lineRule="auto"/>
        <w:ind w:firstLine="720"/>
        <w:jc w:val="both"/>
        <w:rPr>
          <w:rFonts w:cs="Times New Roman"/>
        </w:rPr>
      </w:pPr>
      <w:r w:rsidRPr="00D63B51">
        <w:rPr>
          <w:rFonts w:cs="Times New Roman"/>
        </w:rPr>
        <w:t>A proposed reorganization plan is subject to approval by a vote of more than a majority of the claimants and creditors. Assessing the value of different categories of tort claims may be necessary to ensure the proper eligibility for and weighting of votes and provide adequate information to individual claimants about their potential recovery as well as to develop a reorganization plan. When feasible, the parties should negotiate a solution.</w:t>
      </w:r>
      <w:r w:rsidRPr="00D63B51">
        <w:rPr>
          <w:rStyle w:val="FootnoteReference"/>
          <w:rFonts w:cs="Times New Roman"/>
        </w:rPr>
        <w:footnoteReference w:id="393"/>
      </w:r>
    </w:p>
    <w:p w14:paraId="6EBF929B" w14:textId="77777777" w:rsidR="00F62B2D" w:rsidRPr="00D63B51" w:rsidRDefault="00F62B2D" w:rsidP="00F62B2D">
      <w:pPr>
        <w:spacing w:line="360" w:lineRule="auto"/>
        <w:ind w:firstLine="720"/>
        <w:jc w:val="both"/>
        <w:rPr>
          <w:rFonts w:cs="Times New Roman"/>
        </w:rPr>
      </w:pPr>
      <w:r w:rsidRPr="00D63B51">
        <w:rPr>
          <w:rFonts w:cs="Times New Roman"/>
        </w:rPr>
        <w:t xml:space="preserve">The bankruptcy judge should encourage the parties to reach a negotiated solution, which is always the preferred outcome because the ultimate reorganization plan is subject to approval by the claimants. After consulting the parties, the judge should consider whether appointing a mediator would facilitate reaching a negotiated outcome, recognizing that earlier attempts at </w:t>
      </w:r>
      <w:r w:rsidRPr="00D63B51">
        <w:rPr>
          <w:rFonts w:cs="Times New Roman"/>
        </w:rPr>
        <w:lastRenderedPageBreak/>
        <w:t xml:space="preserve">settlement failed in the MDL proceedings and may add more delay to the process with little success. </w:t>
      </w:r>
    </w:p>
    <w:p w14:paraId="466843FD" w14:textId="77777777" w:rsidR="00F62B2D" w:rsidRPr="00D63B51" w:rsidRDefault="00F62B2D" w:rsidP="00F62B2D">
      <w:pPr>
        <w:pStyle w:val="NoSpacing"/>
        <w:ind w:left="720" w:right="720"/>
        <w:jc w:val="both"/>
        <w:rPr>
          <w:caps/>
        </w:rPr>
      </w:pPr>
    </w:p>
    <w:p w14:paraId="2905082B" w14:textId="79258174" w:rsidR="00F62B2D" w:rsidRPr="00D63B51" w:rsidRDefault="00F62B2D" w:rsidP="00F62B2D">
      <w:pPr>
        <w:pStyle w:val="NoSpacing"/>
        <w:ind w:left="720" w:right="720"/>
        <w:jc w:val="both"/>
      </w:pPr>
      <w:r w:rsidRPr="00D63B51">
        <w:rPr>
          <w:b/>
          <w:bCs/>
          <w:caps/>
        </w:rPr>
        <w:t xml:space="preserve">best practice </w:t>
      </w:r>
      <w:r w:rsidRPr="00D63B51">
        <w:rPr>
          <w:b/>
          <w:bCs/>
        </w:rPr>
        <w:t>MDL-</w:t>
      </w:r>
      <w:r w:rsidRPr="00D63B51">
        <w:rPr>
          <w:rFonts w:cs="Times New Roman"/>
          <w:b/>
          <w:bCs/>
        </w:rPr>
        <w:t>§ 1</w:t>
      </w:r>
      <w:r w:rsidR="005063AC" w:rsidRPr="00D63B51">
        <w:rPr>
          <w:rFonts w:cs="Times New Roman"/>
          <w:b/>
          <w:bCs/>
        </w:rPr>
        <w:t>8</w:t>
      </w:r>
      <w:r w:rsidRPr="00D63B51">
        <w:rPr>
          <w:rFonts w:cs="Times New Roman"/>
          <w:b/>
          <w:bCs/>
        </w:rPr>
        <w:t>(</w:t>
      </w:r>
      <w:r w:rsidR="00160F2C" w:rsidRPr="00D63B51">
        <w:rPr>
          <w:rFonts w:cs="Times New Roman"/>
          <w:b/>
          <w:bCs/>
        </w:rPr>
        <w:t>a</w:t>
      </w:r>
      <w:r w:rsidRPr="00D63B51">
        <w:rPr>
          <w:rFonts w:cs="Times New Roman"/>
          <w:b/>
          <w:bCs/>
        </w:rPr>
        <w:t>)</w:t>
      </w:r>
      <w:r w:rsidR="00160F2C" w:rsidRPr="00D63B51">
        <w:rPr>
          <w:rFonts w:cs="Times New Roman"/>
          <w:b/>
          <w:bCs/>
        </w:rPr>
        <w:t>(i)</w:t>
      </w:r>
      <w:r w:rsidRPr="00D63B51">
        <w:rPr>
          <w:b/>
          <w:bCs/>
        </w:rPr>
        <w:t xml:space="preserve">: </w:t>
      </w:r>
      <w:r w:rsidRPr="00D63B51">
        <w:rPr>
          <w:caps/>
        </w:rPr>
        <w:t>T</w:t>
      </w:r>
      <w:r w:rsidRPr="00D63B51">
        <w:t>he court in a mass-tort bankruptcy should determine whether judicial estimation of the value of tort claims (whether in the aggregate or by claim category) is appropriate to avoid unduly delaying administration of the case.</w:t>
      </w:r>
      <w:r w:rsidRPr="00D63B51">
        <w:rPr>
          <w:rStyle w:val="FootnoteReference"/>
        </w:rPr>
        <w:footnoteReference w:id="394"/>
      </w:r>
      <w:r w:rsidRPr="00D63B51">
        <w:t xml:space="preserve">  Permanent No. MDL-</w:t>
      </w:r>
      <w:r w:rsidRPr="00D63B51">
        <w:rPr>
          <w:rFonts w:cs="Times New Roman"/>
        </w:rPr>
        <w:t>§ 5</w:t>
      </w:r>
      <w:r w:rsidRPr="00D63B51">
        <w:t>(b).</w:t>
      </w:r>
    </w:p>
    <w:p w14:paraId="4117297F" w14:textId="77777777" w:rsidR="00F62B2D" w:rsidRPr="00D63B51" w:rsidRDefault="00F62B2D" w:rsidP="00F62B2D">
      <w:pPr>
        <w:pStyle w:val="NoSpacing"/>
        <w:ind w:left="720" w:right="720"/>
        <w:jc w:val="both"/>
      </w:pPr>
    </w:p>
    <w:p w14:paraId="309FB8BE" w14:textId="77777777" w:rsidR="00F62B2D" w:rsidRPr="00D63B51" w:rsidRDefault="00F62B2D" w:rsidP="00F62B2D">
      <w:pPr>
        <w:spacing w:line="360" w:lineRule="auto"/>
        <w:ind w:firstLine="720"/>
        <w:jc w:val="both"/>
        <w:rPr>
          <w:rFonts w:cs="Times New Roman"/>
        </w:rPr>
      </w:pPr>
      <w:r w:rsidRPr="00D63B51">
        <w:rPr>
          <w:rFonts w:cs="Times New Roman"/>
        </w:rPr>
        <w:t>Negotiating a Chapter 11 reorganization plan offers the prospect, if there is sufficient consensus, of a relatively quick and efficient restructuring of a debtor’s business with the ability to pay its creditors. The sooner a company can be reorganized, the sooner the company’s future earning capacity to compensate its creditors can be realized. The Bankruptcy Code provides that “[t]here shall be estimated for purpose of allowance under this section — (1) any contingent or unliquidated claim, the fixing or liquidation of which, as the case may be, would unduly delay the administration of the case….”</w:t>
      </w:r>
      <w:r w:rsidRPr="00D63B51">
        <w:rPr>
          <w:rStyle w:val="FootnoteReference"/>
          <w:rFonts w:cs="Times New Roman"/>
        </w:rPr>
        <w:footnoteReference w:id="395"/>
      </w:r>
      <w:r w:rsidRPr="00D63B51">
        <w:rPr>
          <w:rFonts w:cs="Times New Roman"/>
        </w:rPr>
        <w:t xml:space="preserve">  Courts have relied on this provision, which refers to individual claims, for authority to estimate the aggregate amount of all tort claims.</w:t>
      </w:r>
    </w:p>
    <w:p w14:paraId="7A7F0F10" w14:textId="77777777" w:rsidR="00F62B2D" w:rsidRPr="00D63B51" w:rsidRDefault="00F62B2D" w:rsidP="00F62B2D">
      <w:pPr>
        <w:spacing w:line="360" w:lineRule="auto"/>
        <w:ind w:firstLine="720"/>
        <w:jc w:val="both"/>
        <w:rPr>
          <w:rFonts w:cs="Times New Roman"/>
        </w:rPr>
      </w:pPr>
      <w:r w:rsidRPr="00D63B51">
        <w:rPr>
          <w:rFonts w:cs="Times New Roman"/>
        </w:rPr>
        <w:t>If reaching a negotiated outcome between the parties is unsuccessful or futile, estimating the aggregate tort claims may be integral to determining the: (i) feasibility of a proposed reorganization; (ii) whether the plan effectuates different treatment within a single class of claims; (iii) confirming a proposed reorganization plan; and (iv) establishing a framework for voting on a proposed plan.  The judge needs the estimates of the tort claims to make informed decisions on these key proceedings that would otherwise result in delay. In addition, the judicial estimation may narrow the parties’ differences and help them move to a middle ground.</w:t>
      </w:r>
      <w:r w:rsidRPr="00D63B51">
        <w:rPr>
          <w:rStyle w:val="FootnoteReference"/>
          <w:rFonts w:cs="Times New Roman"/>
        </w:rPr>
        <w:footnoteReference w:id="396"/>
      </w:r>
      <w:r w:rsidRPr="00D63B51">
        <w:rPr>
          <w:rFonts w:cs="Times New Roman"/>
        </w:rPr>
        <w:t xml:space="preserve"> </w:t>
      </w:r>
    </w:p>
    <w:p w14:paraId="7771C1EF" w14:textId="77777777" w:rsidR="00F62B2D" w:rsidRPr="00D63B51" w:rsidRDefault="00F62B2D" w:rsidP="00F62B2D">
      <w:pPr>
        <w:spacing w:line="360" w:lineRule="auto"/>
        <w:ind w:firstLine="720"/>
        <w:jc w:val="both"/>
        <w:rPr>
          <w:rFonts w:cs="Times New Roman"/>
        </w:rPr>
      </w:pPr>
      <w:r w:rsidRPr="00D63B51">
        <w:rPr>
          <w:rFonts w:cs="Times New Roman"/>
        </w:rPr>
        <w:t>Judicial estimation of the aggregate value of thousands of disparate tort claims is complicated and may result in substantial delay and, therefore, run afoul of the Bankruptcy Code.</w:t>
      </w:r>
      <w:r w:rsidRPr="00D63B51">
        <w:rPr>
          <w:rStyle w:val="FootnoteReference"/>
          <w:rFonts w:cs="Times New Roman"/>
        </w:rPr>
        <w:footnoteReference w:id="397"/>
      </w:r>
      <w:r w:rsidRPr="00D63B51">
        <w:rPr>
          <w:rFonts w:cs="Times New Roman"/>
        </w:rPr>
        <w:t xml:space="preserve"> </w:t>
      </w:r>
      <w:r w:rsidRPr="00D63B51">
        <w:rPr>
          <w:rFonts w:cs="Times New Roman"/>
          <w:shd w:val="clear" w:color="auto" w:fill="FFFFFF"/>
        </w:rPr>
        <w:t>In addition, if the proposed reorganization plan is based on an estimate and a majority of those voting for the plan disagree with that estimate, the claimants can disapprove the plan</w:t>
      </w:r>
      <w:r w:rsidRPr="00D63B51">
        <w:rPr>
          <w:rFonts w:cs="Times New Roman"/>
        </w:rPr>
        <w:t>, which calls into question its utility and actual impact in avoiding undue delay.</w:t>
      </w:r>
      <w:r w:rsidRPr="00D63B51">
        <w:rPr>
          <w:rStyle w:val="FootnoteReference"/>
          <w:rFonts w:cs="Times New Roman"/>
        </w:rPr>
        <w:footnoteReference w:id="398"/>
      </w:r>
      <w:r w:rsidRPr="00D63B51">
        <w:rPr>
          <w:rFonts w:cs="Times New Roman"/>
        </w:rPr>
        <w:t xml:space="preserve">  Lastly, judicial estimation has </w:t>
      </w:r>
      <w:r w:rsidRPr="00D63B51">
        <w:rPr>
          <w:rFonts w:cs="Times New Roman"/>
        </w:rPr>
        <w:lastRenderedPageBreak/>
        <w:t>historically been used in asbestos mass-tort bankruptcies under specific authorizing legislation, which adds questions about its use in other types of cases.   Notwithstanding these concerns, judicial estimation may be the only way to resolve the matter efficiently and, in less time, than other alternatives.</w:t>
      </w:r>
    </w:p>
    <w:p w14:paraId="6229E808" w14:textId="07B95AD1" w:rsidR="00F62B2D" w:rsidRPr="00D63B51" w:rsidRDefault="00F62B2D" w:rsidP="00F62B2D">
      <w:pPr>
        <w:ind w:left="720" w:right="720"/>
        <w:jc w:val="both"/>
        <w:rPr>
          <w:rFonts w:cs="Times New Roman"/>
        </w:rPr>
      </w:pPr>
      <w:r w:rsidRPr="00D63B51">
        <w:rPr>
          <w:rFonts w:cs="Times New Roman"/>
          <w:b/>
          <w:bCs/>
          <w:caps/>
        </w:rPr>
        <w:t xml:space="preserve">best practice </w:t>
      </w:r>
      <w:r w:rsidRPr="00D63B51">
        <w:rPr>
          <w:rFonts w:cs="Times New Roman"/>
          <w:b/>
          <w:bCs/>
        </w:rPr>
        <w:t>MDL-§ 1</w:t>
      </w:r>
      <w:r w:rsidR="005063AC" w:rsidRPr="00D63B51">
        <w:rPr>
          <w:rFonts w:cs="Times New Roman"/>
          <w:b/>
          <w:bCs/>
        </w:rPr>
        <w:t>8</w:t>
      </w:r>
      <w:r w:rsidRPr="00D63B51">
        <w:rPr>
          <w:rFonts w:cs="Times New Roman"/>
          <w:b/>
          <w:bCs/>
        </w:rPr>
        <w:t>(b):</w:t>
      </w:r>
      <w:r w:rsidRPr="00D63B51">
        <w:rPr>
          <w:b/>
          <w:bCs/>
        </w:rPr>
        <w:t xml:space="preserve"> </w:t>
      </w:r>
      <w:r w:rsidRPr="00D63B51">
        <w:rPr>
          <w:rFonts w:cs="Times New Roman"/>
        </w:rPr>
        <w:t>The bankruptcy court should clearly express the reasons for and purpose of estimating the aggregate value of the tort claims. Permanent No.</w:t>
      </w:r>
      <w:r w:rsidRPr="00D63B51">
        <w:rPr>
          <w:b/>
          <w:bCs/>
        </w:rPr>
        <w:t xml:space="preserve"> </w:t>
      </w:r>
      <w:r w:rsidRPr="00D63B51">
        <w:rPr>
          <w:rFonts w:cs="Times New Roman"/>
        </w:rPr>
        <w:t xml:space="preserve">MDL-§ 5(b)(i). </w:t>
      </w:r>
    </w:p>
    <w:p w14:paraId="7CB75EA2" w14:textId="77777777" w:rsidR="00F62B2D" w:rsidRPr="00D63B51" w:rsidRDefault="00F62B2D" w:rsidP="00F62B2D">
      <w:pPr>
        <w:ind w:left="720" w:right="720"/>
        <w:jc w:val="both"/>
        <w:rPr>
          <w:rFonts w:cs="Times New Roman"/>
        </w:rPr>
      </w:pPr>
    </w:p>
    <w:p w14:paraId="21B663FD" w14:textId="77777777" w:rsidR="00F62B2D" w:rsidRPr="00D63B51" w:rsidRDefault="00F62B2D" w:rsidP="00F62B2D">
      <w:pPr>
        <w:spacing w:line="360" w:lineRule="auto"/>
        <w:ind w:firstLine="720"/>
        <w:jc w:val="both"/>
        <w:rPr>
          <w:rFonts w:cs="Times New Roman"/>
        </w:rPr>
      </w:pPr>
      <w:r w:rsidRPr="00D63B51">
        <w:rPr>
          <w:rFonts w:cs="Times New Roman"/>
        </w:rPr>
        <w:t>A bankruptcy court has no authority to estimate tort claims to determine “liability” or the “amounts of distribution” to individual claimants.  On the other hand, the bankruptcy court is responsible for allowing claims under a separate Bankruptcy Code provision and determining the feasibility of a proposed reorganization plan and whether claims within a single class are being treated the same.  Moreover, the bankruptcy judge must determine the eligibility for, and weighting of, votes based on the value of the tort claims, which requires an understanding of the amount of recovery for individual claimants.</w:t>
      </w:r>
      <w:r w:rsidRPr="00D63B51">
        <w:rPr>
          <w:rStyle w:val="FootnoteReference"/>
          <w:rFonts w:cs="Times New Roman"/>
        </w:rPr>
        <w:footnoteReference w:id="399"/>
      </w:r>
      <w:r w:rsidRPr="00D63B51">
        <w:rPr>
          <w:rFonts w:cs="Times New Roman"/>
        </w:rPr>
        <w:t xml:space="preserve">  Accordingly, the judicial estimation in the context of voting on a plan must account for the probable value of claims even if the probability of success at trial is expected to be zero or nearly zero.  The failure to do so could give holders of non-compensable claims too much influence over the plan.</w:t>
      </w:r>
    </w:p>
    <w:p w14:paraId="6D26B38E" w14:textId="77777777" w:rsidR="00F62B2D" w:rsidRPr="00D63B51" w:rsidRDefault="00F62B2D" w:rsidP="00F62B2D">
      <w:pPr>
        <w:spacing w:line="360" w:lineRule="auto"/>
        <w:ind w:firstLine="720"/>
        <w:jc w:val="both"/>
        <w:rPr>
          <w:rFonts w:cs="Times New Roman"/>
        </w:rPr>
      </w:pPr>
      <w:r w:rsidRPr="00D63B51">
        <w:rPr>
          <w:rFonts w:cs="Times New Roman"/>
        </w:rPr>
        <w:t xml:space="preserve">Because estimation of tort claims can have overlapping purposes, the court must clearly delineate the reasons and purpose of the estimation to avoid confusion. In particular, the court should address concerns that the estimation of the aggregate tort claims is intended de facto to cap distributions to unwilling claimants, even though more than a majority of the claimants must approve the ultimate proposed reorganization plan, which addresses these tort claims. </w:t>
      </w:r>
    </w:p>
    <w:p w14:paraId="00C335D7" w14:textId="7A3F71A1" w:rsidR="00F62B2D" w:rsidRPr="00D63B51" w:rsidRDefault="00E9702C" w:rsidP="00E9702C">
      <w:pPr>
        <w:ind w:left="720" w:right="720"/>
        <w:jc w:val="both"/>
        <w:rPr>
          <w:rFonts w:cs="Times New Roman"/>
        </w:rPr>
      </w:pPr>
      <w:r w:rsidRPr="00D63B51">
        <w:rPr>
          <w:rFonts w:cs="Times New Roman"/>
          <w:b/>
          <w:bCs/>
          <w:caps/>
        </w:rPr>
        <w:t xml:space="preserve">best practice </w:t>
      </w:r>
      <w:r w:rsidRPr="00D63B51">
        <w:rPr>
          <w:rFonts w:cs="Times New Roman"/>
          <w:b/>
          <w:bCs/>
        </w:rPr>
        <w:t>MDL-§ 18(</w:t>
      </w:r>
      <w:r w:rsidR="00ED21E0" w:rsidRPr="00D63B51">
        <w:rPr>
          <w:rFonts w:cs="Times New Roman"/>
          <w:b/>
          <w:bCs/>
        </w:rPr>
        <w:t>c</w:t>
      </w:r>
      <w:r w:rsidRPr="00D63B51">
        <w:rPr>
          <w:rFonts w:cs="Times New Roman"/>
          <w:b/>
          <w:bCs/>
        </w:rPr>
        <w:t>):</w:t>
      </w:r>
      <w:r w:rsidRPr="00D63B51">
        <w:rPr>
          <w:b/>
          <w:bCs/>
        </w:rPr>
        <w:t xml:space="preserve"> </w:t>
      </w:r>
      <w:r w:rsidR="00F62B2D" w:rsidRPr="00D63B51">
        <w:rPr>
          <w:rFonts w:cs="Times New Roman"/>
        </w:rPr>
        <w:t>If the parties have been unsuccessful in negotiating a solution, a judge can hold an evidentiary hearing to estimate the aggregate value of the tort claims.  Permanent MDL-§ 6.</w:t>
      </w:r>
      <w:r w:rsidR="00F62B2D" w:rsidRPr="00D63B51">
        <w:rPr>
          <w:rFonts w:cs="Times New Roman"/>
          <w:b/>
          <w:bCs/>
        </w:rPr>
        <w:t xml:space="preserve">  </w:t>
      </w:r>
      <w:r w:rsidR="00F62B2D" w:rsidRPr="00D63B51">
        <w:rPr>
          <w:rFonts w:cs="Times New Roman"/>
        </w:rPr>
        <w:t xml:space="preserve"> </w:t>
      </w:r>
    </w:p>
    <w:p w14:paraId="5BF53845" w14:textId="77777777" w:rsidR="00F62B2D" w:rsidRPr="00D63B51" w:rsidRDefault="00F62B2D" w:rsidP="00F62B2D">
      <w:pPr>
        <w:ind w:left="720" w:right="720"/>
        <w:jc w:val="both"/>
        <w:rPr>
          <w:rFonts w:cs="Times New Roman"/>
        </w:rPr>
      </w:pPr>
    </w:p>
    <w:p w14:paraId="03C9C68E" w14:textId="77777777" w:rsidR="00AF721D" w:rsidRPr="00D63B51" w:rsidRDefault="00AF721D" w:rsidP="00F62B2D">
      <w:pPr>
        <w:spacing w:line="360" w:lineRule="auto"/>
        <w:ind w:firstLine="720"/>
        <w:jc w:val="both"/>
        <w:rPr>
          <w:rFonts w:cs="Times New Roman"/>
        </w:rPr>
      </w:pPr>
      <w:r w:rsidRPr="00D63B51">
        <w:rPr>
          <w:rFonts w:cs="Times New Roman"/>
        </w:rPr>
        <w:t xml:space="preserve">A judge faced with the difficult task of estimating the aggregate value of thousands of tort claims must rely on their experience and approaches taken on other complex scientific or technical </w:t>
      </w:r>
      <w:r w:rsidRPr="00D63B51">
        <w:rPr>
          <w:rFonts w:cs="Times New Roman"/>
        </w:rPr>
        <w:lastRenderedPageBreak/>
        <w:t xml:space="preserve">problems.  The judge, either a district judge who is assigned the judicial estimation or the bankruptcy judge if the reference was not withdrawn, should consult with the parties and schedule an evidentiary hearing to estimate the aggregate value of the tort claims. </w:t>
      </w:r>
    </w:p>
    <w:p w14:paraId="697C8DA0" w14:textId="24EBC3F8" w:rsidR="00F62B2D" w:rsidRPr="00D63B51" w:rsidRDefault="00F62B2D" w:rsidP="00F62B2D">
      <w:pPr>
        <w:spacing w:line="360" w:lineRule="auto"/>
        <w:ind w:firstLine="720"/>
        <w:jc w:val="both"/>
        <w:rPr>
          <w:rFonts w:cs="Times New Roman"/>
        </w:rPr>
      </w:pPr>
      <w:r w:rsidRPr="00D63B51">
        <w:rPr>
          <w:rFonts w:cs="Times New Roman"/>
        </w:rPr>
        <w:t>In a typical lawsuit involving divergent testimony from highly competent experts, the findings of a neutral impartial authority can have a salutary effect on bringing the parties closer to a negotiated settlement. Similarly, in a mass-tort bankruptcy, the findings of a judge on the estimation of the aggregate value of tort claims can provide the debtor and creditors an impartial neutral assessment that can facilitate a negotiated outcome.</w:t>
      </w:r>
      <w:r w:rsidRPr="00D63B51">
        <w:rPr>
          <w:rStyle w:val="FootnoteReference"/>
          <w:rFonts w:cs="Times New Roman"/>
        </w:rPr>
        <w:footnoteReference w:id="400"/>
      </w:r>
      <w:r w:rsidRPr="00D63B51">
        <w:rPr>
          <w:rFonts w:cs="Times New Roman"/>
        </w:rPr>
        <w:t xml:space="preserve">  </w:t>
      </w:r>
    </w:p>
    <w:p w14:paraId="6A522144" w14:textId="77777777" w:rsidR="00F62B2D" w:rsidRPr="00D63B51" w:rsidRDefault="00F62B2D" w:rsidP="00F62B2D">
      <w:pPr>
        <w:spacing w:line="360" w:lineRule="auto"/>
        <w:ind w:firstLine="720"/>
        <w:jc w:val="both"/>
        <w:rPr>
          <w:rFonts w:cs="Times New Roman"/>
        </w:rPr>
      </w:pPr>
      <w:r w:rsidRPr="00D63B51">
        <w:rPr>
          <w:rFonts w:cs="Times New Roman"/>
        </w:rPr>
        <w:t xml:space="preserve">A majority of the tort claimants can reject a proposed reorganization plan, which may contain or reflect a judicial estimation of the tort claims. If the plan includes releases or a channeling injunction that cannot issue absent the tort claimants’ affirmative vote, the failure to obtain their consent may be fatal to the reorganization and require additional negotiations.   A bankruptcy judge cannot compel parties to accept a chapter 11 plan or vote in favor of a plan, which may contain the court’s estimation of a debtor’s tort liability. But not all chapter plans in mass-tort cases include injunctions that require a super-majority vote. In this context, the court’s estimation would be used to set an appropriate reserve so that the tort claims are paid in full when they liquidated post-confirmation. Though disfavored, the power to compel acceptance adds undeniable latent persuasive force to the judicial estimation in certain cases.   </w:t>
      </w:r>
    </w:p>
    <w:p w14:paraId="170B95CA" w14:textId="77777777" w:rsidR="00F62B2D" w:rsidRPr="00D63B51" w:rsidRDefault="00F62B2D" w:rsidP="00F62B2D">
      <w:pPr>
        <w:ind w:firstLine="720"/>
        <w:jc w:val="both"/>
        <w:rPr>
          <w:rFonts w:cs="Times New Roman"/>
        </w:rPr>
      </w:pPr>
      <w:bookmarkStart w:id="40" w:name="_Hlk144576953"/>
    </w:p>
    <w:bookmarkEnd w:id="40"/>
    <w:p w14:paraId="1C13470A" w14:textId="25DA03E1" w:rsidR="00F62B2D" w:rsidRPr="00D63B51" w:rsidRDefault="00F62B2D" w:rsidP="00F62B2D">
      <w:pPr>
        <w:ind w:left="720" w:right="720"/>
        <w:jc w:val="both"/>
        <w:rPr>
          <w:rFonts w:cs="Times New Roman"/>
        </w:rPr>
      </w:pPr>
      <w:r w:rsidRPr="00D63B51">
        <w:rPr>
          <w:rFonts w:cs="Times New Roman"/>
          <w:b/>
          <w:bCs/>
        </w:rPr>
        <w:t xml:space="preserve">Best Practice MDL-§ </w:t>
      </w:r>
      <w:r w:rsidR="00F07C79" w:rsidRPr="00D63B51">
        <w:rPr>
          <w:rFonts w:cs="Times New Roman"/>
          <w:b/>
          <w:bCs/>
        </w:rPr>
        <w:t>18(c)(</w:t>
      </w:r>
      <w:r w:rsidR="00042565" w:rsidRPr="00D63B51">
        <w:rPr>
          <w:rFonts w:cs="Times New Roman"/>
          <w:b/>
          <w:bCs/>
        </w:rPr>
        <w:t>i</w:t>
      </w:r>
      <w:r w:rsidR="00F07C79" w:rsidRPr="00D63B51">
        <w:rPr>
          <w:rFonts w:cs="Times New Roman"/>
          <w:b/>
          <w:bCs/>
        </w:rPr>
        <w:t>)</w:t>
      </w:r>
      <w:r w:rsidRPr="00D63B51">
        <w:rPr>
          <w:rFonts w:cs="Times New Roman"/>
          <w:b/>
          <w:bCs/>
        </w:rPr>
        <w:t xml:space="preserve">: </w:t>
      </w:r>
      <w:r w:rsidRPr="00D63B51">
        <w:rPr>
          <w:rFonts w:cs="Times New Roman"/>
        </w:rPr>
        <w:t>The judge presiding over an evidentiary hearing to estimate the aggregate value of tort claims should hear evidence presented by all parties. Permanent No. MDL-§ 7(b)(i).</w:t>
      </w:r>
    </w:p>
    <w:p w14:paraId="2A98FFC2" w14:textId="77777777" w:rsidR="00F62B2D" w:rsidRPr="00D63B51" w:rsidRDefault="00F62B2D" w:rsidP="00F62B2D">
      <w:pPr>
        <w:ind w:left="720" w:right="720"/>
        <w:jc w:val="both"/>
        <w:rPr>
          <w:rFonts w:cs="Times New Roman"/>
        </w:rPr>
      </w:pPr>
    </w:p>
    <w:p w14:paraId="4A988700" w14:textId="77777777" w:rsidR="00F62B2D" w:rsidRPr="00D63B51" w:rsidRDefault="00F62B2D" w:rsidP="00F62B2D">
      <w:pPr>
        <w:spacing w:line="360" w:lineRule="auto"/>
        <w:ind w:firstLine="720"/>
        <w:jc w:val="both"/>
        <w:rPr>
          <w:rFonts w:cs="Times New Roman"/>
        </w:rPr>
      </w:pPr>
      <w:r w:rsidRPr="00D63B51">
        <w:rPr>
          <w:rFonts w:cs="Times New Roman"/>
        </w:rPr>
        <w:t xml:space="preserve">An evidentiary hearing typically involves testimony from experts representing any unsecured creditors’ committee, tort claimants committee, equity committee, future claims representative, and the debtor.  In some cases, experts for insurers or other parties who have indemnified the debtors have also participated.   </w:t>
      </w:r>
    </w:p>
    <w:p w14:paraId="587FD674" w14:textId="77777777" w:rsidR="00F62B2D" w:rsidRPr="00D63B51" w:rsidRDefault="00F62B2D" w:rsidP="00F62B2D">
      <w:pPr>
        <w:spacing w:line="360" w:lineRule="auto"/>
        <w:ind w:firstLine="720"/>
        <w:jc w:val="both"/>
        <w:rPr>
          <w:rFonts w:cs="Times New Roman"/>
        </w:rPr>
      </w:pPr>
      <w:r w:rsidRPr="00D63B51">
        <w:rPr>
          <w:rFonts w:cs="Times New Roman"/>
        </w:rPr>
        <w:t xml:space="preserve">The evidentiary hearing should address: (1) the aggregate volume and value of tort claims as adjusted by the probability that the claims will be sustainable and satisfied by any trust formed </w:t>
      </w:r>
      <w:r w:rsidRPr="00D63B51">
        <w:rPr>
          <w:rFonts w:cs="Times New Roman"/>
        </w:rPr>
        <w:lastRenderedPageBreak/>
        <w:t>under the proposed reorganization plan; and (2) an average claim value to weigh claims for voting purposes for specified categories of tort claimants.</w:t>
      </w:r>
      <w:r w:rsidRPr="00D63B51">
        <w:rPr>
          <w:rStyle w:val="FootnoteReference"/>
          <w:rFonts w:cs="Times New Roman"/>
        </w:rPr>
        <w:footnoteReference w:id="401"/>
      </w:r>
      <w:r w:rsidRPr="00D63B51">
        <w:rPr>
          <w:rFonts w:cs="Times New Roman"/>
        </w:rPr>
        <w:t xml:space="preserve"> </w:t>
      </w:r>
    </w:p>
    <w:p w14:paraId="201640DC" w14:textId="3C7360BD" w:rsidR="00E813A4" w:rsidRPr="00D63B51" w:rsidRDefault="00E813A4" w:rsidP="00E813A4">
      <w:pPr>
        <w:ind w:left="720" w:right="720"/>
        <w:jc w:val="both"/>
        <w:rPr>
          <w:rFonts w:cs="Times New Roman"/>
        </w:rPr>
      </w:pPr>
      <w:r w:rsidRPr="00D63B51">
        <w:rPr>
          <w:rFonts w:cs="Times New Roman"/>
          <w:b/>
          <w:bCs/>
        </w:rPr>
        <w:t xml:space="preserve">Best Practice MDL-§ </w:t>
      </w:r>
      <w:r w:rsidR="00042565" w:rsidRPr="00D63B51">
        <w:rPr>
          <w:rFonts w:cs="Times New Roman"/>
          <w:b/>
          <w:bCs/>
        </w:rPr>
        <w:t>18</w:t>
      </w:r>
      <w:r w:rsidRPr="00D63B51">
        <w:rPr>
          <w:rFonts w:cs="Times New Roman"/>
          <w:b/>
          <w:bCs/>
        </w:rPr>
        <w:t>(c)</w:t>
      </w:r>
      <w:r w:rsidR="00042565" w:rsidRPr="00D63B51">
        <w:rPr>
          <w:rFonts w:cs="Times New Roman"/>
          <w:b/>
          <w:bCs/>
        </w:rPr>
        <w:t>(ii)</w:t>
      </w:r>
      <w:r w:rsidRPr="00D63B51">
        <w:rPr>
          <w:rFonts w:cs="Times New Roman"/>
          <w:b/>
          <w:bCs/>
        </w:rPr>
        <w:t>:</w:t>
      </w:r>
      <w:r w:rsidRPr="00D63B51">
        <w:rPr>
          <w:b/>
          <w:bCs/>
        </w:rPr>
        <w:t xml:space="preserve"> </w:t>
      </w:r>
      <w:r w:rsidRPr="00D63B51">
        <w:rPr>
          <w:rFonts w:cs="Times New Roman"/>
        </w:rPr>
        <w:t xml:space="preserve">The judge presiding over the evidentiary hearing on judicial estimation should allow the parties reasonable discovery and determine the scope of the discovery.  </w:t>
      </w:r>
      <w:bookmarkStart w:id="41" w:name="_Hlk144625076"/>
      <w:r w:rsidRPr="00D63B51">
        <w:rPr>
          <w:rFonts w:cs="Times New Roman"/>
        </w:rPr>
        <w:t xml:space="preserve">Permanent No. </w:t>
      </w:r>
      <w:bookmarkEnd w:id="41"/>
      <w:r w:rsidRPr="00D63B51">
        <w:rPr>
          <w:rFonts w:cs="Times New Roman"/>
        </w:rPr>
        <w:t>MDL-§ 7(c).</w:t>
      </w:r>
    </w:p>
    <w:p w14:paraId="10C2EFAC" w14:textId="77777777" w:rsidR="00E813A4" w:rsidRPr="00D63B51" w:rsidRDefault="00E813A4" w:rsidP="00E813A4">
      <w:pPr>
        <w:ind w:left="720" w:right="720"/>
        <w:jc w:val="both"/>
        <w:rPr>
          <w:rFonts w:cs="Times New Roman"/>
        </w:rPr>
      </w:pPr>
    </w:p>
    <w:p w14:paraId="2171525B" w14:textId="77777777" w:rsidR="00E813A4" w:rsidRPr="00D63B51" w:rsidRDefault="00E813A4" w:rsidP="00E813A4">
      <w:pPr>
        <w:spacing w:line="360" w:lineRule="auto"/>
        <w:ind w:firstLine="720"/>
        <w:jc w:val="both"/>
        <w:rPr>
          <w:rFonts w:cs="Times New Roman"/>
        </w:rPr>
      </w:pPr>
      <w:r w:rsidRPr="00D63B51">
        <w:rPr>
          <w:rFonts w:cs="Times New Roman"/>
        </w:rPr>
        <w:t>The judge presiding over the judicial estimation should direct all parties interested in negotiating a set of procedures to submit a proposed discovery plan, which includes the scope of the discovery and a schedule for fact and expert disclosures, reports, depositions, and motion practice, as well as, time deadlines, aiming for completion in no more than 12 months.  The information subject to discovery would typically be relevant in determining the appropriate weight to be accorded to different types or categories of claims for voting purposes and the aggregate volume and value of all claims, based on the probability that they will be sustained.</w:t>
      </w:r>
      <w:r w:rsidRPr="00D63B51">
        <w:rPr>
          <w:rStyle w:val="FootnoteReference"/>
          <w:rFonts w:cs="Times New Roman"/>
        </w:rPr>
        <w:footnoteReference w:id="402"/>
      </w:r>
      <w:r w:rsidRPr="00D63B51">
        <w:rPr>
          <w:rFonts w:cs="Times New Roman"/>
        </w:rPr>
        <w:t xml:space="preserve">  </w:t>
      </w:r>
    </w:p>
    <w:p w14:paraId="137141BB" w14:textId="6F7F069C" w:rsidR="00E813A4" w:rsidRPr="00D63B51" w:rsidRDefault="00E813A4" w:rsidP="00E813A4">
      <w:pPr>
        <w:ind w:left="720" w:right="720"/>
        <w:jc w:val="both"/>
        <w:rPr>
          <w:rFonts w:cs="Times New Roman"/>
        </w:rPr>
      </w:pPr>
      <w:bookmarkStart w:id="43" w:name="_Hlk144624650"/>
      <w:r w:rsidRPr="00D63B51">
        <w:rPr>
          <w:rFonts w:cs="Times New Roman"/>
          <w:b/>
          <w:bCs/>
        </w:rPr>
        <w:t xml:space="preserve">Best Practice MDL-§ </w:t>
      </w:r>
      <w:r w:rsidR="00042565" w:rsidRPr="00D63B51">
        <w:rPr>
          <w:rFonts w:cs="Times New Roman"/>
          <w:b/>
          <w:bCs/>
        </w:rPr>
        <w:t>18</w:t>
      </w:r>
      <w:r w:rsidRPr="00D63B51">
        <w:rPr>
          <w:rFonts w:cs="Times New Roman"/>
          <w:b/>
          <w:bCs/>
        </w:rPr>
        <w:t>(</w:t>
      </w:r>
      <w:r w:rsidR="00042565" w:rsidRPr="00D63B51">
        <w:rPr>
          <w:rFonts w:cs="Times New Roman"/>
          <w:b/>
          <w:bCs/>
        </w:rPr>
        <w:t>c</w:t>
      </w:r>
      <w:r w:rsidRPr="00D63B51">
        <w:rPr>
          <w:rFonts w:cs="Times New Roman"/>
          <w:b/>
          <w:bCs/>
        </w:rPr>
        <w:t>)</w:t>
      </w:r>
      <w:r w:rsidR="00042565" w:rsidRPr="00D63B51">
        <w:rPr>
          <w:rFonts w:cs="Times New Roman"/>
          <w:b/>
          <w:bCs/>
        </w:rPr>
        <w:t>(iii)</w:t>
      </w:r>
      <w:r w:rsidRPr="00D63B51">
        <w:rPr>
          <w:rFonts w:cs="Times New Roman"/>
          <w:b/>
          <w:bCs/>
        </w:rPr>
        <w:t>:</w:t>
      </w:r>
      <w:r w:rsidRPr="00D63B51">
        <w:rPr>
          <w:b/>
          <w:bCs/>
        </w:rPr>
        <w:t xml:space="preserve"> </w:t>
      </w:r>
      <w:r w:rsidRPr="00D63B51">
        <w:rPr>
          <w:rFonts w:cs="Times New Roman"/>
        </w:rPr>
        <w:t xml:space="preserve">The judge </w:t>
      </w:r>
      <w:bookmarkEnd w:id="43"/>
      <w:r w:rsidRPr="00D63B51">
        <w:rPr>
          <w:rFonts w:cs="Times New Roman"/>
        </w:rPr>
        <w:t>presiding over the judicial estimation should consider appointing an expert under Fed. R. Evid. 706 to make findings estimating the aggregate value of the tort claims to assist the court make its rulings and promote the parties’ efforts at reaching consensus.  Permanent No. MDL-§ 7(d).</w:t>
      </w:r>
    </w:p>
    <w:p w14:paraId="7AF36026" w14:textId="77777777" w:rsidR="00E813A4" w:rsidRPr="00D63B51" w:rsidRDefault="00E813A4" w:rsidP="00E813A4">
      <w:pPr>
        <w:ind w:left="720" w:right="720"/>
        <w:jc w:val="both"/>
        <w:rPr>
          <w:rFonts w:cs="Times New Roman"/>
        </w:rPr>
      </w:pPr>
    </w:p>
    <w:p w14:paraId="65BC7B01" w14:textId="77777777" w:rsidR="00E813A4" w:rsidRPr="00D63B51" w:rsidRDefault="00E813A4" w:rsidP="00E813A4">
      <w:pPr>
        <w:spacing w:line="360" w:lineRule="auto"/>
        <w:ind w:firstLine="720"/>
        <w:jc w:val="both"/>
        <w:rPr>
          <w:rFonts w:cs="Times New Roman"/>
        </w:rPr>
      </w:pPr>
      <w:r w:rsidRPr="00D63B51">
        <w:rPr>
          <w:rFonts w:cs="Times New Roman"/>
        </w:rPr>
        <w:t xml:space="preserve">A judicial estimation of the aggregate value of thousands of tort claims is made all the more difficult when the parties’ experts, though highly competent, give widely disparate opinions on the value of the tort claims.  A judge may be better informed in assessing the credibility of well-respected nationally recognized experts on arcane and technical matters outside the judge’s familiarity with assistance. The impartial opinion of a court-appointed expert may provide a neutral view that will assist the judge evaluate the proposed estimates as well as facilitate discussions with parties on achieving a consensus. </w:t>
      </w:r>
    </w:p>
    <w:p w14:paraId="0AC7B01B" w14:textId="77777777" w:rsidR="00E813A4" w:rsidRPr="00D63B51" w:rsidRDefault="00E813A4" w:rsidP="00E813A4">
      <w:pPr>
        <w:spacing w:line="360" w:lineRule="auto"/>
        <w:ind w:firstLine="720"/>
        <w:jc w:val="both"/>
        <w:rPr>
          <w:rFonts w:cs="Times New Roman"/>
        </w:rPr>
      </w:pPr>
      <w:r w:rsidRPr="00D63B51">
        <w:rPr>
          <w:rFonts w:cs="Times New Roman"/>
        </w:rPr>
        <w:t>Under these circumstances, the court may consider appointing an independent expert under Rule 706.</w:t>
      </w:r>
      <w:r w:rsidRPr="00D63B51">
        <w:rPr>
          <w:rStyle w:val="FootnoteReference"/>
          <w:rFonts w:cs="Times New Roman"/>
        </w:rPr>
        <w:t xml:space="preserve"> </w:t>
      </w:r>
      <w:r w:rsidRPr="00D63B51">
        <w:rPr>
          <w:rStyle w:val="FootnoteReference"/>
          <w:rFonts w:cs="Times New Roman"/>
        </w:rPr>
        <w:footnoteReference w:id="403"/>
      </w:r>
      <w:r w:rsidRPr="00D63B51">
        <w:rPr>
          <w:rFonts w:cs="Times New Roman"/>
        </w:rPr>
        <w:t xml:space="preserve">  The judge should also consider appointing a mediator to work with the parties and the Rule 706 expert to “create a climate in which a negotiated resolution is more likely, or the range </w:t>
      </w:r>
      <w:r w:rsidRPr="00D63B51">
        <w:rPr>
          <w:rFonts w:cs="Times New Roman"/>
        </w:rPr>
        <w:lastRenderedPageBreak/>
        <w:t>of expert views is narrowed.”</w:t>
      </w:r>
      <w:r w:rsidRPr="00D63B51">
        <w:rPr>
          <w:rStyle w:val="FootnoteReference"/>
          <w:rFonts w:cs="Times New Roman"/>
        </w:rPr>
        <w:footnoteReference w:id="404"/>
      </w:r>
      <w:r w:rsidRPr="00D63B51">
        <w:rPr>
          <w:rFonts w:cs="Times New Roman"/>
        </w:rPr>
        <w:t xml:space="preserve">  The judicial estimation may require evaluation of substantive law, which may be better addressed by a skilled mediator, rather than a statistician expert in evaluating historical data.  Working together, the mediator and the expert can better inform the judge and the entire judicial-estimation process.</w:t>
      </w:r>
    </w:p>
    <w:p w14:paraId="29BBAE03" w14:textId="77777777" w:rsidR="00E813A4" w:rsidRPr="00D63B51" w:rsidRDefault="00E813A4" w:rsidP="00E813A4">
      <w:pPr>
        <w:spacing w:line="360" w:lineRule="auto"/>
        <w:ind w:firstLine="720"/>
        <w:jc w:val="both"/>
        <w:rPr>
          <w:rFonts w:cs="Times New Roman"/>
        </w:rPr>
      </w:pPr>
      <w:r w:rsidRPr="00D63B51">
        <w:rPr>
          <w:rFonts w:cs="Times New Roman"/>
        </w:rPr>
        <w:t>The expense incurred in compensating a court-appointed expert as well as additional experts hired to collect and analyze the data is substantial.</w:t>
      </w:r>
      <w:r w:rsidRPr="00D63B51">
        <w:rPr>
          <w:rStyle w:val="FootnoteReference"/>
          <w:rFonts w:cs="Times New Roman"/>
        </w:rPr>
        <w:footnoteReference w:id="405"/>
      </w:r>
      <w:r w:rsidRPr="00D63B51">
        <w:rPr>
          <w:rFonts w:cs="Times New Roman"/>
        </w:rPr>
        <w:t xml:space="preserve"> The court should direct the parties to cooperate with the Rule 706 expert and provide relevant information on request.  The court-appointed expert is subject to being deposed by any party, testifying at the evidentiary hearing, and cross-examination at the evidentiary hearing under Rule 706.</w:t>
      </w:r>
    </w:p>
    <w:p w14:paraId="200F7764" w14:textId="77777777" w:rsidR="00E813A4" w:rsidRPr="00D63B51" w:rsidRDefault="00E813A4" w:rsidP="00E813A4">
      <w:pPr>
        <w:spacing w:line="360" w:lineRule="auto"/>
        <w:ind w:firstLine="720"/>
        <w:jc w:val="both"/>
        <w:rPr>
          <w:rFonts w:cs="Times New Roman"/>
        </w:rPr>
      </w:pPr>
      <w:r w:rsidRPr="00D63B51">
        <w:rPr>
          <w:rFonts w:cs="Times New Roman"/>
        </w:rPr>
        <w:t>Depending on the stage of the preceding MDL litigation, the parties may already have amassed enormous amounts of information about the tort claimants and their respective claims and conducted significant investigations and discovery.  Highly competent experts are often hired at heavy expense early in the MDL litigation to provide comprehensive metrics distinguishing claims based on the severity of injury and estimate the value of tort claims as a basis for distinguishing high and low claims.  The parties’ experts typically have produced extensive and comprehensive data, though they are often at odds with each other.</w:t>
      </w:r>
      <w:r w:rsidRPr="00D63B51">
        <w:rPr>
          <w:rStyle w:val="FootnoteReference"/>
          <w:rFonts w:cs="Times New Roman"/>
        </w:rPr>
        <w:footnoteReference w:id="406"/>
      </w:r>
      <w:r w:rsidRPr="00D63B51">
        <w:rPr>
          <w:rFonts w:cs="Times New Roman"/>
        </w:rPr>
        <w:t xml:space="preserve">  </w:t>
      </w:r>
    </w:p>
    <w:p w14:paraId="0C640A0D" w14:textId="77777777" w:rsidR="00E813A4" w:rsidRPr="00D63B51" w:rsidRDefault="00E813A4" w:rsidP="00E813A4">
      <w:pPr>
        <w:spacing w:line="360" w:lineRule="auto"/>
        <w:ind w:firstLine="720"/>
        <w:jc w:val="both"/>
        <w:rPr>
          <w:rFonts w:cs="Times New Roman"/>
        </w:rPr>
      </w:pPr>
      <w:r w:rsidRPr="00D63B51">
        <w:rPr>
          <w:rFonts w:cs="Times New Roman"/>
        </w:rPr>
        <w:t>The parties rely on such information to plan their respective litigation strategies as well as to base their settlement negotiations.  Often, they develop matrices categorizing injuries and assign amounts for specific types of injuries as a basis to negotiate settlement.  These matrices are similar in concept to matrices developed for trust-administration distributions in bankruptcy.</w:t>
      </w:r>
      <w:r w:rsidRPr="00D63B51">
        <w:rPr>
          <w:rStyle w:val="FootnoteReference"/>
          <w:rFonts w:cs="Times New Roman"/>
        </w:rPr>
        <w:footnoteReference w:id="407"/>
      </w:r>
    </w:p>
    <w:p w14:paraId="74E25C93" w14:textId="77777777" w:rsidR="00E813A4" w:rsidRPr="00D63B51" w:rsidRDefault="00E813A4" w:rsidP="00E813A4">
      <w:pPr>
        <w:spacing w:line="360" w:lineRule="auto"/>
        <w:ind w:firstLine="720"/>
        <w:jc w:val="both"/>
        <w:rPr>
          <w:rFonts w:cs="Times New Roman"/>
        </w:rPr>
      </w:pPr>
      <w:r w:rsidRPr="00D63B51">
        <w:rPr>
          <w:rFonts w:cs="Times New Roman"/>
        </w:rPr>
        <w:lastRenderedPageBreak/>
        <w:t>Sharing some or all of the earlier work on estimating the value of the tort claims  with the court-appointed expert at the outset would save cost and reduce the time the expert would otherwise expend if starting from scratch. Perhaps more importantly the sharing of information and ongoing discussions between the expert and the parties could enhance the possibility of a negotiated solution, as the strengths and weaknesses of each side are exposed.</w:t>
      </w:r>
    </w:p>
    <w:p w14:paraId="2B067B06" w14:textId="77777777" w:rsidR="00E813A4" w:rsidRPr="00D63B51" w:rsidRDefault="00E813A4" w:rsidP="00E813A4">
      <w:pPr>
        <w:spacing w:line="360" w:lineRule="auto"/>
        <w:ind w:firstLine="720"/>
        <w:jc w:val="both"/>
        <w:rPr>
          <w:rFonts w:cs="Times New Roman"/>
        </w:rPr>
      </w:pPr>
      <w:r w:rsidRPr="00D63B51">
        <w:rPr>
          <w:rFonts w:cs="Times New Roman"/>
        </w:rPr>
        <w:t>If there is pending or likely litigation challenging the validity of the bankruptcy itself, which may result in the litigation returning to the MDL court, the judge should consider entering a protective order ensuring the confidentiality of the transmitted materials along the lines of Fed. R. Evid. 408(a)(2).</w:t>
      </w:r>
      <w:r w:rsidRPr="00D63B51">
        <w:rPr>
          <w:rStyle w:val="FootnoteReference"/>
          <w:rFonts w:cs="Times New Roman"/>
        </w:rPr>
        <w:footnoteReference w:id="408"/>
      </w:r>
    </w:p>
    <w:p w14:paraId="3B52F69C" w14:textId="6E5AF956" w:rsidR="00F62B2D" w:rsidRPr="00D63B51" w:rsidRDefault="00F62B2D" w:rsidP="00F62B2D">
      <w:pPr>
        <w:ind w:left="720" w:right="720"/>
        <w:jc w:val="both"/>
        <w:rPr>
          <w:rFonts w:cs="Times New Roman"/>
        </w:rPr>
      </w:pPr>
      <w:r w:rsidRPr="00D63B51">
        <w:rPr>
          <w:rFonts w:cs="Times New Roman"/>
          <w:b/>
          <w:bCs/>
        </w:rPr>
        <w:t xml:space="preserve">Best Practice MDL-§ </w:t>
      </w:r>
      <w:r w:rsidR="00F6587C" w:rsidRPr="00D63B51">
        <w:rPr>
          <w:rFonts w:cs="Times New Roman"/>
          <w:b/>
          <w:bCs/>
        </w:rPr>
        <w:t>18</w:t>
      </w:r>
      <w:r w:rsidRPr="00D63B51">
        <w:rPr>
          <w:rFonts w:cs="Times New Roman"/>
          <w:b/>
          <w:bCs/>
        </w:rPr>
        <w:t>(</w:t>
      </w:r>
      <w:r w:rsidR="00F6587C" w:rsidRPr="00D63B51">
        <w:rPr>
          <w:rFonts w:cs="Times New Roman"/>
          <w:b/>
          <w:bCs/>
        </w:rPr>
        <w:t>d</w:t>
      </w:r>
      <w:r w:rsidRPr="00D63B51">
        <w:rPr>
          <w:rFonts w:cs="Times New Roman"/>
          <w:b/>
          <w:bCs/>
        </w:rPr>
        <w:t>):</w:t>
      </w:r>
      <w:r w:rsidRPr="00D63B51">
        <w:rPr>
          <w:b/>
          <w:bCs/>
        </w:rPr>
        <w:t xml:space="preserve"> </w:t>
      </w:r>
      <w:r w:rsidRPr="00D63B51">
        <w:rPr>
          <w:rFonts w:cs="Times New Roman"/>
        </w:rPr>
        <w:t>The judicial estimation of the aggregate value of tort claims should account for the probability that actions in particular categories will be sustainable. Permanent B-10(b)(1)(i).</w:t>
      </w:r>
    </w:p>
    <w:p w14:paraId="78CB89AC" w14:textId="77777777" w:rsidR="00F62B2D" w:rsidRPr="00D63B51" w:rsidRDefault="00F62B2D" w:rsidP="00F62B2D">
      <w:pPr>
        <w:ind w:left="720" w:right="720"/>
        <w:jc w:val="both"/>
        <w:rPr>
          <w:rFonts w:cs="Times New Roman"/>
          <w:b/>
          <w:bCs/>
        </w:rPr>
      </w:pPr>
    </w:p>
    <w:p w14:paraId="336D84DF" w14:textId="77777777" w:rsidR="00F62B2D" w:rsidRPr="00D63B51" w:rsidRDefault="00F62B2D" w:rsidP="00F62B2D">
      <w:pPr>
        <w:spacing w:line="360" w:lineRule="auto"/>
        <w:ind w:firstLine="720"/>
        <w:jc w:val="both"/>
        <w:rPr>
          <w:rFonts w:cs="Times New Roman"/>
        </w:rPr>
      </w:pPr>
      <w:r w:rsidRPr="00D63B51">
        <w:rPr>
          <w:rFonts w:cs="Times New Roman"/>
        </w:rPr>
        <w:t>The estimates of the value of the tort claims are, as a practical matter, ordinarily made on a category basis, grouping related claims by types of disease or injuries and assigning an average value to each category.</w:t>
      </w:r>
      <w:r w:rsidRPr="00D63B51">
        <w:rPr>
          <w:rStyle w:val="FootnoteReference"/>
          <w:rFonts w:cs="Times New Roman"/>
        </w:rPr>
        <w:footnoteReference w:id="409"/>
      </w:r>
      <w:r w:rsidRPr="00D63B51">
        <w:rPr>
          <w:rFonts w:cs="Times New Roman"/>
        </w:rPr>
        <w:t xml:space="preserve">  The probability that actions in a particular category will be sustainable can vary from high to low, depending on the strength of the claim, which is factored into the calculation of the average values.</w:t>
      </w:r>
      <w:r w:rsidRPr="00D63B51">
        <w:rPr>
          <w:rStyle w:val="FootnoteReference"/>
          <w:rFonts w:cs="Times New Roman"/>
        </w:rPr>
        <w:footnoteReference w:id="410"/>
      </w:r>
      <w:r w:rsidRPr="00D63B51">
        <w:rPr>
          <w:rFonts w:cs="Times New Roman"/>
        </w:rPr>
        <w:t xml:space="preserve">  In asbestos mass-tort bankruptcies, for example, extensive </w:t>
      </w:r>
      <w:r w:rsidRPr="00D63B51">
        <w:rPr>
          <w:rFonts w:cs="Times New Roman"/>
        </w:rPr>
        <w:lastRenderedPageBreak/>
        <w:t>settlement histories have traditionally been relied on to estimate the aggregate values of the tort claims.</w:t>
      </w:r>
      <w:r w:rsidRPr="00D63B51">
        <w:rPr>
          <w:rStyle w:val="FootnoteReference"/>
          <w:rFonts w:cs="Times New Roman"/>
        </w:rPr>
        <w:footnoteReference w:id="411"/>
      </w:r>
      <w:r w:rsidRPr="00D63B51">
        <w:rPr>
          <w:rFonts w:cs="Times New Roman"/>
        </w:rPr>
        <w:t xml:space="preserve">  The theory being that the past settlement amounts approximate the value of future claims.  But this theory has been challenged in cases when some debtors have asserted that past settlement amounts do not approximate the value of present claims because the past claims were settled without access to complete information about a claimant’s exposure to other products or settlement amounts received from co-defendants.   </w:t>
      </w:r>
    </w:p>
    <w:p w14:paraId="0B8F1C62" w14:textId="77777777" w:rsidR="00F62B2D" w:rsidRPr="00D63B51" w:rsidRDefault="00F62B2D" w:rsidP="00F62B2D">
      <w:pPr>
        <w:spacing w:line="360" w:lineRule="auto"/>
        <w:ind w:firstLine="720"/>
        <w:jc w:val="both"/>
        <w:rPr>
          <w:rFonts w:cs="Times New Roman"/>
        </w:rPr>
      </w:pPr>
      <w:r w:rsidRPr="00D63B51">
        <w:rPr>
          <w:rFonts w:cs="Times New Roman"/>
        </w:rPr>
        <w:t>The determination of individual claim values is usually left to be decided in post-confirmation proceedings involving a claim-distribution trust. Courts have generally denied attempts to challenge the validity of large numbers of tort claims based on defenses that the debtor asserts.</w:t>
      </w:r>
      <w:r w:rsidRPr="00D63B51">
        <w:rPr>
          <w:rStyle w:val="FootnoteReference"/>
          <w:rFonts w:cs="Times New Roman"/>
        </w:rPr>
        <w:footnoteReference w:id="412"/>
      </w:r>
      <w:r w:rsidRPr="00D63B51">
        <w:rPr>
          <w:rFonts w:cs="Times New Roman"/>
        </w:rPr>
        <w:t xml:space="preserve"> </w:t>
      </w:r>
    </w:p>
    <w:p w14:paraId="0C408604" w14:textId="77777777" w:rsidR="00F62B2D" w:rsidRPr="00D63B51" w:rsidRDefault="00F62B2D" w:rsidP="00F62B2D">
      <w:pPr>
        <w:spacing w:line="360" w:lineRule="auto"/>
        <w:ind w:firstLine="720"/>
        <w:jc w:val="both"/>
        <w:rPr>
          <w:rFonts w:cs="Times New Roman"/>
        </w:rPr>
      </w:pPr>
      <w:r w:rsidRPr="00D63B51">
        <w:rPr>
          <w:rFonts w:cs="Times New Roman"/>
        </w:rPr>
        <w:t xml:space="preserve">That does not mean, however, that the validity of claims in calculating the average values of tort claims is not considered in the judicial estimation. The strength and probability that individual categories of tort claims will be sustainable is a key component of the judicial estimation.  In other words, because the estimated average value of a category of tort claims will reflect the probability of success at trial, the estimation will account for challenges to the validity of the claims. </w:t>
      </w:r>
    </w:p>
    <w:p w14:paraId="2261F397" w14:textId="77777777" w:rsidR="00F62B2D" w:rsidRPr="00D63B51" w:rsidRDefault="00F62B2D" w:rsidP="00F62B2D">
      <w:pPr>
        <w:spacing w:line="360" w:lineRule="auto"/>
        <w:ind w:firstLine="720"/>
        <w:jc w:val="both"/>
        <w:rPr>
          <w:rFonts w:cs="Times New Roman"/>
          <w:b/>
          <w:bCs/>
        </w:rPr>
      </w:pPr>
      <w:r w:rsidRPr="00D63B51">
        <w:rPr>
          <w:rFonts w:cs="Times New Roman"/>
        </w:rPr>
        <w:t>For example, historically, a significant percentage of the thousands of actions filed in an individual mass-tort MDL are not infrequently unsupportable, because the plaintiffs did not use the relevant product or did not suffer the alleged injuries, or the applicable statute of limitations had run.</w:t>
      </w:r>
      <w:r w:rsidRPr="00D63B51">
        <w:rPr>
          <w:rStyle w:val="FootnoteReference"/>
          <w:rFonts w:cs="Times New Roman"/>
        </w:rPr>
        <w:footnoteReference w:id="413"/>
      </w:r>
      <w:r w:rsidRPr="00D63B51">
        <w:rPr>
          <w:rFonts w:cs="Times New Roman"/>
        </w:rPr>
        <w:t xml:space="preserve"> Another example included a category of a new type of tort claims filed after the MDL was brought into bankruptcy, which the creditors committee asserted were nuisance-settlement claims and virtually valueless.</w:t>
      </w:r>
      <w:r w:rsidRPr="00D63B51">
        <w:rPr>
          <w:rStyle w:val="FootnoteReference"/>
          <w:rFonts w:cs="Times New Roman"/>
        </w:rPr>
        <w:footnoteReference w:id="414"/>
      </w:r>
      <w:r w:rsidRPr="00D63B51">
        <w:rPr>
          <w:rFonts w:cs="Times New Roman"/>
        </w:rPr>
        <w:t xml:space="preserve"> Yet another example involved assertions by the debtor that intervening scientific studies and other developments superseded the validity of the earlier </w:t>
      </w:r>
      <w:r w:rsidRPr="00D63B51">
        <w:rPr>
          <w:rFonts w:cs="Times New Roman"/>
        </w:rPr>
        <w:lastRenderedPageBreak/>
        <w:t>settlements of particular categories of claims.</w:t>
      </w:r>
      <w:r w:rsidRPr="00D63B51">
        <w:rPr>
          <w:rStyle w:val="FootnoteReference"/>
          <w:rFonts w:cs="Times New Roman"/>
        </w:rPr>
        <w:t xml:space="preserve"> </w:t>
      </w:r>
      <w:r w:rsidRPr="00D63B51">
        <w:rPr>
          <w:rStyle w:val="FootnoteReference"/>
          <w:rFonts w:cs="Times New Roman"/>
        </w:rPr>
        <w:footnoteReference w:id="415"/>
      </w:r>
      <w:r w:rsidRPr="00D63B51">
        <w:rPr>
          <w:rFonts w:cs="Times New Roman"/>
        </w:rPr>
        <w:t xml:space="preserve">  These examples have in common challenges to the validity or merits of selected categories of tort claims, which would be accounted for in the judicial estimation. </w:t>
      </w:r>
    </w:p>
    <w:p w14:paraId="22CA9ACF" w14:textId="037AF8C2" w:rsidR="00F62B2D" w:rsidRPr="00D63B51" w:rsidRDefault="00F62B2D" w:rsidP="004C69EF">
      <w:pPr>
        <w:ind w:left="720" w:right="720"/>
        <w:jc w:val="both"/>
        <w:rPr>
          <w:b/>
          <w:bCs/>
        </w:rPr>
      </w:pPr>
      <w:r w:rsidRPr="00D63B51">
        <w:rPr>
          <w:rFonts w:cs="Times New Roman"/>
          <w:b/>
          <w:bCs/>
        </w:rPr>
        <w:t xml:space="preserve">Best Practice MDL-§ </w:t>
      </w:r>
      <w:r w:rsidR="00317257" w:rsidRPr="00D63B51">
        <w:rPr>
          <w:rFonts w:cs="Times New Roman"/>
          <w:b/>
          <w:bCs/>
        </w:rPr>
        <w:t>18</w:t>
      </w:r>
      <w:r w:rsidRPr="00D63B51">
        <w:rPr>
          <w:rFonts w:cs="Times New Roman"/>
          <w:b/>
          <w:bCs/>
        </w:rPr>
        <w:t>(</w:t>
      </w:r>
      <w:r w:rsidR="00317257" w:rsidRPr="00D63B51">
        <w:rPr>
          <w:rFonts w:cs="Times New Roman"/>
          <w:b/>
          <w:bCs/>
        </w:rPr>
        <w:t>e</w:t>
      </w:r>
      <w:r w:rsidRPr="00D63B51">
        <w:rPr>
          <w:rFonts w:cs="Times New Roman"/>
          <w:b/>
          <w:bCs/>
        </w:rPr>
        <w:t>):</w:t>
      </w:r>
      <w:r w:rsidRPr="00D63B51">
        <w:rPr>
          <w:b/>
          <w:bCs/>
        </w:rPr>
        <w:t xml:space="preserve"> </w:t>
      </w:r>
      <w:r w:rsidRPr="00D63B51">
        <w:rPr>
          <w:rFonts w:cs="Times New Roman"/>
        </w:rPr>
        <w:t>The bankruptcy judge should consider the general probability of certain defenses being successful against categories or large numbers of claims in the judicial estimation, instead of making dispositive rulings on the tort claims. Permanent MDL-§ 7(b)(i)(A).</w:t>
      </w:r>
      <w:r w:rsidRPr="00D63B51">
        <w:rPr>
          <w:b/>
          <w:bCs/>
        </w:rPr>
        <w:t xml:space="preserve"> </w:t>
      </w:r>
    </w:p>
    <w:p w14:paraId="51A1BE75" w14:textId="77777777" w:rsidR="00F62B2D" w:rsidRPr="00D63B51" w:rsidRDefault="00F62B2D" w:rsidP="00F62B2D">
      <w:pPr>
        <w:ind w:left="720" w:right="720" w:firstLine="720"/>
        <w:jc w:val="both"/>
        <w:rPr>
          <w:b/>
          <w:bCs/>
        </w:rPr>
      </w:pPr>
    </w:p>
    <w:p w14:paraId="45145E61" w14:textId="77777777" w:rsidR="00F62B2D" w:rsidRPr="00D63B51" w:rsidRDefault="00F62B2D" w:rsidP="00F62B2D">
      <w:pPr>
        <w:spacing w:line="360" w:lineRule="auto"/>
        <w:ind w:firstLine="720"/>
        <w:jc w:val="both"/>
        <w:rPr>
          <w:rFonts w:cs="Times New Roman"/>
        </w:rPr>
      </w:pPr>
      <w:r w:rsidRPr="00D63B51">
        <w:rPr>
          <w:rFonts w:cs="Times New Roman"/>
        </w:rPr>
        <w:t>“Normally the allowance of claims and their estimation are core matters that the bankruptcy judge may determine.”</w:t>
      </w:r>
      <w:r w:rsidRPr="00D63B51">
        <w:rPr>
          <w:rStyle w:val="FootnoteReference"/>
          <w:rFonts w:cs="Times New Roman"/>
        </w:rPr>
        <w:footnoteReference w:id="416"/>
      </w:r>
      <w:r w:rsidRPr="00D63B51">
        <w:rPr>
          <w:rFonts w:cs="Times New Roman"/>
        </w:rPr>
        <w:t xml:space="preserve"> But rulings on a debtor’s objections to specific tort claims either individually or on an aggregated basis may raise questions about the bankruptcy judge’s authority to rule on these matters. The governing statutory provisions exclude from the list of core matters “the liquidation or estimation of contingent or unliquidated personal injury tort or wrongful death claims against the estate for purposes of distribution in a case under Chapter 11.”</w:t>
      </w:r>
      <w:r w:rsidRPr="00D63B51">
        <w:rPr>
          <w:rStyle w:val="FootnoteReference"/>
          <w:rFonts w:cs="Times New Roman"/>
        </w:rPr>
        <w:footnoteReference w:id="417"/>
      </w:r>
      <w:r w:rsidRPr="00D63B51">
        <w:rPr>
          <w:rFonts w:cs="Times New Roman"/>
        </w:rPr>
        <w:t xml:space="preserve">  Nonetheless, courts have agreed “that these statutory restrictions do not prevent a bankruptcy judge from estimating the value of tort claims for purposes of the negotiation and confirmation of a reorganization plan, even if the maximum aggregate payment to tort claimants will be based on this estimate.”</w:t>
      </w:r>
      <w:r w:rsidRPr="00D63B51">
        <w:rPr>
          <w:rStyle w:val="FootnoteReference"/>
          <w:rFonts w:cs="Times New Roman"/>
        </w:rPr>
        <w:footnoteReference w:id="418"/>
      </w:r>
      <w:r w:rsidRPr="00D63B51">
        <w:rPr>
          <w:rFonts w:cs="Times New Roman"/>
        </w:rPr>
        <w:t xml:space="preserve"> </w:t>
      </w:r>
    </w:p>
    <w:p w14:paraId="39757AD7" w14:textId="77777777" w:rsidR="00F62B2D" w:rsidRPr="00D63B51" w:rsidRDefault="00F62B2D" w:rsidP="00F62B2D">
      <w:pPr>
        <w:spacing w:line="360" w:lineRule="auto"/>
        <w:ind w:firstLine="720"/>
        <w:jc w:val="both"/>
        <w:rPr>
          <w:rFonts w:cs="Times New Roman"/>
        </w:rPr>
      </w:pPr>
      <w:r w:rsidRPr="00D63B51">
        <w:rPr>
          <w:rFonts w:cs="Times New Roman"/>
        </w:rPr>
        <w:t>The judge may be called upon to rule on defenses to large categories of claims that would dispose of the claims entirely as part of the judge’s allowance determination.  Ruling on the validity of a category of tort claims in the judicial estimation would open the door to potential re-litigation of issues that were earlier decided in the mass-tort MDL, raising difficult estoppel issues.  On the other hand, the debtor has the right to present new evidence on the true worth of tort claims, which it believes supersedes earlier rulings.</w:t>
      </w:r>
      <w:r w:rsidRPr="00D63B51">
        <w:rPr>
          <w:rStyle w:val="FootnoteReference"/>
          <w:rFonts w:cs="Times New Roman"/>
        </w:rPr>
        <w:t xml:space="preserve"> </w:t>
      </w:r>
      <w:r w:rsidRPr="00D63B51">
        <w:rPr>
          <w:rStyle w:val="FootnoteReference"/>
          <w:rFonts w:cs="Times New Roman"/>
        </w:rPr>
        <w:footnoteReference w:id="419"/>
      </w:r>
      <w:r w:rsidRPr="00D63B51">
        <w:rPr>
          <w:rFonts w:cs="Times New Roman"/>
        </w:rPr>
        <w:t xml:space="preserve">  At this point “the judge will have to rule on any defenses </w:t>
      </w:r>
      <w:r w:rsidRPr="00D63B51">
        <w:rPr>
          <w:rFonts w:cs="Times New Roman"/>
        </w:rPr>
        <w:lastRenderedPageBreak/>
        <w:t>the debtor raises that could affect the overall value of the claims.  An adjudication of this type is fraught with procedural complexities.”</w:t>
      </w:r>
      <w:r w:rsidRPr="00D63B51">
        <w:rPr>
          <w:rStyle w:val="FootnoteReference"/>
          <w:rFonts w:cs="Times New Roman"/>
        </w:rPr>
        <w:footnoteReference w:id="420"/>
      </w:r>
      <w:r w:rsidRPr="00D63B51">
        <w:rPr>
          <w:rFonts w:cs="Times New Roman"/>
        </w:rPr>
        <w:t xml:space="preserve"> </w:t>
      </w:r>
    </w:p>
    <w:p w14:paraId="6AF66E82" w14:textId="77777777" w:rsidR="00F62B2D" w:rsidRPr="00D63B51" w:rsidRDefault="00F62B2D" w:rsidP="00F62B2D">
      <w:pPr>
        <w:spacing w:line="360" w:lineRule="auto"/>
        <w:ind w:firstLine="720"/>
        <w:jc w:val="both"/>
        <w:rPr>
          <w:rFonts w:cs="Times New Roman"/>
        </w:rPr>
      </w:pPr>
      <w:r w:rsidRPr="00D63B51">
        <w:rPr>
          <w:rFonts w:cs="Times New Roman"/>
        </w:rPr>
        <w:t xml:space="preserve">In most mass-tort bankruptcies, it will be more appropriate to limit consideration of the validity of claims in the judicial-estimation process to calculating an appropriate probability of success, rather than ruling dispositively on matters that affect all the claims.  Similar considerations frequently arise in mass-tort MDLs when most MDL transferee judges have rejected dispositive defenses that would eliminate all claims in a mature MDL.   </w:t>
      </w:r>
    </w:p>
    <w:p w14:paraId="0AFA5A5B" w14:textId="77777777" w:rsidR="00F62B2D" w:rsidRPr="00D63B51" w:rsidRDefault="00F62B2D" w:rsidP="00F62B2D">
      <w:pPr>
        <w:spacing w:line="360" w:lineRule="auto"/>
        <w:ind w:firstLine="720"/>
        <w:jc w:val="both"/>
        <w:rPr>
          <w:rFonts w:cs="Times New Roman"/>
        </w:rPr>
      </w:pPr>
      <w:r w:rsidRPr="00D63B51">
        <w:rPr>
          <w:rFonts w:cs="Times New Roman"/>
        </w:rPr>
        <w:t>A court is on strong grounds if it limits the judicial estimation to determining the probability of a successful defense, no matter if it is 0 percent or 100 percent. The parties’ right to raise dispositive defenses will still be honored, but on an individual-case basis. Such an approach is consistent with the limited purpose of the judicial estimation, which is not intended to determine liability or the amount of distribution. It is also consistent with the provisional nature of judicial estimation, which is subject to approval by the claimants.</w:t>
      </w:r>
      <w:r w:rsidRPr="00D63B51">
        <w:rPr>
          <w:rStyle w:val="FootnoteReference"/>
          <w:rFonts w:cs="Times New Roman"/>
        </w:rPr>
        <w:footnoteReference w:id="421"/>
      </w:r>
      <w:r w:rsidRPr="00D63B51">
        <w:rPr>
          <w:rFonts w:cs="Times New Roman"/>
        </w:rPr>
        <w:t xml:space="preserve">  </w:t>
      </w:r>
    </w:p>
    <w:p w14:paraId="76585BE0" w14:textId="10457131" w:rsidR="00F62B2D" w:rsidRPr="00D63B51" w:rsidRDefault="00F62B2D" w:rsidP="00F62B2D">
      <w:pPr>
        <w:ind w:left="720" w:right="720"/>
        <w:jc w:val="both"/>
        <w:rPr>
          <w:rFonts w:cs="Times New Roman"/>
        </w:rPr>
      </w:pPr>
      <w:r w:rsidRPr="00D63B51">
        <w:rPr>
          <w:rFonts w:cs="Times New Roman"/>
          <w:b/>
          <w:bCs/>
        </w:rPr>
        <w:t xml:space="preserve">Best Practice MDL-§ </w:t>
      </w:r>
      <w:r w:rsidR="00EA6A84" w:rsidRPr="00D63B51">
        <w:rPr>
          <w:rFonts w:cs="Times New Roman"/>
          <w:b/>
          <w:bCs/>
        </w:rPr>
        <w:t>18</w:t>
      </w:r>
      <w:r w:rsidRPr="00D63B51">
        <w:rPr>
          <w:rFonts w:cs="Times New Roman"/>
          <w:b/>
          <w:bCs/>
        </w:rPr>
        <w:t>(</w:t>
      </w:r>
      <w:r w:rsidR="00EA6A84" w:rsidRPr="00D63B51">
        <w:rPr>
          <w:rFonts w:cs="Times New Roman"/>
          <w:b/>
          <w:bCs/>
        </w:rPr>
        <w:t>f</w:t>
      </w:r>
      <w:r w:rsidRPr="00D63B51">
        <w:rPr>
          <w:rFonts w:cs="Times New Roman"/>
          <w:b/>
          <w:bCs/>
        </w:rPr>
        <w:t>):</w:t>
      </w:r>
      <w:r w:rsidRPr="00D63B51">
        <w:rPr>
          <w:b/>
          <w:bCs/>
        </w:rPr>
        <w:t xml:space="preserve"> </w:t>
      </w:r>
      <w:r w:rsidRPr="00D63B51">
        <w:rPr>
          <w:rFonts w:cs="Times New Roman"/>
        </w:rPr>
        <w:t>The judge presiding over the judicial estimation should explain its reason for reaching its conclusions in its findings. Permanent No. MDL-§ 7(e).</w:t>
      </w:r>
    </w:p>
    <w:p w14:paraId="36C9A406" w14:textId="77777777" w:rsidR="00F62B2D" w:rsidRPr="00D63B51" w:rsidRDefault="00F62B2D" w:rsidP="00F62B2D">
      <w:pPr>
        <w:ind w:left="720" w:right="720"/>
        <w:jc w:val="both"/>
        <w:rPr>
          <w:rFonts w:cs="Times New Roman"/>
        </w:rPr>
      </w:pPr>
    </w:p>
    <w:p w14:paraId="70A65990" w14:textId="77777777" w:rsidR="00F62B2D" w:rsidRPr="00D63B51" w:rsidRDefault="00F62B2D" w:rsidP="00F62B2D">
      <w:pPr>
        <w:spacing w:line="360" w:lineRule="auto"/>
        <w:ind w:firstLine="720"/>
        <w:jc w:val="both"/>
        <w:rPr>
          <w:rFonts w:cs="Times New Roman"/>
        </w:rPr>
      </w:pPr>
      <w:r w:rsidRPr="00D63B51">
        <w:rPr>
          <w:rFonts w:cs="Times New Roman"/>
        </w:rPr>
        <w:t xml:space="preserve">The judge should make findings about the estimation of the aggregate value of tort claims based on all the evidence offered at the estimation hearing, including the report of any Rule 706 expert. The judge will rely on those findings in evaluating the proposed reorganization plan and eligibility of those voting on it.   But the judge’s findings serve an equally important purpose in helping the parties negotiate a consensual reorganization plan.  The weight and persuasive power of the judge’s findings will be more influential if the rationale is revealed.   </w:t>
      </w:r>
    </w:p>
    <w:p w14:paraId="57C8268F" w14:textId="45BC69B9" w:rsidR="001E7939" w:rsidRPr="00D63B51" w:rsidRDefault="001E7939" w:rsidP="001E7939">
      <w:pPr>
        <w:jc w:val="both"/>
        <w:rPr>
          <w:rFonts w:cs="Times New Roman"/>
        </w:rPr>
      </w:pPr>
      <w:r w:rsidRPr="00D63B51">
        <w:rPr>
          <w:rFonts w:cs="Times New Roman"/>
          <w:b/>
          <w:bCs/>
          <w:u w:val="single"/>
        </w:rPr>
        <w:lastRenderedPageBreak/>
        <w:t xml:space="preserve">GUIDELINE MDL-§ </w:t>
      </w:r>
      <w:r w:rsidR="00EA6A84" w:rsidRPr="00D63B51">
        <w:rPr>
          <w:rFonts w:cs="Times New Roman"/>
          <w:b/>
          <w:bCs/>
          <w:u w:val="single"/>
        </w:rPr>
        <w:t>19</w:t>
      </w:r>
      <w:r w:rsidRPr="00D63B51">
        <w:rPr>
          <w:rFonts w:cs="Times New Roman"/>
          <w:b/>
          <w:bCs/>
        </w:rPr>
        <w:t>:</w:t>
      </w:r>
      <w:r w:rsidRPr="00D63B51">
        <w:rPr>
          <w:rFonts w:cs="Times New Roman"/>
        </w:rPr>
        <w:t xml:space="preserve"> Under the Bankruptcy Code, the district court can wholly or partially withdraw the reference from the bankruptcy judge. Permanent No. MDL-§ 7.</w:t>
      </w:r>
    </w:p>
    <w:p w14:paraId="347C163D" w14:textId="77777777" w:rsidR="001E7939" w:rsidRPr="00D63B51" w:rsidRDefault="001E7939" w:rsidP="001E7939">
      <w:pPr>
        <w:ind w:left="720" w:right="720"/>
        <w:jc w:val="both"/>
        <w:rPr>
          <w:rFonts w:cs="Times New Roman"/>
        </w:rPr>
      </w:pPr>
    </w:p>
    <w:p w14:paraId="176DF748" w14:textId="77777777" w:rsidR="001E7939" w:rsidRPr="00D63B51" w:rsidRDefault="001E7939" w:rsidP="001E7939">
      <w:pPr>
        <w:spacing w:line="360" w:lineRule="auto"/>
        <w:ind w:firstLine="720"/>
        <w:jc w:val="both"/>
        <w:rPr>
          <w:rFonts w:cs="Times New Roman"/>
        </w:rPr>
      </w:pPr>
      <w:r w:rsidRPr="00D63B51">
        <w:rPr>
          <w:rFonts w:cs="Times New Roman"/>
        </w:rPr>
        <w:t>“Withdrawals often retain in the district court matters relating to the estimation and resolution of mass tort liability.”</w:t>
      </w:r>
      <w:r w:rsidRPr="00D63B51">
        <w:rPr>
          <w:rStyle w:val="FootnoteReference"/>
          <w:rFonts w:cs="Times New Roman"/>
        </w:rPr>
        <w:footnoteReference w:id="422"/>
      </w:r>
      <w:r w:rsidRPr="00D63B51">
        <w:rPr>
          <w:rFonts w:cs="Times New Roman"/>
        </w:rPr>
        <w:t xml:space="preserve"> Most of these withdrawals were in mass-tort asbestos bankruptcies.</w:t>
      </w:r>
    </w:p>
    <w:p w14:paraId="70B445D1" w14:textId="30C6007A" w:rsidR="001E7939" w:rsidRPr="00D63B51" w:rsidRDefault="001E7939" w:rsidP="001E7939">
      <w:pPr>
        <w:ind w:left="720" w:right="720"/>
        <w:jc w:val="both"/>
        <w:rPr>
          <w:rFonts w:cs="Times New Roman"/>
        </w:rPr>
      </w:pPr>
      <w:r w:rsidRPr="00D63B51">
        <w:rPr>
          <w:rFonts w:cs="Times New Roman"/>
          <w:b/>
          <w:bCs/>
        </w:rPr>
        <w:t xml:space="preserve">Best Practice MDL-§ </w:t>
      </w:r>
      <w:r w:rsidR="00970FF3" w:rsidRPr="00D63B51">
        <w:rPr>
          <w:rFonts w:cs="Times New Roman"/>
          <w:b/>
          <w:bCs/>
        </w:rPr>
        <w:t>19</w:t>
      </w:r>
      <w:r w:rsidRPr="00D63B51">
        <w:rPr>
          <w:rFonts w:cs="Times New Roman"/>
          <w:b/>
          <w:bCs/>
        </w:rPr>
        <w:t>(a):</w:t>
      </w:r>
      <w:r w:rsidRPr="00D63B51">
        <w:rPr>
          <w:b/>
          <w:bCs/>
        </w:rPr>
        <w:t xml:space="preserve"> </w:t>
      </w:r>
      <w:r w:rsidRPr="00D63B51">
        <w:rPr>
          <w:rFonts w:cs="Times New Roman"/>
        </w:rPr>
        <w:t>The district court and the bankruptcy court should consult each other when the district court is considering whether to partially withdraw the reference dealing with the judicial estimation and discuss whether the withdrawal would further the judicial administration of the bankruptcy.  Permanent No. MDL-§ 7(a).</w:t>
      </w:r>
    </w:p>
    <w:p w14:paraId="4EE759C3" w14:textId="77777777" w:rsidR="001E7939" w:rsidRPr="00D63B51" w:rsidRDefault="001E7939" w:rsidP="001E7939">
      <w:pPr>
        <w:ind w:left="720" w:right="720"/>
        <w:jc w:val="both"/>
        <w:rPr>
          <w:rFonts w:cs="Times New Roman"/>
        </w:rPr>
      </w:pPr>
    </w:p>
    <w:p w14:paraId="1C6B6AFA" w14:textId="77777777" w:rsidR="001E7939" w:rsidRPr="00D63B51" w:rsidRDefault="001E7939" w:rsidP="001E7939">
      <w:pPr>
        <w:spacing w:line="360" w:lineRule="auto"/>
        <w:ind w:firstLine="720"/>
        <w:jc w:val="both"/>
        <w:rPr>
          <w:rFonts w:cs="Times New Roman"/>
        </w:rPr>
      </w:pPr>
      <w:r w:rsidRPr="00D63B51">
        <w:rPr>
          <w:rFonts w:cs="Times New Roman"/>
        </w:rPr>
        <w:t xml:space="preserve">District judges in general have deep knowledge and experience dealing with article III tort actions.  They are accustomed to </w:t>
      </w:r>
      <w:r w:rsidRPr="00D63B51">
        <w:rPr>
          <w:rFonts w:cs="Times New Roman"/>
          <w:i/>
          <w:iCs/>
        </w:rPr>
        <w:t>Daubert</w:t>
      </w:r>
      <w:r w:rsidRPr="00D63B51">
        <w:rPr>
          <w:rFonts w:cs="Times New Roman"/>
        </w:rPr>
        <w:t>-type disputes and ruling on divergent testimony from highly qualified experts, which strengthens the justification for the partial withdrawal of the reference. In addition, assigning the judicial estimation to the MDL transferee judge if within the district has many advantages.</w:t>
      </w:r>
    </w:p>
    <w:p w14:paraId="5FF3CA31" w14:textId="77777777" w:rsidR="001E7939" w:rsidRPr="00D63B51" w:rsidRDefault="001E7939" w:rsidP="001E7939">
      <w:pPr>
        <w:spacing w:line="360" w:lineRule="auto"/>
        <w:ind w:firstLine="720"/>
        <w:jc w:val="both"/>
        <w:rPr>
          <w:rFonts w:cs="Times New Roman"/>
        </w:rPr>
      </w:pPr>
      <w:r w:rsidRPr="00D63B51">
        <w:rPr>
          <w:rFonts w:cs="Times New Roman"/>
        </w:rPr>
        <w:t xml:space="preserve">Depending upon the stage of the MDL litigation when it was brought into bankruptcy, the MDL transferee judge may have developed a strong grasp of the tort claims and their value.  </w:t>
      </w:r>
      <w:r w:rsidRPr="00D63B51">
        <w:rPr>
          <w:rFonts w:cs="Times New Roman"/>
          <w:shd w:val="clear" w:color="auto" w:fill="FFFFFF"/>
        </w:rPr>
        <w:t>If the bankruptcy is litigated in the same district where the MDL was litigated and the district court withdraws the judicial estimation from the reference to the bankruptcy judge, the MDL transferee judge would be in good position to preside over the judicial-estimation hearing because of their past experience with the tort claims.</w:t>
      </w:r>
      <w:r w:rsidRPr="00D63B51">
        <w:rPr>
          <w:sz w:val="27"/>
          <w:szCs w:val="27"/>
          <w:shd w:val="clear" w:color="auto" w:fill="FFFFFF"/>
        </w:rPr>
        <w:t> </w:t>
      </w:r>
    </w:p>
    <w:p w14:paraId="26A09DAF" w14:textId="77777777" w:rsidR="001E7939" w:rsidRPr="00D63B51" w:rsidRDefault="001E7939" w:rsidP="001E7939">
      <w:pPr>
        <w:spacing w:line="360" w:lineRule="auto"/>
        <w:ind w:firstLine="720"/>
        <w:jc w:val="both"/>
        <w:rPr>
          <w:rFonts w:cs="Times New Roman"/>
        </w:rPr>
      </w:pPr>
      <w:r w:rsidRPr="00D63B51">
        <w:rPr>
          <w:rFonts w:cs="Times New Roman"/>
        </w:rPr>
        <w:t>The MDL transferee judge can also “help lay the groundwork for estimating the tort claims by using different techniques, including the following: conducting trials of representative bellwether cases…and conducting trials of specific issues to resolve a disputed common issue (e.g., general causation).”</w:t>
      </w:r>
      <w:r w:rsidRPr="00D63B51">
        <w:rPr>
          <w:rStyle w:val="FootnoteReference"/>
          <w:rFonts w:cs="Times New Roman"/>
        </w:rPr>
        <w:footnoteReference w:id="423"/>
      </w:r>
      <w:r w:rsidRPr="00D63B51">
        <w:rPr>
          <w:rFonts w:cs="Times New Roman"/>
        </w:rPr>
        <w:t xml:space="preserve"> On the other hand, although holding bellwether trials in a select number of cases might lead to a global resolution, more often it only adds years and no resolution is achieved as may be evidenced in the mass-tort MDL litigation itself.  </w:t>
      </w:r>
    </w:p>
    <w:p w14:paraId="7ACDFAEB" w14:textId="77777777" w:rsidR="001E7939" w:rsidRPr="00D63B51" w:rsidRDefault="001E7939" w:rsidP="001E7939">
      <w:pPr>
        <w:spacing w:line="360" w:lineRule="auto"/>
        <w:ind w:firstLine="720"/>
        <w:jc w:val="both"/>
        <w:rPr>
          <w:rFonts w:cs="Times New Roman"/>
        </w:rPr>
      </w:pPr>
      <w:r w:rsidRPr="00D63B51">
        <w:rPr>
          <w:rFonts w:cs="Times New Roman"/>
        </w:rPr>
        <w:t xml:space="preserve">But because mass-tort bankruptcies, other than those involving asbestos claims, are subject to much controversy about the legitimacy of seeking bankruptcy relief, the likelihood of litigation </w:t>
      </w:r>
      <w:r w:rsidRPr="00D63B51">
        <w:rPr>
          <w:rFonts w:cs="Times New Roman"/>
        </w:rPr>
        <w:lastRenderedPageBreak/>
        <w:t xml:space="preserve">challenging the validity of the bankruptcy is more pronounced.  Consequently, although the MDL transferee judge may be in a good position to consider the estimation of the tort claims, the possibility that the bankruptcy action may be dismissed, and the litigation returned to the transferee judge, must be considered. Under such circumstances, the MDL transferee judge might be placed in an awkward position calling into question the judge’s impartiality, ruling on matters earlier considered in the bankruptcy.  </w:t>
      </w:r>
    </w:p>
    <w:p w14:paraId="4B1FF9FD" w14:textId="77777777" w:rsidR="001E7939" w:rsidRPr="00D63B51" w:rsidRDefault="001E7939" w:rsidP="001E7939">
      <w:pPr>
        <w:spacing w:line="360" w:lineRule="auto"/>
        <w:ind w:firstLine="720"/>
        <w:jc w:val="both"/>
        <w:rPr>
          <w:rFonts w:cs="Times New Roman"/>
        </w:rPr>
      </w:pPr>
      <w:r w:rsidRPr="00D63B51">
        <w:rPr>
          <w:rFonts w:cs="Times New Roman"/>
        </w:rPr>
        <w:t xml:space="preserve">To avoid this result, the district court can assign the judicial estimation proceedings to another district judge within the district.  But like a bankruptcy judge, the district judge will not have had first-hand experience with the mass-tort MDL. On the other hand, the bankruptcy judge may have extensive experience with experts estimating the present and future values of businesses as well as tort claims.  Moreover, the rulings in the judicial-estimation proceeding will be integral to the bankruptcy judge’s rulings on the feasibility and administration of the bankruptcy and require much coordination if assigned to a district judge.  </w:t>
      </w:r>
    </w:p>
    <w:p w14:paraId="24C6390D" w14:textId="77777777" w:rsidR="001E7939" w:rsidRPr="00D63B51" w:rsidRDefault="001E7939" w:rsidP="001E7939">
      <w:pPr>
        <w:spacing w:line="360" w:lineRule="auto"/>
        <w:ind w:firstLine="720"/>
        <w:jc w:val="both"/>
        <w:rPr>
          <w:rFonts w:cs="Times New Roman"/>
        </w:rPr>
      </w:pPr>
      <w:r w:rsidRPr="00D63B51">
        <w:rPr>
          <w:rFonts w:cs="Times New Roman"/>
        </w:rPr>
        <w:t>The district court should weigh the tradeoffs in assigning the matter to a district or a bankruptcy judge, which will depend on, among other things, the experiences of the individual judges and the stage of the MDL. If the district judge is assigned the matter, in some bankruptcy cases, the bankruptcy and district judges have held hearings following a partial withdrawal of the reference, at which they presided jointly and after which they issued joint rulings.</w:t>
      </w:r>
      <w:r w:rsidRPr="00D63B51">
        <w:rPr>
          <w:rStyle w:val="FootnoteReference"/>
          <w:rFonts w:cs="Times New Roman"/>
        </w:rPr>
        <w:footnoteReference w:id="424"/>
      </w:r>
      <w:r w:rsidRPr="00D63B51">
        <w:rPr>
          <w:rFonts w:cs="Times New Roman"/>
        </w:rPr>
        <w:t xml:space="preserve"> </w:t>
      </w:r>
    </w:p>
    <w:p w14:paraId="38C6CBEB" w14:textId="0997621A" w:rsidR="00F62B2D" w:rsidRPr="00D63B51" w:rsidRDefault="00F62B2D" w:rsidP="00B52644">
      <w:pPr>
        <w:jc w:val="both"/>
        <w:rPr>
          <w:b/>
          <w:bCs/>
        </w:rPr>
      </w:pPr>
      <w:r w:rsidRPr="00D63B51">
        <w:rPr>
          <w:b/>
          <w:bCs/>
          <w:u w:val="single"/>
        </w:rPr>
        <w:t xml:space="preserve">GUIDELINE </w:t>
      </w:r>
      <w:r w:rsidRPr="00D63B51">
        <w:rPr>
          <w:rFonts w:cs="Times New Roman"/>
          <w:b/>
          <w:bCs/>
          <w:u w:val="single"/>
        </w:rPr>
        <w:t xml:space="preserve">MDL-§ </w:t>
      </w:r>
      <w:r w:rsidR="00B52644" w:rsidRPr="00D63B51">
        <w:rPr>
          <w:rFonts w:cs="Times New Roman"/>
          <w:b/>
          <w:bCs/>
          <w:u w:val="single"/>
        </w:rPr>
        <w:t>2</w:t>
      </w:r>
      <w:r w:rsidR="00970FF3" w:rsidRPr="00D63B51">
        <w:rPr>
          <w:rFonts w:cs="Times New Roman"/>
          <w:b/>
          <w:bCs/>
          <w:u w:val="single"/>
        </w:rPr>
        <w:t>0</w:t>
      </w:r>
      <w:r w:rsidRPr="00D63B51">
        <w:rPr>
          <w:rFonts w:cs="Times New Roman"/>
          <w:b/>
          <w:bCs/>
        </w:rPr>
        <w:t>:</w:t>
      </w:r>
      <w:r w:rsidRPr="00D63B51">
        <w:rPr>
          <w:b/>
          <w:bCs/>
        </w:rPr>
        <w:t xml:space="preserve"> </w:t>
      </w:r>
      <w:r w:rsidRPr="00D63B51">
        <w:t>Plaintiff lead counsel in a mass-tort MDL typically spend substantial sums upfront to pay for expenses in the ongoing MDL litigation, which are potentially recouped from each tort-claimant on a percentage basis.</w:t>
      </w:r>
      <w:r w:rsidRPr="00D63B51">
        <w:rPr>
          <w:rFonts w:cs="Times New Roman"/>
        </w:rPr>
        <w:t xml:space="preserve"> Permanent No. MDL-§ 8.</w:t>
      </w:r>
      <w:r w:rsidRPr="00D63B51">
        <w:rPr>
          <w:b/>
          <w:bCs/>
        </w:rPr>
        <w:t xml:space="preserve"> </w:t>
      </w:r>
    </w:p>
    <w:p w14:paraId="3D89D1B6" w14:textId="77777777" w:rsidR="00F62B2D" w:rsidRPr="00D63B51" w:rsidRDefault="00F62B2D" w:rsidP="00F62B2D">
      <w:pPr>
        <w:ind w:left="720" w:right="720"/>
        <w:jc w:val="both"/>
        <w:rPr>
          <w:b/>
          <w:bCs/>
        </w:rPr>
      </w:pPr>
    </w:p>
    <w:p w14:paraId="6B3EF6B3" w14:textId="77777777" w:rsidR="00F62B2D" w:rsidRPr="00D63B51" w:rsidRDefault="00F62B2D" w:rsidP="00F62B2D">
      <w:pPr>
        <w:spacing w:line="360" w:lineRule="auto"/>
        <w:ind w:firstLine="720"/>
        <w:jc w:val="both"/>
        <w:rPr>
          <w:rFonts w:cs="Times New Roman"/>
        </w:rPr>
      </w:pPr>
      <w:r w:rsidRPr="00D63B51">
        <w:rPr>
          <w:rFonts w:cs="Times New Roman"/>
        </w:rPr>
        <w:t xml:space="preserve">Plaintiff leadership in a mass-tort MDL typically contribute substantial sums upfront to pay the expenses for the MDL litigation, which are later recouped from each tort-claimant settlement on a percentage basis under provisions approved by the court.   These expenses are in addition to work on and time devoted to the common benefit as well as for individual clients. </w:t>
      </w:r>
    </w:p>
    <w:p w14:paraId="698B2B15" w14:textId="77777777" w:rsidR="00F62B2D" w:rsidRPr="00D63B51" w:rsidRDefault="00F62B2D" w:rsidP="00F62B2D">
      <w:pPr>
        <w:spacing w:line="360" w:lineRule="auto"/>
        <w:ind w:firstLine="720"/>
        <w:jc w:val="both"/>
        <w:rPr>
          <w:rFonts w:cs="Times New Roman"/>
        </w:rPr>
      </w:pPr>
      <w:r w:rsidRPr="00D63B51">
        <w:rPr>
          <w:rFonts w:cs="Times New Roman"/>
        </w:rPr>
        <w:t xml:space="preserve">The MDL lawyers’ out-of-pocket expenses incurred for common-benefit work performed in the MDL are normally reimbursed as part of the contractual agreements entered with the lawyers representing the tort claimants and payable from the lawyer’s contingency agreements. Although these lawyers retain their contractual right to reimbursement if the MDL is brought into bankruptcy, they may not recoup full reimbursement of their out-of-pocket outlays.  In addition, </w:t>
      </w:r>
      <w:r w:rsidRPr="00D63B51">
        <w:rPr>
          <w:rFonts w:cs="Times New Roman"/>
        </w:rPr>
        <w:lastRenderedPageBreak/>
        <w:t xml:space="preserve">the determination of the allocation of the reimbursements to individual lawyers in an MDL is subject to an elaborate record-keeping system and assessment ordinarily handled by a court-appointed committee at the end of the MDL litigation.  </w:t>
      </w:r>
    </w:p>
    <w:p w14:paraId="1B00C0CA" w14:textId="77777777" w:rsidR="00F62B2D" w:rsidRPr="00D63B51" w:rsidRDefault="00F62B2D" w:rsidP="00F62B2D">
      <w:pPr>
        <w:spacing w:line="360" w:lineRule="auto"/>
        <w:ind w:firstLine="720"/>
        <w:jc w:val="both"/>
        <w:rPr>
          <w:rFonts w:cs="Times New Roman"/>
        </w:rPr>
      </w:pPr>
      <w:r w:rsidRPr="00D63B51">
        <w:rPr>
          <w:rFonts w:cs="Times New Roman"/>
        </w:rPr>
        <w:t xml:space="preserve">These out-of-pocket expenses can involve tens of millions of dollars.  Absent the financial outlays and risks assumed by the plaintiff leadership in initiating the MDL, the tort claimants as the primary beneficiaries of the bankruptcy would not have received compensation for their injuries.   </w:t>
      </w:r>
    </w:p>
    <w:p w14:paraId="06F0B80A" w14:textId="50BDF0BE" w:rsidR="00F62B2D" w:rsidRPr="00D63B51" w:rsidRDefault="00F62B2D" w:rsidP="00F62B2D">
      <w:pPr>
        <w:pStyle w:val="O-BodyText"/>
        <w:spacing w:line="240" w:lineRule="auto"/>
        <w:ind w:left="720" w:right="720" w:firstLine="720"/>
        <w:jc w:val="both"/>
        <w:rPr>
          <w:b/>
          <w:bCs/>
        </w:rPr>
      </w:pPr>
      <w:r w:rsidRPr="00D63B51">
        <w:rPr>
          <w:rFonts w:ascii="Times New Roman" w:hAnsi="Times New Roman"/>
          <w:b/>
          <w:bCs/>
          <w:sz w:val="24"/>
          <w:szCs w:val="24"/>
        </w:rPr>
        <w:t xml:space="preserve">Best Practice MDL-§ </w:t>
      </w:r>
      <w:r w:rsidR="00B52644" w:rsidRPr="00D63B51">
        <w:rPr>
          <w:rFonts w:ascii="Times New Roman" w:hAnsi="Times New Roman"/>
          <w:b/>
          <w:bCs/>
          <w:sz w:val="24"/>
          <w:szCs w:val="24"/>
        </w:rPr>
        <w:t>2</w:t>
      </w:r>
      <w:r w:rsidR="00970FF3" w:rsidRPr="00D63B51">
        <w:rPr>
          <w:rFonts w:ascii="Times New Roman" w:hAnsi="Times New Roman"/>
          <w:b/>
          <w:bCs/>
          <w:sz w:val="24"/>
          <w:szCs w:val="24"/>
        </w:rPr>
        <w:t>0</w:t>
      </w:r>
      <w:r w:rsidRPr="00D63B51">
        <w:rPr>
          <w:rFonts w:ascii="Times New Roman" w:hAnsi="Times New Roman"/>
          <w:b/>
          <w:bCs/>
          <w:sz w:val="24"/>
          <w:szCs w:val="24"/>
        </w:rPr>
        <w:t>(a):</w:t>
      </w:r>
      <w:r w:rsidRPr="00D63B51">
        <w:rPr>
          <w:b/>
          <w:bCs/>
        </w:rPr>
        <w:t xml:space="preserve"> </w:t>
      </w:r>
      <w:r w:rsidRPr="00D63B51">
        <w:rPr>
          <w:rFonts w:ascii="Times New Roman" w:hAnsi="Times New Roman"/>
          <w:sz w:val="24"/>
          <w:szCs w:val="24"/>
        </w:rPr>
        <w:t>As soon as practicable, the bankruptcy court should schedule a conference with MDL’s leadership counsel, along with the debtor, to discuss the status of attorney’s fee agreements. Permanent No. MDL-§ 8(a).</w:t>
      </w:r>
    </w:p>
    <w:p w14:paraId="5BD10304" w14:textId="77777777" w:rsidR="00F62B2D" w:rsidRPr="00D63B51" w:rsidRDefault="00F62B2D" w:rsidP="00F62B2D">
      <w:pPr>
        <w:pStyle w:val="O-BodyText"/>
        <w:spacing w:after="0" w:line="360" w:lineRule="auto"/>
        <w:ind w:firstLine="360"/>
        <w:jc w:val="both"/>
        <w:rPr>
          <w:rFonts w:ascii="Times New Roman" w:hAnsi="Times New Roman"/>
          <w:sz w:val="24"/>
          <w:szCs w:val="24"/>
        </w:rPr>
      </w:pPr>
      <w:r w:rsidRPr="00D63B51">
        <w:rPr>
          <w:rFonts w:ascii="Times New Roman" w:hAnsi="Times New Roman"/>
          <w:sz w:val="24"/>
          <w:szCs w:val="24"/>
        </w:rPr>
        <w:t xml:space="preserve">Counsel and courts should be cognizant of the substantial shift in the mechanisms to compensate lead counsel once a bankruptcy case has been initiated.  While the bankruptcy court has the power to award interim fees, including additional sums for “substantial contributions” to duly appointed counsel, its ability to award fees for pre-petition activity, including common-benefit awards is severely limited.  Nonetheless, holding a conference with the plaintiff leadership counsel and the debtor can better inform the process for the following reasons: </w:t>
      </w:r>
    </w:p>
    <w:p w14:paraId="7C6D90CF" w14:textId="77777777" w:rsidR="00F62B2D" w:rsidRPr="00D63B51" w:rsidRDefault="00F62B2D" w:rsidP="00F62B2D">
      <w:pPr>
        <w:pStyle w:val="O-BodyText"/>
        <w:numPr>
          <w:ilvl w:val="0"/>
          <w:numId w:val="15"/>
        </w:numPr>
        <w:spacing w:line="240" w:lineRule="auto"/>
        <w:jc w:val="both"/>
        <w:rPr>
          <w:rFonts w:ascii="Times New Roman" w:hAnsi="Times New Roman"/>
          <w:sz w:val="24"/>
          <w:szCs w:val="24"/>
        </w:rPr>
      </w:pPr>
      <w:r w:rsidRPr="00D63B51">
        <w:rPr>
          <w:rFonts w:ascii="Times New Roman" w:hAnsi="Times New Roman"/>
          <w:sz w:val="24"/>
          <w:szCs w:val="24"/>
        </w:rPr>
        <w:t>Counsels’ ability to recover any common-benefit award for pre-petition activity will depend upon the inclusion of a mechanism to pay these amounts in a confirmed plan of reorganization.  At the conference, structures can be identified and considered to preserve the claims of the lead counsel without creating adversity with their clients as competing creditors.</w:t>
      </w:r>
    </w:p>
    <w:p w14:paraId="125945AB" w14:textId="77777777" w:rsidR="00F62B2D" w:rsidRPr="00D63B51" w:rsidRDefault="00F62B2D" w:rsidP="00F62B2D">
      <w:pPr>
        <w:pStyle w:val="O-BodyText"/>
        <w:numPr>
          <w:ilvl w:val="0"/>
          <w:numId w:val="15"/>
        </w:numPr>
        <w:spacing w:line="240" w:lineRule="auto"/>
        <w:jc w:val="both"/>
        <w:rPr>
          <w:rFonts w:ascii="Times New Roman" w:hAnsi="Times New Roman"/>
          <w:sz w:val="24"/>
          <w:szCs w:val="24"/>
        </w:rPr>
      </w:pPr>
      <w:r w:rsidRPr="00D63B51">
        <w:rPr>
          <w:rFonts w:ascii="Times New Roman" w:hAnsi="Times New Roman"/>
          <w:sz w:val="24"/>
          <w:szCs w:val="24"/>
        </w:rPr>
        <w:t>It will be useful for the bankruptcy court and the debtor to be aware of what work has been done by case leadership pre-filing so that information can be used on planning for the progress of the bankruptcy case, including estimation, if appropriate.</w:t>
      </w:r>
    </w:p>
    <w:p w14:paraId="05D27D54" w14:textId="77777777" w:rsidR="00F62B2D" w:rsidRPr="00D63B51" w:rsidRDefault="00F62B2D" w:rsidP="00F62B2D">
      <w:pPr>
        <w:pStyle w:val="O-BodyText"/>
        <w:numPr>
          <w:ilvl w:val="0"/>
          <w:numId w:val="15"/>
        </w:numPr>
        <w:spacing w:line="240" w:lineRule="auto"/>
        <w:jc w:val="both"/>
        <w:rPr>
          <w:rFonts w:ascii="Times New Roman" w:hAnsi="Times New Roman"/>
          <w:sz w:val="24"/>
          <w:szCs w:val="24"/>
        </w:rPr>
      </w:pPr>
      <w:r w:rsidRPr="00D63B51">
        <w:rPr>
          <w:rFonts w:ascii="Times New Roman" w:hAnsi="Times New Roman"/>
          <w:sz w:val="24"/>
          <w:szCs w:val="24"/>
        </w:rPr>
        <w:t>While appointment of counsel for various committees will proceed with input from various constituencies including the U.S. Trustee, other creditors, and the debtor, the identification of pre-petition litigation lead counsel can inform that process.</w:t>
      </w:r>
    </w:p>
    <w:p w14:paraId="771EA893" w14:textId="77777777" w:rsidR="00F62B2D" w:rsidRPr="00D63B51" w:rsidRDefault="00F62B2D" w:rsidP="00F62B2D">
      <w:pPr>
        <w:pStyle w:val="O-BodyText"/>
        <w:numPr>
          <w:ilvl w:val="0"/>
          <w:numId w:val="15"/>
        </w:numPr>
        <w:spacing w:line="240" w:lineRule="auto"/>
        <w:jc w:val="both"/>
        <w:rPr>
          <w:rFonts w:ascii="Times New Roman" w:hAnsi="Times New Roman"/>
          <w:sz w:val="24"/>
          <w:szCs w:val="24"/>
        </w:rPr>
      </w:pPr>
      <w:r w:rsidRPr="00D63B51">
        <w:rPr>
          <w:rFonts w:ascii="Times New Roman" w:hAnsi="Times New Roman"/>
          <w:sz w:val="24"/>
          <w:szCs w:val="24"/>
        </w:rPr>
        <w:t xml:space="preserve"> Lead counsel will also be in a position to assist the debtor and the court in understanding what lien claims may exist against potential tort-claim recoveries, which also provides useful intelligence to the debtor and the court.</w:t>
      </w:r>
    </w:p>
    <w:p w14:paraId="6E35FDEB" w14:textId="77777777" w:rsidR="00F62B2D" w:rsidRPr="00D63B51" w:rsidRDefault="00F62B2D" w:rsidP="00F62B2D">
      <w:pPr>
        <w:pStyle w:val="O-BodyText"/>
        <w:numPr>
          <w:ilvl w:val="0"/>
          <w:numId w:val="15"/>
        </w:numPr>
        <w:spacing w:line="240" w:lineRule="auto"/>
        <w:jc w:val="both"/>
        <w:rPr>
          <w:rFonts w:ascii="Times New Roman" w:hAnsi="Times New Roman"/>
          <w:sz w:val="24"/>
          <w:szCs w:val="24"/>
        </w:rPr>
      </w:pPr>
      <w:r w:rsidRPr="00D63B51">
        <w:rPr>
          <w:rFonts w:ascii="Times New Roman" w:hAnsi="Times New Roman"/>
          <w:sz w:val="24"/>
          <w:szCs w:val="24"/>
        </w:rPr>
        <w:t xml:space="preserve">There are various methods utilized by MDL transferee courts to create, calculate, and fund common-benefit awards.  There will need to be a discussion, absent a pre-existing award by the MDL transferee court, of what methodology will be reflected in the plan, whether it is on a percentage basis, a lodestar method, the combined lodestar tested by a percentage, or some other negotiated administrative process -- all of which will need to be disclosed </w:t>
      </w:r>
      <w:r w:rsidRPr="00D63B51">
        <w:rPr>
          <w:rFonts w:ascii="Times New Roman" w:hAnsi="Times New Roman"/>
          <w:sz w:val="24"/>
          <w:szCs w:val="24"/>
        </w:rPr>
        <w:lastRenderedPageBreak/>
        <w:t>and approved by creditors and the bankruptcy court as part of the plan-confirmation process.</w:t>
      </w:r>
    </w:p>
    <w:p w14:paraId="285B1D94" w14:textId="497A97CB" w:rsidR="00F62B2D" w:rsidRPr="00D63B51" w:rsidRDefault="00F62B2D" w:rsidP="00F62B2D">
      <w:pPr>
        <w:pStyle w:val="O-BodyText"/>
        <w:spacing w:line="240" w:lineRule="auto"/>
        <w:ind w:left="720" w:right="720"/>
        <w:jc w:val="both"/>
        <w:rPr>
          <w:rFonts w:ascii="Times New Roman" w:hAnsi="Times New Roman"/>
          <w:sz w:val="24"/>
          <w:szCs w:val="24"/>
        </w:rPr>
      </w:pPr>
      <w:r w:rsidRPr="00D63B51">
        <w:rPr>
          <w:rFonts w:ascii="Times New Roman" w:hAnsi="Times New Roman"/>
          <w:b/>
          <w:bCs/>
          <w:sz w:val="24"/>
          <w:szCs w:val="24"/>
        </w:rPr>
        <w:t xml:space="preserve">Best Practice MDL-§ </w:t>
      </w:r>
      <w:r w:rsidR="00B52644" w:rsidRPr="00D63B51">
        <w:rPr>
          <w:rFonts w:ascii="Times New Roman" w:hAnsi="Times New Roman"/>
          <w:b/>
          <w:bCs/>
          <w:sz w:val="24"/>
          <w:szCs w:val="24"/>
        </w:rPr>
        <w:t>2</w:t>
      </w:r>
      <w:r w:rsidR="00970FF3" w:rsidRPr="00D63B51">
        <w:rPr>
          <w:rFonts w:ascii="Times New Roman" w:hAnsi="Times New Roman"/>
          <w:b/>
          <w:bCs/>
          <w:sz w:val="24"/>
          <w:szCs w:val="24"/>
        </w:rPr>
        <w:t>0</w:t>
      </w:r>
      <w:r w:rsidRPr="00D63B51">
        <w:rPr>
          <w:rFonts w:ascii="Times New Roman" w:hAnsi="Times New Roman"/>
          <w:b/>
          <w:bCs/>
          <w:sz w:val="24"/>
          <w:szCs w:val="24"/>
        </w:rPr>
        <w:t>(b):</w:t>
      </w:r>
      <w:r w:rsidRPr="00D63B51">
        <w:rPr>
          <w:b/>
          <w:bCs/>
        </w:rPr>
        <w:t xml:space="preserve"> </w:t>
      </w:r>
      <w:r w:rsidRPr="00D63B51">
        <w:rPr>
          <w:rFonts w:ascii="Times New Roman" w:hAnsi="Times New Roman"/>
          <w:sz w:val="24"/>
          <w:szCs w:val="24"/>
        </w:rPr>
        <w:t>The bankruptcy court should require the plaintiff MDL lead counsel to submit an accounting for all payments of common-benefit expenses incurred by the mass-tort litigation by the plaintiff-steering committee. Permanent No.</w:t>
      </w:r>
      <w:r w:rsidRPr="00D63B51">
        <w:rPr>
          <w:rFonts w:ascii="Times New Roman" w:hAnsi="Times New Roman"/>
          <w:b/>
          <w:bCs/>
          <w:sz w:val="24"/>
          <w:szCs w:val="24"/>
        </w:rPr>
        <w:t xml:space="preserve"> </w:t>
      </w:r>
      <w:r w:rsidRPr="00D63B51">
        <w:rPr>
          <w:rFonts w:ascii="Times New Roman" w:hAnsi="Times New Roman"/>
          <w:sz w:val="24"/>
          <w:szCs w:val="24"/>
        </w:rPr>
        <w:t>MDL-§ 8(b).</w:t>
      </w:r>
    </w:p>
    <w:p w14:paraId="4A8A7E52" w14:textId="77777777" w:rsidR="00F62B2D" w:rsidRPr="00D63B51" w:rsidRDefault="00F62B2D" w:rsidP="00F62B2D">
      <w:pPr>
        <w:pStyle w:val="O-BodyText"/>
        <w:spacing w:after="0" w:line="360" w:lineRule="auto"/>
        <w:ind w:firstLine="720"/>
        <w:jc w:val="both"/>
        <w:rPr>
          <w:bCs/>
        </w:rPr>
      </w:pPr>
      <w:r w:rsidRPr="00D63B51">
        <w:rPr>
          <w:rFonts w:ascii="Times New Roman" w:hAnsi="Times New Roman"/>
          <w:sz w:val="24"/>
          <w:szCs w:val="24"/>
        </w:rPr>
        <w:t xml:space="preserve">Consistent with fee awards, expenses recoveries will also need to be addressed via provisions in a confirmed plan and documentation will assist in fashioning appropriate disclosure as well as proving adequate documentation of the claim.  </w:t>
      </w:r>
    </w:p>
    <w:p w14:paraId="3E1CFB89" w14:textId="77777777" w:rsidR="00F62B2D" w:rsidRPr="00D63B51" w:rsidRDefault="00F62B2D" w:rsidP="00F62B2D">
      <w:pPr>
        <w:spacing w:before="90" w:after="45"/>
        <w:ind w:firstLine="720"/>
        <w:outlineLvl w:val="0"/>
        <w:rPr>
          <w:rFonts w:cs="Times New Roman"/>
          <w:bCs/>
          <w:color w:val="auto"/>
        </w:rPr>
      </w:pPr>
    </w:p>
    <w:p w14:paraId="78EA9840" w14:textId="77777777" w:rsidR="00F62B2D" w:rsidRPr="00D63B51" w:rsidRDefault="00F62B2D" w:rsidP="00F62B2D">
      <w:pPr>
        <w:spacing w:before="90" w:after="45"/>
        <w:ind w:firstLine="720"/>
        <w:outlineLvl w:val="0"/>
        <w:rPr>
          <w:rFonts w:cs="Times New Roman"/>
          <w:bCs/>
          <w:color w:val="auto"/>
        </w:rPr>
      </w:pPr>
    </w:p>
    <w:p w14:paraId="656D6306" w14:textId="77777777" w:rsidR="00CB6710" w:rsidRPr="00D63B51" w:rsidRDefault="00CB6710" w:rsidP="00F62B2D">
      <w:pPr>
        <w:jc w:val="center"/>
        <w:rPr>
          <w:rFonts w:cs="Times New Roman"/>
          <w:b/>
          <w:bCs/>
          <w:color w:val="auto"/>
          <w:sz w:val="28"/>
          <w:szCs w:val="28"/>
        </w:rPr>
      </w:pPr>
    </w:p>
    <w:p w14:paraId="1E6C694C" w14:textId="77777777" w:rsidR="00E56C59" w:rsidRPr="00D63B51" w:rsidRDefault="00E56C59" w:rsidP="00E56C59"/>
    <w:p w14:paraId="54816365" w14:textId="77777777" w:rsidR="00E56C59" w:rsidRPr="00D63B51" w:rsidRDefault="00E56C59" w:rsidP="00573951">
      <w:pPr>
        <w:jc w:val="center"/>
        <w:rPr>
          <w:b/>
          <w:bCs/>
          <w:color w:val="auto"/>
          <w:kern w:val="2"/>
          <w:szCs w:val="22"/>
          <w14:ligatures w14:val="standardContextual"/>
        </w:rPr>
      </w:pPr>
    </w:p>
    <w:p w14:paraId="58E5B421" w14:textId="77777777" w:rsidR="00E56C59" w:rsidRPr="00D63B51" w:rsidRDefault="00E56C59" w:rsidP="00573951">
      <w:pPr>
        <w:jc w:val="center"/>
        <w:rPr>
          <w:b/>
          <w:bCs/>
          <w:color w:val="auto"/>
          <w:kern w:val="2"/>
          <w:szCs w:val="22"/>
          <w14:ligatures w14:val="standardContextual"/>
        </w:rPr>
      </w:pPr>
    </w:p>
    <w:p w14:paraId="4348BD96" w14:textId="77777777" w:rsidR="00E56C59" w:rsidRPr="00D63B51" w:rsidRDefault="00E56C59" w:rsidP="00573951">
      <w:pPr>
        <w:jc w:val="center"/>
        <w:rPr>
          <w:b/>
          <w:bCs/>
          <w:color w:val="auto"/>
          <w:kern w:val="2"/>
          <w:szCs w:val="22"/>
          <w14:ligatures w14:val="standardContextual"/>
        </w:rPr>
      </w:pPr>
    </w:p>
    <w:p w14:paraId="410F2BE9" w14:textId="77777777" w:rsidR="00E56C59" w:rsidRPr="00D63B51" w:rsidRDefault="00E56C59" w:rsidP="00573951">
      <w:pPr>
        <w:jc w:val="center"/>
        <w:rPr>
          <w:b/>
          <w:bCs/>
          <w:color w:val="auto"/>
          <w:kern w:val="2"/>
          <w:szCs w:val="22"/>
          <w14:ligatures w14:val="standardContextual"/>
        </w:rPr>
      </w:pPr>
    </w:p>
    <w:p w14:paraId="7110C882" w14:textId="77777777" w:rsidR="00E56C59" w:rsidRPr="00D63B51" w:rsidRDefault="00E56C59" w:rsidP="00573951">
      <w:pPr>
        <w:jc w:val="center"/>
        <w:rPr>
          <w:b/>
          <w:bCs/>
          <w:color w:val="auto"/>
          <w:kern w:val="2"/>
          <w:szCs w:val="22"/>
          <w14:ligatures w14:val="standardContextual"/>
        </w:rPr>
      </w:pPr>
    </w:p>
    <w:p w14:paraId="26692E18" w14:textId="77777777" w:rsidR="00E56C59" w:rsidRPr="00D63B51" w:rsidRDefault="00E56C59" w:rsidP="00573951">
      <w:pPr>
        <w:jc w:val="center"/>
        <w:rPr>
          <w:b/>
          <w:bCs/>
          <w:color w:val="auto"/>
          <w:kern w:val="2"/>
          <w:szCs w:val="22"/>
          <w14:ligatures w14:val="standardContextual"/>
        </w:rPr>
      </w:pPr>
    </w:p>
    <w:p w14:paraId="7FF505C0" w14:textId="77777777" w:rsidR="00E56C59" w:rsidRPr="00D63B51" w:rsidRDefault="00E56C59" w:rsidP="00573951">
      <w:pPr>
        <w:jc w:val="center"/>
        <w:rPr>
          <w:b/>
          <w:bCs/>
          <w:color w:val="auto"/>
          <w:kern w:val="2"/>
          <w:szCs w:val="22"/>
          <w14:ligatures w14:val="standardContextual"/>
        </w:rPr>
      </w:pPr>
    </w:p>
    <w:p w14:paraId="43C7BF26" w14:textId="77777777" w:rsidR="00E56C59" w:rsidRPr="00D63B51" w:rsidRDefault="00E56C59" w:rsidP="00573951">
      <w:pPr>
        <w:jc w:val="center"/>
        <w:rPr>
          <w:b/>
          <w:bCs/>
          <w:color w:val="auto"/>
          <w:kern w:val="2"/>
          <w:szCs w:val="22"/>
          <w14:ligatures w14:val="standardContextual"/>
        </w:rPr>
      </w:pPr>
    </w:p>
    <w:p w14:paraId="627E800F" w14:textId="77777777" w:rsidR="00E56C59" w:rsidRPr="00D63B51" w:rsidRDefault="00E56C59" w:rsidP="00573951">
      <w:pPr>
        <w:jc w:val="center"/>
        <w:rPr>
          <w:b/>
          <w:bCs/>
          <w:color w:val="auto"/>
          <w:kern w:val="2"/>
          <w:szCs w:val="22"/>
          <w14:ligatures w14:val="standardContextual"/>
        </w:rPr>
      </w:pPr>
    </w:p>
    <w:p w14:paraId="6B218F41" w14:textId="77777777" w:rsidR="00E56C59" w:rsidRPr="00D63B51" w:rsidRDefault="00E56C59" w:rsidP="00573951">
      <w:pPr>
        <w:jc w:val="center"/>
        <w:rPr>
          <w:b/>
          <w:bCs/>
          <w:color w:val="auto"/>
          <w:kern w:val="2"/>
          <w:szCs w:val="22"/>
          <w14:ligatures w14:val="standardContextual"/>
        </w:rPr>
      </w:pPr>
    </w:p>
    <w:p w14:paraId="64B732B5" w14:textId="77777777" w:rsidR="00E56C59" w:rsidRPr="00D63B51" w:rsidRDefault="00E56C59" w:rsidP="00573951">
      <w:pPr>
        <w:jc w:val="center"/>
        <w:rPr>
          <w:b/>
          <w:bCs/>
          <w:color w:val="auto"/>
          <w:kern w:val="2"/>
          <w:szCs w:val="22"/>
          <w14:ligatures w14:val="standardContextual"/>
        </w:rPr>
      </w:pPr>
    </w:p>
    <w:p w14:paraId="0ED73C60" w14:textId="77777777" w:rsidR="00E56C59" w:rsidRPr="00D63B51" w:rsidRDefault="00E56C59" w:rsidP="00573951">
      <w:pPr>
        <w:jc w:val="center"/>
        <w:rPr>
          <w:b/>
          <w:bCs/>
          <w:color w:val="auto"/>
          <w:kern w:val="2"/>
          <w:szCs w:val="22"/>
          <w14:ligatures w14:val="standardContextual"/>
        </w:rPr>
      </w:pPr>
    </w:p>
    <w:p w14:paraId="4E2B8996" w14:textId="77777777" w:rsidR="00E56C59" w:rsidRPr="00D63B51" w:rsidRDefault="00E56C59" w:rsidP="00573951">
      <w:pPr>
        <w:jc w:val="center"/>
        <w:rPr>
          <w:b/>
          <w:bCs/>
          <w:color w:val="auto"/>
          <w:kern w:val="2"/>
          <w:szCs w:val="22"/>
          <w14:ligatures w14:val="standardContextual"/>
        </w:rPr>
      </w:pPr>
    </w:p>
    <w:p w14:paraId="7327879D" w14:textId="77777777" w:rsidR="00E56C59" w:rsidRPr="00D63B51" w:rsidRDefault="00E56C59" w:rsidP="00573951">
      <w:pPr>
        <w:jc w:val="center"/>
        <w:rPr>
          <w:b/>
          <w:bCs/>
          <w:color w:val="auto"/>
          <w:kern w:val="2"/>
          <w:szCs w:val="22"/>
          <w14:ligatures w14:val="standardContextual"/>
        </w:rPr>
      </w:pPr>
    </w:p>
    <w:p w14:paraId="33E28DE0" w14:textId="77777777" w:rsidR="00E56C59" w:rsidRPr="00D63B51" w:rsidRDefault="00E56C59" w:rsidP="00573951">
      <w:pPr>
        <w:jc w:val="center"/>
        <w:rPr>
          <w:b/>
          <w:bCs/>
          <w:color w:val="auto"/>
          <w:kern w:val="2"/>
          <w:szCs w:val="22"/>
          <w14:ligatures w14:val="standardContextual"/>
        </w:rPr>
      </w:pPr>
    </w:p>
    <w:p w14:paraId="0F7D52C9" w14:textId="77777777" w:rsidR="00E56C59" w:rsidRPr="00D63B51" w:rsidRDefault="00E56C59" w:rsidP="00573951">
      <w:pPr>
        <w:jc w:val="center"/>
        <w:rPr>
          <w:b/>
          <w:bCs/>
          <w:color w:val="auto"/>
          <w:kern w:val="2"/>
          <w:szCs w:val="22"/>
          <w14:ligatures w14:val="standardContextual"/>
        </w:rPr>
      </w:pPr>
    </w:p>
    <w:p w14:paraId="34FCC0F4" w14:textId="77777777" w:rsidR="00E56C59" w:rsidRPr="00D63B51" w:rsidRDefault="00E56C59" w:rsidP="00573951">
      <w:pPr>
        <w:jc w:val="center"/>
        <w:rPr>
          <w:b/>
          <w:bCs/>
          <w:color w:val="auto"/>
          <w:kern w:val="2"/>
          <w:szCs w:val="22"/>
          <w14:ligatures w14:val="standardContextual"/>
        </w:rPr>
      </w:pPr>
    </w:p>
    <w:p w14:paraId="4266CBDF" w14:textId="77777777" w:rsidR="00E56C59" w:rsidRPr="00D63B51" w:rsidRDefault="00E56C59" w:rsidP="00573951">
      <w:pPr>
        <w:jc w:val="center"/>
        <w:rPr>
          <w:b/>
          <w:bCs/>
          <w:color w:val="auto"/>
          <w:kern w:val="2"/>
          <w:szCs w:val="22"/>
          <w14:ligatures w14:val="standardContextual"/>
        </w:rPr>
      </w:pPr>
    </w:p>
    <w:p w14:paraId="519D96EA" w14:textId="77777777" w:rsidR="00E56C59" w:rsidRPr="00D63B51" w:rsidRDefault="00E56C59" w:rsidP="00573951">
      <w:pPr>
        <w:jc w:val="center"/>
        <w:rPr>
          <w:b/>
          <w:bCs/>
          <w:color w:val="auto"/>
          <w:kern w:val="2"/>
          <w:szCs w:val="22"/>
          <w14:ligatures w14:val="standardContextual"/>
        </w:rPr>
      </w:pPr>
    </w:p>
    <w:p w14:paraId="6F5F97C7" w14:textId="77777777" w:rsidR="00E56C59" w:rsidRPr="00D63B51" w:rsidRDefault="00E56C59" w:rsidP="00573951">
      <w:pPr>
        <w:jc w:val="center"/>
        <w:rPr>
          <w:b/>
          <w:bCs/>
          <w:color w:val="auto"/>
          <w:kern w:val="2"/>
          <w:szCs w:val="22"/>
          <w14:ligatures w14:val="standardContextual"/>
        </w:rPr>
      </w:pPr>
    </w:p>
    <w:p w14:paraId="7EF31A74" w14:textId="77777777" w:rsidR="00E56C59" w:rsidRPr="00D63B51" w:rsidRDefault="00E56C59" w:rsidP="00573951">
      <w:pPr>
        <w:jc w:val="center"/>
        <w:rPr>
          <w:b/>
          <w:bCs/>
          <w:color w:val="auto"/>
          <w:kern w:val="2"/>
          <w:szCs w:val="22"/>
          <w14:ligatures w14:val="standardContextual"/>
        </w:rPr>
      </w:pPr>
    </w:p>
    <w:p w14:paraId="04FD62EE" w14:textId="77777777" w:rsidR="00E56C59" w:rsidRPr="00D63B51" w:rsidRDefault="00E56C59" w:rsidP="00573951">
      <w:pPr>
        <w:jc w:val="center"/>
        <w:rPr>
          <w:b/>
          <w:bCs/>
          <w:color w:val="auto"/>
          <w:kern w:val="2"/>
          <w:szCs w:val="22"/>
          <w14:ligatures w14:val="standardContextual"/>
        </w:rPr>
      </w:pPr>
    </w:p>
    <w:p w14:paraId="4252B594" w14:textId="77777777" w:rsidR="00E56C59" w:rsidRPr="00D63B51" w:rsidRDefault="00E56C59" w:rsidP="00573951">
      <w:pPr>
        <w:jc w:val="center"/>
        <w:rPr>
          <w:b/>
          <w:bCs/>
          <w:color w:val="auto"/>
          <w:kern w:val="2"/>
          <w:szCs w:val="22"/>
          <w14:ligatures w14:val="standardContextual"/>
        </w:rPr>
      </w:pPr>
    </w:p>
    <w:p w14:paraId="55C6A782" w14:textId="77777777" w:rsidR="00E56C59" w:rsidRPr="00D63B51" w:rsidRDefault="00E56C59" w:rsidP="00573951">
      <w:pPr>
        <w:jc w:val="center"/>
        <w:rPr>
          <w:b/>
          <w:bCs/>
          <w:color w:val="auto"/>
          <w:kern w:val="2"/>
          <w:szCs w:val="22"/>
          <w14:ligatures w14:val="standardContextual"/>
        </w:rPr>
      </w:pPr>
    </w:p>
    <w:p w14:paraId="5EE6CFE1" w14:textId="77777777" w:rsidR="00E56C59" w:rsidRPr="00D63B51" w:rsidRDefault="00E56C59" w:rsidP="00573951">
      <w:pPr>
        <w:jc w:val="center"/>
        <w:rPr>
          <w:b/>
          <w:bCs/>
          <w:color w:val="auto"/>
          <w:kern w:val="2"/>
          <w:szCs w:val="22"/>
          <w14:ligatures w14:val="standardContextual"/>
        </w:rPr>
      </w:pPr>
    </w:p>
    <w:p w14:paraId="41D859D5" w14:textId="77777777" w:rsidR="00E56C59" w:rsidRPr="00D63B51" w:rsidRDefault="00E56C59" w:rsidP="00573951">
      <w:pPr>
        <w:jc w:val="center"/>
        <w:rPr>
          <w:b/>
          <w:bCs/>
          <w:color w:val="auto"/>
          <w:kern w:val="2"/>
          <w:szCs w:val="22"/>
          <w14:ligatures w14:val="standardContextual"/>
        </w:rPr>
      </w:pPr>
    </w:p>
    <w:p w14:paraId="718BBAA3" w14:textId="77777777" w:rsidR="00E56C59" w:rsidRPr="00D63B51" w:rsidRDefault="00E56C59" w:rsidP="00573951">
      <w:pPr>
        <w:jc w:val="center"/>
        <w:rPr>
          <w:b/>
          <w:bCs/>
          <w:color w:val="auto"/>
          <w:kern w:val="2"/>
          <w:szCs w:val="22"/>
          <w14:ligatures w14:val="standardContextual"/>
        </w:rPr>
      </w:pPr>
    </w:p>
    <w:p w14:paraId="17CB6193" w14:textId="77777777" w:rsidR="00E56C59" w:rsidRPr="00D63B51" w:rsidRDefault="00E56C59" w:rsidP="00573951">
      <w:pPr>
        <w:jc w:val="center"/>
        <w:rPr>
          <w:b/>
          <w:bCs/>
          <w:color w:val="auto"/>
          <w:kern w:val="2"/>
          <w:szCs w:val="22"/>
          <w14:ligatures w14:val="standardContextual"/>
        </w:rPr>
      </w:pPr>
    </w:p>
    <w:p w14:paraId="52E52236" w14:textId="77777777" w:rsidR="00E56C59" w:rsidRPr="00D63B51" w:rsidRDefault="00E56C59" w:rsidP="00573951">
      <w:pPr>
        <w:jc w:val="center"/>
        <w:rPr>
          <w:b/>
          <w:bCs/>
          <w:color w:val="auto"/>
          <w:kern w:val="2"/>
          <w:szCs w:val="22"/>
          <w14:ligatures w14:val="standardContextual"/>
        </w:rPr>
      </w:pPr>
    </w:p>
    <w:p w14:paraId="641FECC1" w14:textId="19867A6C" w:rsidR="00F62B2D" w:rsidRPr="00D63B51" w:rsidRDefault="00F62B2D" w:rsidP="00F62B2D">
      <w:pPr>
        <w:jc w:val="center"/>
        <w:rPr>
          <w:rFonts w:cs="Times New Roman"/>
          <w:b/>
          <w:bCs/>
          <w:color w:val="auto"/>
          <w:sz w:val="28"/>
          <w:szCs w:val="28"/>
        </w:rPr>
      </w:pPr>
      <w:r w:rsidRPr="00D63B51">
        <w:rPr>
          <w:rFonts w:cs="Times New Roman"/>
          <w:b/>
          <w:bCs/>
          <w:color w:val="auto"/>
          <w:sz w:val="28"/>
          <w:szCs w:val="28"/>
        </w:rPr>
        <w:lastRenderedPageBreak/>
        <w:t>ACKNOWLEDGEMENTS</w:t>
      </w:r>
    </w:p>
    <w:p w14:paraId="37CA8DCB" w14:textId="77777777" w:rsidR="00F62B2D" w:rsidRPr="00D63B51" w:rsidRDefault="00F62B2D" w:rsidP="00F62B2D">
      <w:pPr>
        <w:rPr>
          <w:rFonts w:cs="Times New Roman"/>
          <w:color w:val="auto"/>
        </w:rPr>
      </w:pPr>
    </w:p>
    <w:p w14:paraId="70AE6AE0" w14:textId="77777777" w:rsidR="00F62B2D" w:rsidRPr="00D63B51" w:rsidRDefault="00F62B2D" w:rsidP="00F62B2D">
      <w:pPr>
        <w:spacing w:after="120"/>
        <w:jc w:val="center"/>
        <w:rPr>
          <w:rFonts w:cs="Times New Roman"/>
          <w:b/>
        </w:rPr>
      </w:pPr>
      <w:r w:rsidRPr="00D63B51">
        <w:rPr>
          <w:rFonts w:cs="Times New Roman"/>
          <w:b/>
        </w:rPr>
        <w:t>Permanent Nos. MDL-</w:t>
      </w:r>
      <w:r w:rsidRPr="00D63B51">
        <w:rPr>
          <w:rFonts w:cs="Times New Roman"/>
          <w:b/>
          <w:color w:val="auto"/>
        </w:rPr>
        <w:t>§ 1</w:t>
      </w:r>
      <w:r w:rsidRPr="00D63B51">
        <w:rPr>
          <w:rFonts w:cs="Times New Roman"/>
          <w:b/>
        </w:rPr>
        <w:t xml:space="preserve"> to MDL-</w:t>
      </w:r>
      <w:r w:rsidRPr="00D63B51">
        <w:rPr>
          <w:rFonts w:cs="Times New Roman"/>
          <w:b/>
          <w:color w:val="auto"/>
        </w:rPr>
        <w:t xml:space="preserve">§ </w:t>
      </w:r>
      <w:r w:rsidRPr="00D63B51">
        <w:rPr>
          <w:rFonts w:cs="Times New Roman"/>
          <w:b/>
        </w:rPr>
        <w:t>3 (Issued January 15, 2022)</w:t>
      </w:r>
    </w:p>
    <w:p w14:paraId="6E47142D" w14:textId="77777777" w:rsidR="00F62B2D" w:rsidRPr="00D63B51" w:rsidRDefault="00F62B2D" w:rsidP="00F62B2D">
      <w:pPr>
        <w:spacing w:after="120"/>
        <w:jc w:val="center"/>
        <w:rPr>
          <w:rFonts w:cs="Times New Roman"/>
          <w:b/>
        </w:rPr>
      </w:pPr>
      <w:r w:rsidRPr="00D63B51">
        <w:rPr>
          <w:rFonts w:cs="Times New Roman"/>
          <w:b/>
        </w:rPr>
        <w:t>MDL -- Census and Registry, Interlocutory Appeal, and Centralized Information Exchange Platforms</w:t>
      </w:r>
    </w:p>
    <w:p w14:paraId="37DDE57B" w14:textId="77777777" w:rsidR="00F62B2D" w:rsidRPr="00D63B51" w:rsidRDefault="00F62B2D" w:rsidP="00F62B2D">
      <w:pPr>
        <w:spacing w:before="120" w:line="360" w:lineRule="auto"/>
        <w:ind w:left="2880" w:firstLine="720"/>
        <w:rPr>
          <w:rFonts w:cs="Times New Roman"/>
          <w:b/>
          <w:bCs/>
        </w:rPr>
      </w:pPr>
      <w:r w:rsidRPr="00D63B51">
        <w:rPr>
          <w:rFonts w:cs="Times New Roman"/>
          <w:b/>
          <w:bCs/>
        </w:rPr>
        <w:t>TEAM LEADERS</w:t>
      </w:r>
    </w:p>
    <w:p w14:paraId="56B95F26" w14:textId="77777777" w:rsidR="00F62B2D" w:rsidRPr="00D63B51" w:rsidRDefault="00F62B2D" w:rsidP="00F62B2D">
      <w:pPr>
        <w:pStyle w:val="NoSpacing"/>
        <w:rPr>
          <w:rFonts w:cs="Times New Roman"/>
          <w:szCs w:val="24"/>
        </w:rPr>
      </w:pPr>
      <w:r w:rsidRPr="00D63B51">
        <w:rPr>
          <w:rFonts w:cs="Times New Roman"/>
          <w:szCs w:val="24"/>
        </w:rPr>
        <w:t>Orran Brown</w:t>
      </w:r>
      <w:r w:rsidRPr="00D63B51">
        <w:rPr>
          <w:rFonts w:cs="Times New Roman"/>
          <w:szCs w:val="24"/>
        </w:rPr>
        <w:tab/>
      </w:r>
      <w:r w:rsidRPr="00D63B51">
        <w:rPr>
          <w:rFonts w:cs="Times New Roman"/>
          <w:szCs w:val="24"/>
        </w:rPr>
        <w:tab/>
        <w:t xml:space="preserve">    </w:t>
      </w:r>
      <w:r w:rsidRPr="00D63B51">
        <w:rPr>
          <w:rFonts w:cs="Times New Roman"/>
          <w:szCs w:val="24"/>
        </w:rPr>
        <w:tab/>
      </w:r>
      <w:r w:rsidRPr="00D63B51">
        <w:rPr>
          <w:rFonts w:cs="Times New Roman"/>
          <w:szCs w:val="24"/>
        </w:rPr>
        <w:tab/>
        <w:t>Colton, Lauren</w:t>
      </w:r>
      <w:r w:rsidRPr="00D63B51">
        <w:rPr>
          <w:rFonts w:cs="Times New Roman"/>
          <w:szCs w:val="24"/>
        </w:rPr>
        <w:tab/>
      </w:r>
      <w:r w:rsidRPr="00D63B51">
        <w:rPr>
          <w:rFonts w:cs="Times New Roman"/>
          <w:szCs w:val="24"/>
        </w:rPr>
        <w:tab/>
        <w:t>Wajert, Sean</w:t>
      </w:r>
      <w:r w:rsidRPr="00D63B51">
        <w:rPr>
          <w:rFonts w:cs="Times New Roman"/>
          <w:szCs w:val="24"/>
        </w:rPr>
        <w:tab/>
      </w:r>
      <w:r w:rsidRPr="00D63B51">
        <w:rPr>
          <w:rFonts w:cs="Times New Roman"/>
          <w:szCs w:val="24"/>
        </w:rPr>
        <w:tab/>
      </w:r>
    </w:p>
    <w:p w14:paraId="208408E0" w14:textId="77777777" w:rsidR="00F62B2D" w:rsidRPr="00D63B51" w:rsidRDefault="00F62B2D" w:rsidP="00F62B2D">
      <w:pPr>
        <w:pStyle w:val="NoSpacing"/>
        <w:rPr>
          <w:rFonts w:cs="Times New Roman"/>
          <w:szCs w:val="24"/>
        </w:rPr>
      </w:pPr>
      <w:r w:rsidRPr="00D63B51">
        <w:rPr>
          <w:rFonts w:cs="Times New Roman"/>
          <w:szCs w:val="24"/>
        </w:rPr>
        <w:t>BrownGreer</w:t>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t>Hogan Lovells</w:t>
      </w:r>
      <w:r w:rsidRPr="00D63B51">
        <w:rPr>
          <w:rFonts w:cs="Times New Roman"/>
          <w:szCs w:val="24"/>
        </w:rPr>
        <w:tab/>
      </w:r>
      <w:r w:rsidRPr="00D63B51">
        <w:rPr>
          <w:rFonts w:cs="Times New Roman"/>
          <w:szCs w:val="24"/>
        </w:rPr>
        <w:tab/>
      </w:r>
      <w:r w:rsidRPr="00D63B51">
        <w:rPr>
          <w:rFonts w:cs="Times New Roman"/>
          <w:szCs w:val="24"/>
        </w:rPr>
        <w:tab/>
        <w:t xml:space="preserve">Shook, Hardy &amp; Bacon           </w:t>
      </w:r>
      <w:r w:rsidRPr="00D63B51">
        <w:rPr>
          <w:rFonts w:cs="Times New Roman"/>
          <w:szCs w:val="24"/>
        </w:rPr>
        <w:tab/>
        <w:t xml:space="preserve"> </w:t>
      </w:r>
    </w:p>
    <w:p w14:paraId="04554B93" w14:textId="77777777" w:rsidR="00F62B2D" w:rsidRPr="00D63B51" w:rsidRDefault="00F62B2D" w:rsidP="00F62B2D">
      <w:pPr>
        <w:spacing w:before="120" w:line="360" w:lineRule="auto"/>
        <w:ind w:left="2880" w:firstLine="720"/>
        <w:rPr>
          <w:rFonts w:cs="Times New Roman"/>
          <w:b/>
          <w:bCs/>
        </w:rPr>
      </w:pPr>
      <w:r w:rsidRPr="00D63B51">
        <w:rPr>
          <w:rFonts w:cs="Times New Roman"/>
          <w:b/>
          <w:bCs/>
        </w:rPr>
        <w:t>CONTRIBUTORS</w:t>
      </w:r>
    </w:p>
    <w:p w14:paraId="574103D8" w14:textId="77777777" w:rsidR="00F62B2D" w:rsidRPr="00D63B51" w:rsidRDefault="00F62B2D" w:rsidP="00F62B2D">
      <w:pPr>
        <w:pStyle w:val="NoSpacing"/>
        <w:rPr>
          <w:rFonts w:cs="Times New Roman"/>
          <w:szCs w:val="24"/>
        </w:rPr>
      </w:pPr>
    </w:p>
    <w:p w14:paraId="743D4D35" w14:textId="77777777" w:rsidR="00F62B2D" w:rsidRPr="00D63B51" w:rsidRDefault="00F62B2D" w:rsidP="00F62B2D">
      <w:pPr>
        <w:pStyle w:val="NoSpacing"/>
        <w:rPr>
          <w:rFonts w:cs="Times New Roman"/>
          <w:szCs w:val="24"/>
        </w:rPr>
      </w:pPr>
      <w:r w:rsidRPr="00D63B51">
        <w:rPr>
          <w:rFonts w:cs="Times New Roman"/>
          <w:szCs w:val="24"/>
        </w:rPr>
        <w:t>Aylstock, Bryan</w:t>
      </w:r>
      <w:r w:rsidRPr="00D63B51">
        <w:rPr>
          <w:rFonts w:cs="Times New Roman"/>
          <w:szCs w:val="24"/>
        </w:rPr>
        <w:tab/>
      </w:r>
      <w:r w:rsidRPr="00D63B51">
        <w:rPr>
          <w:rFonts w:cs="Times New Roman"/>
          <w:szCs w:val="24"/>
        </w:rPr>
        <w:tab/>
      </w:r>
      <w:r w:rsidRPr="00D63B51">
        <w:rPr>
          <w:rFonts w:cs="Times New Roman"/>
          <w:szCs w:val="24"/>
        </w:rPr>
        <w:tab/>
        <w:t>Boehm, Paul</w:t>
      </w:r>
      <w:r w:rsidRPr="00D63B51">
        <w:rPr>
          <w:rFonts w:cs="Times New Roman"/>
          <w:szCs w:val="24"/>
        </w:rPr>
        <w:tab/>
      </w:r>
      <w:r w:rsidRPr="00D63B51">
        <w:rPr>
          <w:rFonts w:cs="Times New Roman"/>
          <w:szCs w:val="24"/>
        </w:rPr>
        <w:tab/>
      </w:r>
      <w:r w:rsidRPr="00D63B51">
        <w:rPr>
          <w:rFonts w:cs="Times New Roman"/>
          <w:szCs w:val="24"/>
        </w:rPr>
        <w:tab/>
        <w:t>Branscome, Kimberly</w:t>
      </w:r>
    </w:p>
    <w:p w14:paraId="371F7A48" w14:textId="158699FD" w:rsidR="00F62B2D" w:rsidRPr="00D63B51" w:rsidRDefault="00F62B2D" w:rsidP="00F62B2D">
      <w:pPr>
        <w:pStyle w:val="NoSpacing"/>
        <w:rPr>
          <w:rFonts w:cs="Times New Roman"/>
          <w:szCs w:val="24"/>
        </w:rPr>
      </w:pPr>
      <w:r w:rsidRPr="00D63B51">
        <w:rPr>
          <w:rFonts w:cs="Times New Roman"/>
          <w:szCs w:val="24"/>
        </w:rPr>
        <w:t>Aylstock</w:t>
      </w:r>
      <w:r w:rsidRPr="00D63B51">
        <w:rPr>
          <w:rFonts w:cs="Times New Roman"/>
          <w:i/>
          <w:iCs/>
          <w:szCs w:val="24"/>
        </w:rPr>
        <w:t xml:space="preserve">, </w:t>
      </w:r>
      <w:r w:rsidRPr="00D63B51">
        <w:rPr>
          <w:rFonts w:cs="Times New Roman"/>
          <w:szCs w:val="24"/>
        </w:rPr>
        <w:t>Witkin, Kreis, Overholtz</w:t>
      </w:r>
      <w:r w:rsidRPr="00D63B51">
        <w:rPr>
          <w:rFonts w:cs="Times New Roman"/>
          <w:szCs w:val="24"/>
        </w:rPr>
        <w:tab/>
        <w:t>Williams &amp; Connolly</w:t>
      </w:r>
      <w:r w:rsidRPr="00D63B51">
        <w:rPr>
          <w:rFonts w:cs="Times New Roman"/>
          <w:szCs w:val="24"/>
        </w:rPr>
        <w:tab/>
      </w:r>
      <w:r w:rsidRPr="00D63B51">
        <w:rPr>
          <w:rFonts w:cs="Times New Roman"/>
          <w:szCs w:val="24"/>
        </w:rPr>
        <w:tab/>
        <w:t>Dechert</w:t>
      </w:r>
    </w:p>
    <w:p w14:paraId="4DA2FC83" w14:textId="77777777" w:rsidR="00F62B2D" w:rsidRPr="00D63B51" w:rsidRDefault="00F62B2D" w:rsidP="00F62B2D">
      <w:pPr>
        <w:pStyle w:val="NoSpacing"/>
        <w:rPr>
          <w:rFonts w:cs="Times New Roman"/>
          <w:szCs w:val="24"/>
        </w:rPr>
      </w:pPr>
    </w:p>
    <w:p w14:paraId="00BE1E10" w14:textId="77777777" w:rsidR="00F62B2D" w:rsidRPr="00D63B51" w:rsidRDefault="00F62B2D" w:rsidP="00F62B2D">
      <w:pPr>
        <w:pStyle w:val="NoSpacing"/>
        <w:rPr>
          <w:rFonts w:cs="Times New Roman"/>
          <w:szCs w:val="24"/>
        </w:rPr>
      </w:pPr>
      <w:r w:rsidRPr="00D63B51">
        <w:rPr>
          <w:rFonts w:cs="Times New Roman"/>
          <w:szCs w:val="24"/>
        </w:rPr>
        <w:t>Brennan, Jessica</w:t>
      </w:r>
      <w:r w:rsidRPr="00D63B51">
        <w:rPr>
          <w:rFonts w:cs="Times New Roman"/>
          <w:szCs w:val="24"/>
        </w:rPr>
        <w:tab/>
      </w:r>
      <w:r w:rsidRPr="00D63B51">
        <w:rPr>
          <w:rFonts w:cs="Times New Roman"/>
          <w:szCs w:val="24"/>
        </w:rPr>
        <w:tab/>
      </w:r>
      <w:r w:rsidRPr="00D63B51">
        <w:rPr>
          <w:rFonts w:cs="Times New Roman"/>
          <w:szCs w:val="24"/>
        </w:rPr>
        <w:tab/>
        <w:t>Brown, Orran</w:t>
      </w:r>
      <w:r w:rsidRPr="00D63B51">
        <w:rPr>
          <w:rFonts w:cs="Times New Roman"/>
          <w:szCs w:val="24"/>
        </w:rPr>
        <w:tab/>
      </w:r>
      <w:r w:rsidRPr="00D63B51">
        <w:rPr>
          <w:rFonts w:cs="Times New Roman"/>
          <w:szCs w:val="24"/>
        </w:rPr>
        <w:tab/>
      </w:r>
      <w:r w:rsidRPr="00D63B51">
        <w:rPr>
          <w:rFonts w:cs="Times New Roman"/>
          <w:szCs w:val="24"/>
        </w:rPr>
        <w:tab/>
        <w:t>Childers, Andrew</w:t>
      </w:r>
    </w:p>
    <w:p w14:paraId="1893F194" w14:textId="77777777" w:rsidR="00F62B2D" w:rsidRPr="00D63B51" w:rsidRDefault="00F62B2D" w:rsidP="00F62B2D">
      <w:pPr>
        <w:pStyle w:val="NoSpacing"/>
        <w:rPr>
          <w:rFonts w:cs="Times New Roman"/>
          <w:szCs w:val="24"/>
        </w:rPr>
      </w:pPr>
      <w:r w:rsidRPr="00D63B51">
        <w:rPr>
          <w:rFonts w:cs="Times New Roman"/>
          <w:szCs w:val="24"/>
        </w:rPr>
        <w:t>Faegre Drinker Biddle</w:t>
      </w:r>
      <w:r w:rsidRPr="00D63B51">
        <w:rPr>
          <w:rFonts w:cs="Times New Roman"/>
          <w:szCs w:val="24"/>
        </w:rPr>
        <w:tab/>
        <w:t xml:space="preserve"> &amp; Reath</w:t>
      </w:r>
      <w:r w:rsidRPr="00D63B51">
        <w:rPr>
          <w:rFonts w:cs="Times New Roman"/>
          <w:szCs w:val="24"/>
        </w:rPr>
        <w:tab/>
        <w:t>BrownGreer</w:t>
      </w:r>
      <w:r w:rsidRPr="00D63B51">
        <w:rPr>
          <w:rFonts w:cs="Times New Roman"/>
          <w:szCs w:val="24"/>
        </w:rPr>
        <w:tab/>
      </w:r>
      <w:r w:rsidRPr="00D63B51">
        <w:rPr>
          <w:rFonts w:cs="Times New Roman"/>
          <w:szCs w:val="24"/>
        </w:rPr>
        <w:tab/>
      </w:r>
      <w:r w:rsidRPr="00D63B51">
        <w:rPr>
          <w:rFonts w:cs="Times New Roman"/>
          <w:szCs w:val="24"/>
        </w:rPr>
        <w:tab/>
        <w:t>Childers, Schlueter &amp; Smith</w:t>
      </w:r>
      <w:r w:rsidRPr="00D63B51">
        <w:rPr>
          <w:rFonts w:cs="Times New Roman"/>
          <w:szCs w:val="24"/>
        </w:rPr>
        <w:tab/>
      </w:r>
      <w:r w:rsidRPr="00D63B51">
        <w:rPr>
          <w:rFonts w:cs="Times New Roman"/>
          <w:szCs w:val="24"/>
        </w:rPr>
        <w:tab/>
      </w:r>
    </w:p>
    <w:p w14:paraId="7EA78338" w14:textId="77777777" w:rsidR="00F62B2D" w:rsidRPr="00D63B51" w:rsidRDefault="00F62B2D" w:rsidP="00F62B2D">
      <w:pPr>
        <w:pStyle w:val="NoSpacing"/>
        <w:rPr>
          <w:rFonts w:cs="Times New Roman"/>
          <w:szCs w:val="24"/>
        </w:rPr>
      </w:pPr>
      <w:r w:rsidRPr="00D63B51">
        <w:rPr>
          <w:rFonts w:cs="Times New Roman"/>
          <w:szCs w:val="24"/>
        </w:rPr>
        <w:t>Coan, Geoffrey</w:t>
      </w:r>
      <w:r w:rsidRPr="00D63B51">
        <w:rPr>
          <w:rFonts w:cs="Times New Roman"/>
          <w:szCs w:val="24"/>
        </w:rPr>
        <w:tab/>
      </w:r>
      <w:r w:rsidRPr="00D63B51">
        <w:rPr>
          <w:rFonts w:cs="Times New Roman"/>
          <w:szCs w:val="24"/>
        </w:rPr>
        <w:tab/>
      </w:r>
      <w:r w:rsidRPr="00D63B51">
        <w:rPr>
          <w:rFonts w:cs="Times New Roman"/>
          <w:szCs w:val="24"/>
        </w:rPr>
        <w:tab/>
        <w:t>Cooper, Edward</w:t>
      </w:r>
      <w:r w:rsidRPr="00D63B51">
        <w:rPr>
          <w:rFonts w:cs="Times New Roman"/>
          <w:szCs w:val="24"/>
        </w:rPr>
        <w:tab/>
      </w:r>
      <w:r w:rsidRPr="00D63B51">
        <w:rPr>
          <w:rFonts w:cs="Times New Roman"/>
          <w:szCs w:val="24"/>
        </w:rPr>
        <w:tab/>
        <w:t>Enloe, Courtney</w:t>
      </w:r>
    </w:p>
    <w:p w14:paraId="7B61F97B" w14:textId="77777777" w:rsidR="00F62B2D" w:rsidRPr="00D63B51" w:rsidRDefault="00F62B2D" w:rsidP="00F62B2D">
      <w:pPr>
        <w:pStyle w:val="NoSpacing"/>
        <w:rPr>
          <w:rFonts w:cs="Times New Roman"/>
          <w:szCs w:val="24"/>
        </w:rPr>
      </w:pPr>
      <w:r w:rsidRPr="00D63B51">
        <w:rPr>
          <w:rFonts w:cs="Times New Roman"/>
          <w:szCs w:val="24"/>
        </w:rPr>
        <w:t>Hinshaw &amp; Culbertson</w:t>
      </w:r>
      <w:r w:rsidRPr="00D63B51">
        <w:rPr>
          <w:rFonts w:cs="Times New Roman"/>
          <w:szCs w:val="24"/>
        </w:rPr>
        <w:tab/>
      </w:r>
      <w:r w:rsidRPr="00D63B51">
        <w:rPr>
          <w:rFonts w:cs="Times New Roman"/>
          <w:szCs w:val="24"/>
        </w:rPr>
        <w:tab/>
        <w:t>University of Michigan</w:t>
      </w:r>
      <w:r w:rsidRPr="00D63B51">
        <w:rPr>
          <w:rFonts w:cs="Times New Roman"/>
          <w:szCs w:val="24"/>
        </w:rPr>
        <w:tab/>
        <w:t>3M</w:t>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p>
    <w:p w14:paraId="78ACEF1F" w14:textId="77777777" w:rsidR="00F62B2D" w:rsidRPr="00D63B51" w:rsidRDefault="00F62B2D" w:rsidP="00F62B2D">
      <w:pPr>
        <w:pStyle w:val="NoSpacing"/>
        <w:rPr>
          <w:rFonts w:cs="Times New Roman"/>
          <w:szCs w:val="24"/>
        </w:rPr>
      </w:pPr>
      <w:r w:rsidRPr="00D63B51">
        <w:rPr>
          <w:rFonts w:cs="Times New Roman"/>
          <w:szCs w:val="24"/>
        </w:rPr>
        <w:t>Gorshe, Lisa</w:t>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t xml:space="preserve">Hazam, Lexi </w:t>
      </w:r>
      <w:r w:rsidRPr="00D63B51">
        <w:rPr>
          <w:rFonts w:cs="Times New Roman"/>
          <w:szCs w:val="24"/>
        </w:rPr>
        <w:tab/>
      </w:r>
      <w:r w:rsidRPr="00D63B51">
        <w:rPr>
          <w:rFonts w:cs="Times New Roman"/>
          <w:szCs w:val="24"/>
        </w:rPr>
        <w:tab/>
      </w:r>
      <w:r w:rsidRPr="00D63B51">
        <w:rPr>
          <w:rFonts w:cs="Times New Roman"/>
          <w:szCs w:val="24"/>
        </w:rPr>
        <w:tab/>
        <w:t>Hill, Larry</w:t>
      </w:r>
    </w:p>
    <w:p w14:paraId="1D5E79D1" w14:textId="77777777" w:rsidR="00F62B2D" w:rsidRPr="00D63B51" w:rsidRDefault="00F62B2D" w:rsidP="00F62B2D">
      <w:pPr>
        <w:pStyle w:val="NoSpacing"/>
        <w:rPr>
          <w:rFonts w:cs="Times New Roman"/>
          <w:szCs w:val="24"/>
        </w:rPr>
      </w:pPr>
      <w:r w:rsidRPr="00D63B51">
        <w:rPr>
          <w:rFonts w:cs="Times New Roman"/>
          <w:szCs w:val="24"/>
        </w:rPr>
        <w:t>Johnson Becker</w:t>
      </w:r>
      <w:r w:rsidRPr="00D63B51">
        <w:rPr>
          <w:rFonts w:cs="Times New Roman"/>
          <w:szCs w:val="24"/>
        </w:rPr>
        <w:tab/>
        <w:t xml:space="preserve">        Lieff Cabraser Heimann &amp; Bernstein</w:t>
      </w:r>
      <w:r w:rsidRPr="00D63B51">
        <w:rPr>
          <w:rFonts w:cs="Times New Roman"/>
          <w:szCs w:val="24"/>
        </w:rPr>
        <w:tab/>
        <w:t>Moore, Hill &amp; Westmoreland</w:t>
      </w:r>
      <w:r w:rsidRPr="00D63B51">
        <w:rPr>
          <w:rFonts w:cs="Times New Roman"/>
          <w:szCs w:val="24"/>
        </w:rPr>
        <w:tab/>
      </w:r>
    </w:p>
    <w:p w14:paraId="4C73FCA6" w14:textId="77777777" w:rsidR="00F62B2D" w:rsidRPr="00D63B51" w:rsidRDefault="00F62B2D" w:rsidP="00F62B2D">
      <w:pPr>
        <w:pStyle w:val="NoSpacing"/>
        <w:rPr>
          <w:rFonts w:cs="Times New Roman"/>
          <w:szCs w:val="24"/>
        </w:rPr>
      </w:pP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p>
    <w:p w14:paraId="18B04F36" w14:textId="77777777" w:rsidR="00F62B2D" w:rsidRPr="00D63B51" w:rsidRDefault="00F62B2D" w:rsidP="00F62B2D">
      <w:pPr>
        <w:pStyle w:val="NoSpacing"/>
        <w:rPr>
          <w:rFonts w:cs="Times New Roman"/>
          <w:szCs w:val="24"/>
        </w:rPr>
      </w:pPr>
      <w:r w:rsidRPr="00D63B51">
        <w:rPr>
          <w:rFonts w:cs="Times New Roman"/>
          <w:szCs w:val="24"/>
        </w:rPr>
        <w:t>Jackson, Brian</w:t>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t>Hon. Jones, Gary</w:t>
      </w:r>
      <w:r w:rsidRPr="00D63B51">
        <w:rPr>
          <w:rFonts w:cs="Times New Roman"/>
          <w:szCs w:val="24"/>
        </w:rPr>
        <w:tab/>
      </w:r>
      <w:r w:rsidRPr="00D63B51">
        <w:rPr>
          <w:rFonts w:cs="Times New Roman"/>
          <w:szCs w:val="24"/>
        </w:rPr>
        <w:tab/>
        <w:t>Kilaru, Rakesh</w:t>
      </w:r>
    </w:p>
    <w:p w14:paraId="3EDB9B77" w14:textId="77777777" w:rsidR="00F62B2D" w:rsidRPr="00D63B51" w:rsidRDefault="00F62B2D" w:rsidP="00F62B2D">
      <w:pPr>
        <w:pStyle w:val="NoSpacing"/>
        <w:rPr>
          <w:rFonts w:cs="Times New Roman"/>
          <w:szCs w:val="24"/>
        </w:rPr>
      </w:pPr>
      <w:r w:rsidRPr="00D63B51">
        <w:rPr>
          <w:rFonts w:cs="Times New Roman"/>
          <w:szCs w:val="24"/>
        </w:rPr>
        <w:t>Butler Snow</w:t>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t>N.D. Florida</w:t>
      </w:r>
      <w:r w:rsidRPr="00D63B51">
        <w:rPr>
          <w:rFonts w:cs="Times New Roman"/>
          <w:szCs w:val="24"/>
        </w:rPr>
        <w:tab/>
      </w:r>
      <w:r w:rsidRPr="00D63B51">
        <w:rPr>
          <w:rFonts w:cs="Times New Roman"/>
          <w:szCs w:val="24"/>
        </w:rPr>
        <w:tab/>
      </w:r>
      <w:r w:rsidRPr="00D63B51">
        <w:rPr>
          <w:rFonts w:cs="Times New Roman"/>
          <w:szCs w:val="24"/>
        </w:rPr>
        <w:tab/>
        <w:t>Wilkinson Stekloff</w:t>
      </w:r>
    </w:p>
    <w:p w14:paraId="09E7FDB3" w14:textId="77777777" w:rsidR="00F62B2D" w:rsidRPr="00D63B51" w:rsidRDefault="00F62B2D" w:rsidP="00F62B2D">
      <w:pPr>
        <w:pStyle w:val="NoSpacing"/>
        <w:rPr>
          <w:rFonts w:cs="Times New Roman"/>
          <w:szCs w:val="24"/>
        </w:rPr>
      </w:pPr>
    </w:p>
    <w:p w14:paraId="23FC6ADC" w14:textId="77777777" w:rsidR="00F62B2D" w:rsidRPr="00D63B51" w:rsidRDefault="00F62B2D" w:rsidP="00F62B2D">
      <w:pPr>
        <w:pStyle w:val="NoSpacing"/>
        <w:rPr>
          <w:rFonts w:cs="Times New Roman"/>
          <w:szCs w:val="24"/>
        </w:rPr>
      </w:pPr>
      <w:r w:rsidRPr="00D63B51">
        <w:rPr>
          <w:rFonts w:cs="Times New Roman"/>
          <w:szCs w:val="24"/>
        </w:rPr>
        <w:t>LaFata, Paul</w:t>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t>London, Sarah</w:t>
      </w:r>
      <w:r w:rsidRPr="00D63B51">
        <w:rPr>
          <w:rFonts w:cs="Times New Roman"/>
          <w:szCs w:val="24"/>
        </w:rPr>
        <w:tab/>
      </w:r>
      <w:r w:rsidRPr="00D63B51">
        <w:rPr>
          <w:rFonts w:cs="Times New Roman"/>
          <w:szCs w:val="24"/>
        </w:rPr>
        <w:tab/>
      </w:r>
      <w:r w:rsidRPr="00D63B51">
        <w:rPr>
          <w:rFonts w:cs="Times New Roman"/>
          <w:szCs w:val="24"/>
        </w:rPr>
        <w:tab/>
        <w:t>Maples, Janna</w:t>
      </w:r>
    </w:p>
    <w:p w14:paraId="259C418E" w14:textId="77777777" w:rsidR="00F62B2D" w:rsidRPr="00D63B51" w:rsidRDefault="00F62B2D" w:rsidP="00F62B2D">
      <w:pPr>
        <w:pStyle w:val="NoSpacing"/>
        <w:ind w:left="2160" w:hanging="2160"/>
        <w:rPr>
          <w:rFonts w:cs="Times New Roman"/>
          <w:szCs w:val="24"/>
        </w:rPr>
      </w:pPr>
      <w:r w:rsidRPr="00D63B51">
        <w:rPr>
          <w:rFonts w:cs="Times New Roman"/>
          <w:szCs w:val="24"/>
        </w:rPr>
        <w:t>Dechert</w:t>
      </w:r>
      <w:r w:rsidRPr="00D63B51">
        <w:rPr>
          <w:rFonts w:cs="Times New Roman"/>
          <w:szCs w:val="24"/>
        </w:rPr>
        <w:tab/>
        <w:t>Lieff Cabraser Heimann &amp; Bernstein</w:t>
      </w:r>
      <w:r w:rsidRPr="00D63B51">
        <w:rPr>
          <w:rFonts w:cs="Times New Roman"/>
          <w:szCs w:val="24"/>
        </w:rPr>
        <w:tab/>
        <w:t xml:space="preserve">     </w:t>
      </w:r>
      <w:r w:rsidRPr="00D63B51">
        <w:rPr>
          <w:rFonts w:cs="Times New Roman"/>
          <w:szCs w:val="24"/>
        </w:rPr>
        <w:tab/>
        <w:t xml:space="preserve">Branstetter Stranch </w:t>
      </w:r>
    </w:p>
    <w:p w14:paraId="768BB0EF" w14:textId="77777777" w:rsidR="00F62B2D" w:rsidRPr="00D63B51" w:rsidRDefault="00F62B2D" w:rsidP="00F62B2D">
      <w:pPr>
        <w:pStyle w:val="NoSpacing"/>
        <w:rPr>
          <w:rFonts w:cs="Times New Roman"/>
          <w:szCs w:val="24"/>
        </w:rPr>
      </w:pPr>
    </w:p>
    <w:p w14:paraId="680FC48C" w14:textId="77777777" w:rsidR="00F62B2D" w:rsidRPr="00D63B51" w:rsidRDefault="00F62B2D" w:rsidP="00F62B2D">
      <w:pPr>
        <w:pStyle w:val="NoSpacing"/>
        <w:rPr>
          <w:rFonts w:cs="Times New Roman"/>
          <w:szCs w:val="24"/>
        </w:rPr>
      </w:pPr>
      <w:r w:rsidRPr="00D63B51">
        <w:rPr>
          <w:rFonts w:cs="Times New Roman"/>
          <w:szCs w:val="24"/>
        </w:rPr>
        <w:t>McNabb, Kelly</w:t>
      </w:r>
      <w:r w:rsidRPr="00D63B51">
        <w:rPr>
          <w:rFonts w:cs="Times New Roman"/>
          <w:szCs w:val="24"/>
        </w:rPr>
        <w:tab/>
      </w:r>
      <w:r w:rsidRPr="00D63B51">
        <w:rPr>
          <w:rFonts w:cs="Times New Roman"/>
          <w:szCs w:val="24"/>
        </w:rPr>
        <w:tab/>
      </w:r>
      <w:r w:rsidRPr="00D63B51">
        <w:rPr>
          <w:rFonts w:cs="Times New Roman"/>
          <w:szCs w:val="24"/>
        </w:rPr>
        <w:tab/>
        <w:t>Mire, Dustin</w:t>
      </w:r>
      <w:r w:rsidRPr="00D63B51">
        <w:rPr>
          <w:rFonts w:cs="Times New Roman"/>
          <w:szCs w:val="24"/>
        </w:rPr>
        <w:tab/>
      </w:r>
      <w:r w:rsidRPr="00D63B51">
        <w:rPr>
          <w:rFonts w:cs="Times New Roman"/>
          <w:szCs w:val="24"/>
        </w:rPr>
        <w:tab/>
      </w:r>
      <w:r w:rsidRPr="00D63B51">
        <w:rPr>
          <w:rFonts w:cs="Times New Roman"/>
          <w:szCs w:val="24"/>
        </w:rPr>
        <w:tab/>
        <w:t>Morrison, Alan</w:t>
      </w:r>
    </w:p>
    <w:p w14:paraId="3FF41549" w14:textId="77777777" w:rsidR="00F62B2D" w:rsidRPr="00D63B51" w:rsidRDefault="00F62B2D" w:rsidP="00F62B2D">
      <w:pPr>
        <w:pStyle w:val="NoSpacing"/>
        <w:rPr>
          <w:rFonts w:cs="Times New Roman"/>
          <w:szCs w:val="24"/>
        </w:rPr>
      </w:pPr>
      <w:r w:rsidRPr="00D63B51">
        <w:rPr>
          <w:rFonts w:cs="Times New Roman"/>
          <w:szCs w:val="24"/>
        </w:rPr>
        <w:t xml:space="preserve">Lieff Cabraser </w:t>
      </w:r>
      <w:r w:rsidRPr="00D63B51">
        <w:rPr>
          <w:rFonts w:cs="Times New Roman"/>
          <w:szCs w:val="24"/>
        </w:rPr>
        <w:tab/>
        <w:t>Postlethwaite &amp; Netterville</w:t>
      </w:r>
      <w:r w:rsidRPr="00D63B51">
        <w:rPr>
          <w:rFonts w:cs="Times New Roman"/>
          <w:szCs w:val="24"/>
        </w:rPr>
        <w:tab/>
      </w:r>
      <w:r w:rsidRPr="00D63B51">
        <w:rPr>
          <w:rFonts w:cs="Times New Roman"/>
          <w:szCs w:val="24"/>
        </w:rPr>
        <w:tab/>
      </w:r>
      <w:r w:rsidRPr="00D63B51">
        <w:rPr>
          <w:rFonts w:cs="Times New Roman"/>
          <w:szCs w:val="24"/>
        </w:rPr>
        <w:tab/>
        <w:t>GW University</w:t>
      </w:r>
    </w:p>
    <w:p w14:paraId="11E176FA" w14:textId="77777777" w:rsidR="00F62B2D" w:rsidRPr="00D63B51" w:rsidRDefault="00F62B2D" w:rsidP="00F62B2D">
      <w:pPr>
        <w:pStyle w:val="NoSpacing"/>
        <w:rPr>
          <w:rFonts w:cs="Times New Roman"/>
          <w:szCs w:val="24"/>
        </w:rPr>
      </w:pP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p>
    <w:p w14:paraId="119E060D" w14:textId="77777777" w:rsidR="00F62B2D" w:rsidRPr="00D63B51" w:rsidRDefault="00F62B2D" w:rsidP="00F62B2D">
      <w:pPr>
        <w:pStyle w:val="NoSpacing"/>
        <w:rPr>
          <w:rFonts w:cs="Times New Roman"/>
          <w:szCs w:val="24"/>
        </w:rPr>
      </w:pPr>
      <w:r w:rsidRPr="00D63B51">
        <w:rPr>
          <w:rFonts w:cs="Times New Roman"/>
          <w:szCs w:val="24"/>
        </w:rPr>
        <w:t>Presby, Ellen</w:t>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t>Rockstad, Trevor</w:t>
      </w:r>
      <w:r w:rsidRPr="00D63B51">
        <w:rPr>
          <w:rFonts w:cs="Times New Roman"/>
          <w:szCs w:val="24"/>
        </w:rPr>
        <w:tab/>
      </w:r>
      <w:r w:rsidRPr="00D63B51">
        <w:rPr>
          <w:rFonts w:cs="Times New Roman"/>
          <w:szCs w:val="24"/>
        </w:rPr>
        <w:tab/>
        <w:t>Rothman, Alan</w:t>
      </w:r>
    </w:p>
    <w:p w14:paraId="765AE128" w14:textId="77777777" w:rsidR="00F62B2D" w:rsidRPr="00D63B51" w:rsidRDefault="00F62B2D" w:rsidP="00F62B2D">
      <w:pPr>
        <w:pStyle w:val="NoSpacing"/>
        <w:rPr>
          <w:rFonts w:cs="Times New Roman"/>
          <w:szCs w:val="24"/>
        </w:rPr>
      </w:pPr>
      <w:r w:rsidRPr="00D63B51">
        <w:rPr>
          <w:rFonts w:cs="Times New Roman"/>
          <w:szCs w:val="24"/>
        </w:rPr>
        <w:t xml:space="preserve">Ferrer Poirot Wansborough </w:t>
      </w:r>
      <w:r w:rsidRPr="00D63B51">
        <w:rPr>
          <w:rFonts w:cs="Times New Roman"/>
          <w:szCs w:val="24"/>
        </w:rPr>
        <w:tab/>
      </w:r>
      <w:r w:rsidRPr="00D63B51">
        <w:rPr>
          <w:rFonts w:cs="Times New Roman"/>
          <w:szCs w:val="24"/>
        </w:rPr>
        <w:tab/>
        <w:t>Davis &amp; Crump</w:t>
      </w:r>
      <w:r w:rsidRPr="00D63B51">
        <w:rPr>
          <w:rFonts w:cs="Times New Roman"/>
          <w:szCs w:val="24"/>
        </w:rPr>
        <w:tab/>
      </w:r>
      <w:r w:rsidRPr="00D63B51">
        <w:rPr>
          <w:rFonts w:cs="Times New Roman"/>
          <w:szCs w:val="24"/>
        </w:rPr>
        <w:tab/>
        <w:t>Sidley Austin</w:t>
      </w:r>
    </w:p>
    <w:p w14:paraId="177CC3D4" w14:textId="77777777" w:rsidR="00F62B2D" w:rsidRPr="00D63B51" w:rsidRDefault="00F62B2D" w:rsidP="00F62B2D">
      <w:pPr>
        <w:pStyle w:val="NoSpacing"/>
        <w:rPr>
          <w:rFonts w:cs="Times New Roman"/>
          <w:szCs w:val="24"/>
        </w:rPr>
      </w:pPr>
      <w:r w:rsidRPr="00D63B51">
        <w:rPr>
          <w:rFonts w:cs="Times New Roman"/>
          <w:szCs w:val="24"/>
        </w:rPr>
        <w:t>Feller Daniel</w:t>
      </w:r>
      <w:r w:rsidRPr="00D63B51">
        <w:rPr>
          <w:rFonts w:cs="Times New Roman"/>
          <w:szCs w:val="24"/>
        </w:rPr>
        <w:tab/>
      </w:r>
      <w:r w:rsidRPr="00D63B51">
        <w:rPr>
          <w:rFonts w:cs="Times New Roman"/>
          <w:szCs w:val="24"/>
        </w:rPr>
        <w:tab/>
      </w:r>
      <w:r w:rsidRPr="00D63B51">
        <w:rPr>
          <w:rFonts w:cs="Times New Roman"/>
          <w:szCs w:val="24"/>
        </w:rPr>
        <w:tab/>
      </w:r>
    </w:p>
    <w:p w14:paraId="28715F14" w14:textId="77777777" w:rsidR="00F62B2D" w:rsidRPr="00D63B51" w:rsidRDefault="00F62B2D" w:rsidP="00F62B2D">
      <w:pPr>
        <w:pStyle w:val="NoSpacing"/>
        <w:rPr>
          <w:rFonts w:cs="Times New Roman"/>
          <w:szCs w:val="24"/>
        </w:rPr>
      </w:pPr>
    </w:p>
    <w:p w14:paraId="20594B8C" w14:textId="77777777" w:rsidR="00F62B2D" w:rsidRPr="00D63B51" w:rsidRDefault="00F62B2D" w:rsidP="00F62B2D">
      <w:pPr>
        <w:pStyle w:val="NoSpacing"/>
        <w:rPr>
          <w:rFonts w:cs="Times New Roman"/>
          <w:szCs w:val="24"/>
        </w:rPr>
      </w:pPr>
      <w:r w:rsidRPr="00D63B51">
        <w:rPr>
          <w:rFonts w:cs="Times New Roman"/>
          <w:szCs w:val="24"/>
        </w:rPr>
        <w:t>Stoffelmayr, Kaspar</w:t>
      </w:r>
      <w:r w:rsidRPr="00D63B51">
        <w:rPr>
          <w:rFonts w:cs="Times New Roman"/>
          <w:szCs w:val="24"/>
        </w:rPr>
        <w:tab/>
      </w:r>
      <w:r w:rsidRPr="00D63B51">
        <w:rPr>
          <w:rFonts w:cs="Times New Roman"/>
          <w:szCs w:val="24"/>
        </w:rPr>
        <w:tab/>
      </w:r>
      <w:r w:rsidRPr="00D63B51">
        <w:rPr>
          <w:rFonts w:cs="Times New Roman"/>
          <w:szCs w:val="24"/>
        </w:rPr>
        <w:tab/>
        <w:t>Hon. Walker, Vaughn</w:t>
      </w:r>
      <w:r w:rsidRPr="00D63B51">
        <w:rPr>
          <w:rFonts w:cs="Times New Roman"/>
          <w:szCs w:val="24"/>
        </w:rPr>
        <w:tab/>
      </w:r>
      <w:r w:rsidRPr="00D63B51">
        <w:rPr>
          <w:rFonts w:cs="Times New Roman"/>
          <w:szCs w:val="24"/>
        </w:rPr>
        <w:tab/>
        <w:t>Zogby, Michael</w:t>
      </w:r>
    </w:p>
    <w:p w14:paraId="1CB40610" w14:textId="77777777" w:rsidR="00F62B2D" w:rsidRPr="00D63B51" w:rsidRDefault="00F62B2D" w:rsidP="00F62B2D">
      <w:pPr>
        <w:pStyle w:val="NoSpacing"/>
        <w:rPr>
          <w:rFonts w:cs="Times New Roman"/>
          <w:szCs w:val="24"/>
        </w:rPr>
      </w:pPr>
      <w:r w:rsidRPr="00D63B51">
        <w:rPr>
          <w:rFonts w:cs="Times New Roman"/>
          <w:szCs w:val="24"/>
        </w:rPr>
        <w:t>Bartlit Beck</w:t>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t>FedArb</w:t>
      </w:r>
      <w:r w:rsidRPr="00D63B51">
        <w:rPr>
          <w:rFonts w:cs="Times New Roman"/>
          <w:szCs w:val="24"/>
        </w:rPr>
        <w:tab/>
      </w:r>
      <w:r w:rsidRPr="00D63B51">
        <w:rPr>
          <w:rFonts w:cs="Times New Roman"/>
          <w:szCs w:val="24"/>
        </w:rPr>
        <w:tab/>
      </w:r>
      <w:r w:rsidRPr="00D63B51">
        <w:rPr>
          <w:rFonts w:cs="Times New Roman"/>
          <w:szCs w:val="24"/>
        </w:rPr>
        <w:tab/>
        <w:t>Barnes &amp;Thornburg</w:t>
      </w:r>
      <w:r w:rsidRPr="00D63B51">
        <w:rPr>
          <w:rFonts w:cs="Times New Roman"/>
          <w:szCs w:val="24"/>
        </w:rPr>
        <w:tab/>
      </w:r>
    </w:p>
    <w:p w14:paraId="4159633D" w14:textId="77777777" w:rsidR="00F62B2D" w:rsidRPr="00D63B51" w:rsidRDefault="00F62B2D" w:rsidP="00F62B2D">
      <w:pPr>
        <w:pStyle w:val="NoSpacing"/>
        <w:rPr>
          <w:rFonts w:cs="Times New Roman"/>
          <w:szCs w:val="24"/>
        </w:rPr>
      </w:pPr>
    </w:p>
    <w:p w14:paraId="1D40E352" w14:textId="77777777" w:rsidR="00F62B2D" w:rsidRPr="00D63B51" w:rsidRDefault="00F62B2D" w:rsidP="00F62B2D">
      <w:pPr>
        <w:pStyle w:val="NoSpacing"/>
        <w:rPr>
          <w:rFonts w:cs="Times New Roman"/>
          <w:szCs w:val="24"/>
        </w:rPr>
      </w:pPr>
      <w:r w:rsidRPr="00D63B51">
        <w:rPr>
          <w:rFonts w:cs="Times New Roman"/>
          <w:szCs w:val="24"/>
        </w:rPr>
        <w:t>Zousmer, Julia</w:t>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t>Angela C. Browning</w:t>
      </w:r>
    </w:p>
    <w:p w14:paraId="5D5D7131" w14:textId="77777777" w:rsidR="00F62B2D" w:rsidRPr="00D63B51" w:rsidRDefault="00F62B2D" w:rsidP="00F62B2D">
      <w:pPr>
        <w:pStyle w:val="NoSpacing"/>
        <w:rPr>
          <w:rFonts w:cs="Times New Roman"/>
          <w:szCs w:val="24"/>
        </w:rPr>
      </w:pPr>
      <w:r w:rsidRPr="00D63B51">
        <w:rPr>
          <w:rFonts w:cs="Times New Roman"/>
          <w:szCs w:val="24"/>
        </w:rPr>
        <w:t>King &amp; Spaulding</w:t>
      </w:r>
      <w:r w:rsidRPr="00D63B51">
        <w:rPr>
          <w:rFonts w:cs="Times New Roman"/>
          <w:szCs w:val="24"/>
        </w:rPr>
        <w:tab/>
      </w:r>
      <w:r w:rsidRPr="00D63B51">
        <w:rPr>
          <w:rFonts w:cs="Times New Roman"/>
          <w:szCs w:val="24"/>
        </w:rPr>
        <w:tab/>
      </w:r>
      <w:r w:rsidRPr="00D63B51">
        <w:rPr>
          <w:rFonts w:cs="Times New Roman"/>
          <w:szCs w:val="24"/>
        </w:rPr>
        <w:tab/>
        <w:t>Litigation Management, Inc.</w:t>
      </w:r>
    </w:p>
    <w:p w14:paraId="64CC4BAD" w14:textId="77777777" w:rsidR="00F62B2D" w:rsidRPr="00D63B51" w:rsidRDefault="00F62B2D" w:rsidP="00F62B2D">
      <w:pPr>
        <w:rPr>
          <w:rFonts w:cs="Times New Roman"/>
        </w:rPr>
      </w:pPr>
    </w:p>
    <w:p w14:paraId="0C8014C0" w14:textId="77777777" w:rsidR="00F62B2D" w:rsidRPr="00D63B51" w:rsidRDefault="00F62B2D" w:rsidP="00F62B2D">
      <w:pPr>
        <w:spacing w:before="120"/>
        <w:jc w:val="center"/>
        <w:rPr>
          <w:rFonts w:cs="Times New Roman"/>
          <w:b/>
          <w:smallCaps/>
        </w:rPr>
      </w:pPr>
      <w:r w:rsidRPr="00D63B51">
        <w:rPr>
          <w:rFonts w:cs="Times New Roman"/>
          <w:b/>
          <w:smallCaps/>
        </w:rPr>
        <w:t>* * * * * * * * * * * *</w:t>
      </w:r>
    </w:p>
    <w:p w14:paraId="28A8C89E" w14:textId="77777777" w:rsidR="00F62B2D" w:rsidRPr="00D63B51" w:rsidRDefault="00F62B2D" w:rsidP="00F62B2D">
      <w:pPr>
        <w:spacing w:after="160"/>
        <w:jc w:val="center"/>
        <w:rPr>
          <w:rFonts w:ascii="Times New Roman Bold" w:hAnsi="Times New Roman Bold" w:cs="Times New Roman"/>
          <w:b/>
          <w:smallCaps/>
        </w:rPr>
      </w:pPr>
    </w:p>
    <w:p w14:paraId="6E251815" w14:textId="77777777" w:rsidR="00F62B2D" w:rsidRPr="00D63B51" w:rsidRDefault="00F62B2D" w:rsidP="00F62B2D">
      <w:pPr>
        <w:spacing w:after="120"/>
        <w:jc w:val="center"/>
        <w:rPr>
          <w:rFonts w:cs="Times New Roman"/>
          <w:b/>
        </w:rPr>
      </w:pPr>
      <w:r w:rsidRPr="00D63B51">
        <w:rPr>
          <w:rFonts w:cs="Times New Roman"/>
          <w:b/>
        </w:rPr>
        <w:lastRenderedPageBreak/>
        <w:t>Permanent Nos. MDL-</w:t>
      </w:r>
      <w:r w:rsidRPr="00D63B51">
        <w:rPr>
          <w:rFonts w:cs="Times New Roman"/>
          <w:b/>
          <w:color w:val="auto"/>
        </w:rPr>
        <w:t>§ 4</w:t>
      </w:r>
      <w:r w:rsidRPr="00D63B51">
        <w:rPr>
          <w:rFonts w:cs="Times New Roman"/>
          <w:b/>
        </w:rPr>
        <w:t xml:space="preserve"> (Issued February 1, 2024)</w:t>
      </w:r>
    </w:p>
    <w:p w14:paraId="2019D0CC" w14:textId="77777777" w:rsidR="00F62B2D" w:rsidRPr="00D63B51" w:rsidRDefault="00F62B2D" w:rsidP="00F62B2D">
      <w:pPr>
        <w:jc w:val="center"/>
        <w:rPr>
          <w:rFonts w:cs="Times New Roman"/>
          <w:b/>
        </w:rPr>
      </w:pPr>
      <w:r w:rsidRPr="00D63B51">
        <w:rPr>
          <w:rFonts w:eastAsia="Times New Roman" w:cs="Times New Roman"/>
          <w:b/>
          <w:bCs/>
        </w:rPr>
        <w:t>MDL -- Staying Proceedings in an Action Pending JPML Orders</w:t>
      </w:r>
    </w:p>
    <w:p w14:paraId="196BDCA2" w14:textId="77777777" w:rsidR="00F62B2D" w:rsidRPr="00D63B51" w:rsidRDefault="00F62B2D" w:rsidP="00F62B2D">
      <w:pPr>
        <w:spacing w:after="120"/>
        <w:jc w:val="center"/>
        <w:rPr>
          <w:rFonts w:cs="Times New Roman"/>
          <w:b/>
        </w:rPr>
      </w:pPr>
    </w:p>
    <w:p w14:paraId="59FBE102" w14:textId="77777777" w:rsidR="00F62B2D" w:rsidRPr="00D63B51" w:rsidRDefault="00F62B2D" w:rsidP="00F62B2D">
      <w:pPr>
        <w:spacing w:before="120" w:line="360" w:lineRule="auto"/>
        <w:jc w:val="center"/>
        <w:rPr>
          <w:rFonts w:cs="Times New Roman"/>
          <w:b/>
          <w:bCs/>
        </w:rPr>
      </w:pPr>
      <w:r w:rsidRPr="00D63B51">
        <w:rPr>
          <w:rFonts w:cs="Times New Roman"/>
          <w:b/>
          <w:bCs/>
        </w:rPr>
        <w:t>TEAM LEADER</w:t>
      </w:r>
    </w:p>
    <w:p w14:paraId="2EF3DF5F" w14:textId="77777777" w:rsidR="00F62B2D" w:rsidRPr="00D63B51" w:rsidRDefault="00F62B2D" w:rsidP="00F62B2D">
      <w:pPr>
        <w:pStyle w:val="NoSpacing"/>
        <w:jc w:val="center"/>
        <w:rPr>
          <w:rFonts w:cs="Times New Roman"/>
          <w:szCs w:val="24"/>
        </w:rPr>
      </w:pPr>
      <w:r w:rsidRPr="00D63B51">
        <w:rPr>
          <w:rFonts w:cs="Times New Roman"/>
          <w:szCs w:val="24"/>
        </w:rPr>
        <w:t>Weibell, Tony</w:t>
      </w:r>
    </w:p>
    <w:p w14:paraId="5CCD0A97" w14:textId="77777777" w:rsidR="00F62B2D" w:rsidRPr="00D63B51" w:rsidRDefault="00F62B2D" w:rsidP="00F62B2D">
      <w:pPr>
        <w:jc w:val="center"/>
        <w:rPr>
          <w:rFonts w:cs="Times New Roman"/>
        </w:rPr>
      </w:pPr>
      <w:r w:rsidRPr="00D63B51">
        <w:rPr>
          <w:rFonts w:cs="Times New Roman"/>
          <w:color w:val="4A4A4A"/>
          <w:shd w:val="clear" w:color="auto" w:fill="FFFFFF"/>
        </w:rPr>
        <w:t>Wilson Sonsini Goodrich &amp; Rosat</w:t>
      </w:r>
      <w:r w:rsidRPr="00D63B51">
        <w:rPr>
          <w:rFonts w:cs="Times New Roman"/>
        </w:rPr>
        <w:t>i LLP</w:t>
      </w:r>
    </w:p>
    <w:p w14:paraId="411C1CD8" w14:textId="77777777" w:rsidR="00F62B2D" w:rsidRPr="00D63B51" w:rsidRDefault="00F62B2D" w:rsidP="00F62B2D">
      <w:pPr>
        <w:jc w:val="center"/>
        <w:rPr>
          <w:rFonts w:cs="Times New Roman"/>
        </w:rPr>
      </w:pPr>
    </w:p>
    <w:p w14:paraId="6E8B6A13" w14:textId="77777777" w:rsidR="00F62B2D" w:rsidRPr="00D63B51" w:rsidRDefault="00F62B2D" w:rsidP="00F62B2D">
      <w:pPr>
        <w:jc w:val="center"/>
        <w:rPr>
          <w:rFonts w:cs="Times New Roman"/>
          <w:b/>
          <w:bCs/>
        </w:rPr>
      </w:pPr>
      <w:r w:rsidRPr="00D63B51">
        <w:rPr>
          <w:rFonts w:cs="Times New Roman"/>
          <w:b/>
          <w:bCs/>
        </w:rPr>
        <w:t>CONTRIBUTORS</w:t>
      </w:r>
    </w:p>
    <w:p w14:paraId="75715269" w14:textId="77777777" w:rsidR="00F62B2D" w:rsidRPr="00D63B51" w:rsidRDefault="00F62B2D" w:rsidP="00F62B2D">
      <w:pPr>
        <w:pStyle w:val="NoSpacing"/>
        <w:rPr>
          <w:rFonts w:cs="Times New Roman"/>
          <w:szCs w:val="24"/>
        </w:rPr>
      </w:pPr>
      <w:r w:rsidRPr="00D63B51">
        <w:rPr>
          <w:rFonts w:cs="Times New Roman"/>
          <w:szCs w:val="24"/>
        </w:rPr>
        <w:t>Segui, Harper Todd</w:t>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r>
      <w:r w:rsidRPr="00D63B51">
        <w:rPr>
          <w:rFonts w:cs="Times New Roman"/>
          <w:szCs w:val="24"/>
        </w:rPr>
        <w:tab/>
        <w:t>Dunham, Douglas</w:t>
      </w:r>
    </w:p>
    <w:p w14:paraId="17737B8F" w14:textId="77777777" w:rsidR="00F62B2D" w:rsidRPr="00D63B51" w:rsidRDefault="00F62B2D" w:rsidP="00F62B2D">
      <w:pPr>
        <w:pStyle w:val="NoSpacing"/>
        <w:rPr>
          <w:rFonts w:eastAsia="Times New Roman" w:cs="Times New Roman"/>
          <w:szCs w:val="24"/>
        </w:rPr>
      </w:pPr>
      <w:r w:rsidRPr="00D63B51">
        <w:rPr>
          <w:rFonts w:cs="Times New Roman"/>
          <w:color w:val="4A4A4A"/>
          <w:szCs w:val="24"/>
          <w:shd w:val="clear" w:color="auto" w:fill="FFFFFF"/>
        </w:rPr>
        <w:t>Milberg Coleman Bryson Phillips Grossman</w:t>
      </w:r>
      <w:r w:rsidRPr="00D63B51">
        <w:rPr>
          <w:rFonts w:cs="Times New Roman"/>
          <w:color w:val="4A4A4A"/>
          <w:szCs w:val="24"/>
          <w:shd w:val="clear" w:color="auto" w:fill="FFFFFF"/>
        </w:rPr>
        <w:tab/>
        <w:t>LLP</w:t>
      </w:r>
      <w:r w:rsidRPr="00D63B51">
        <w:rPr>
          <w:rFonts w:cs="Times New Roman"/>
          <w:color w:val="4A4A4A"/>
          <w:szCs w:val="24"/>
          <w:shd w:val="clear" w:color="auto" w:fill="FFFFFF"/>
        </w:rPr>
        <w:tab/>
      </w:r>
      <w:r w:rsidRPr="00D63B51">
        <w:rPr>
          <w:rFonts w:cs="Times New Roman"/>
          <w:color w:val="4A4A4A"/>
          <w:szCs w:val="24"/>
          <w:shd w:val="clear" w:color="auto" w:fill="FFFFFF"/>
        </w:rPr>
        <w:tab/>
      </w:r>
      <w:r w:rsidRPr="00D63B51">
        <w:rPr>
          <w:rFonts w:cs="Times New Roman"/>
          <w:color w:val="4A4A4A"/>
          <w:szCs w:val="24"/>
          <w:shd w:val="clear" w:color="auto" w:fill="FFFFFF"/>
        </w:rPr>
        <w:tab/>
        <w:t>Dechert LLP</w:t>
      </w:r>
    </w:p>
    <w:p w14:paraId="4457E8B4" w14:textId="77777777" w:rsidR="00F62B2D" w:rsidRPr="00D63B51" w:rsidRDefault="00F62B2D" w:rsidP="00F62B2D">
      <w:pPr>
        <w:spacing w:after="120"/>
        <w:jc w:val="center"/>
        <w:rPr>
          <w:rFonts w:cs="Times New Roman"/>
          <w:b/>
        </w:rPr>
      </w:pPr>
    </w:p>
    <w:p w14:paraId="7B870D5D" w14:textId="77777777" w:rsidR="00F62B2D" w:rsidRPr="00D63B51" w:rsidRDefault="00F62B2D" w:rsidP="00F62B2D">
      <w:pPr>
        <w:spacing w:before="120"/>
        <w:jc w:val="center"/>
        <w:rPr>
          <w:rFonts w:cs="Times New Roman"/>
          <w:b/>
          <w:smallCaps/>
        </w:rPr>
      </w:pPr>
      <w:r w:rsidRPr="00D63B51">
        <w:rPr>
          <w:rFonts w:cs="Times New Roman"/>
          <w:b/>
          <w:smallCaps/>
        </w:rPr>
        <w:t>* * * * * * * * * * * *</w:t>
      </w:r>
    </w:p>
    <w:p w14:paraId="3C3E8D2B" w14:textId="77777777" w:rsidR="00F62B2D" w:rsidRPr="00D63B51" w:rsidRDefault="00F62B2D" w:rsidP="00F62B2D">
      <w:pPr>
        <w:spacing w:before="120"/>
        <w:jc w:val="center"/>
        <w:rPr>
          <w:rFonts w:cs="Times New Roman"/>
          <w:b/>
          <w:smallCaps/>
        </w:rPr>
      </w:pPr>
    </w:p>
    <w:p w14:paraId="46BA8F8D" w14:textId="77777777" w:rsidR="00F62B2D" w:rsidRPr="00D63B51" w:rsidRDefault="00F62B2D" w:rsidP="00F62B2D">
      <w:pPr>
        <w:spacing w:after="120"/>
        <w:jc w:val="center"/>
        <w:rPr>
          <w:rFonts w:cs="Times New Roman"/>
          <w:b/>
        </w:rPr>
      </w:pPr>
      <w:r w:rsidRPr="00D63B51">
        <w:rPr>
          <w:rFonts w:cs="Times New Roman"/>
          <w:b/>
        </w:rPr>
        <w:t>Permanent Nos. MDL-</w:t>
      </w:r>
      <w:r w:rsidRPr="00D63B51">
        <w:rPr>
          <w:rFonts w:cs="Times New Roman"/>
          <w:b/>
          <w:color w:val="auto"/>
        </w:rPr>
        <w:t>§ 5, §6, §7 and §8</w:t>
      </w:r>
      <w:r w:rsidRPr="00D63B51">
        <w:rPr>
          <w:rFonts w:cs="Times New Roman"/>
          <w:b/>
        </w:rPr>
        <w:t xml:space="preserve"> (Issued March 1, 2024)</w:t>
      </w:r>
    </w:p>
    <w:p w14:paraId="7E21E165" w14:textId="77777777" w:rsidR="00F62B2D" w:rsidRPr="00D63B51" w:rsidRDefault="00F62B2D" w:rsidP="00F62B2D">
      <w:pPr>
        <w:jc w:val="center"/>
        <w:rPr>
          <w:rFonts w:cs="Times New Roman"/>
          <w:b/>
        </w:rPr>
      </w:pPr>
      <w:r w:rsidRPr="00D63B51">
        <w:rPr>
          <w:rFonts w:eastAsia="Times New Roman" w:cs="Times New Roman"/>
          <w:b/>
          <w:bCs/>
        </w:rPr>
        <w:t xml:space="preserve">Mass-Tort MDL Bankruptcy Judicial-Estimation of Values of Tort Claims  </w:t>
      </w:r>
    </w:p>
    <w:p w14:paraId="74D0E356" w14:textId="77777777" w:rsidR="00F62B2D" w:rsidRPr="00D63B51" w:rsidRDefault="00F62B2D" w:rsidP="00F62B2D">
      <w:pPr>
        <w:spacing w:after="120"/>
        <w:jc w:val="center"/>
        <w:rPr>
          <w:rFonts w:cs="Times New Roman"/>
          <w:b/>
        </w:rPr>
      </w:pPr>
    </w:p>
    <w:p w14:paraId="0CAE5FFE" w14:textId="77777777" w:rsidR="00F62B2D" w:rsidRPr="00D63B51" w:rsidRDefault="00F62B2D" w:rsidP="00F62B2D">
      <w:pPr>
        <w:spacing w:before="120"/>
        <w:ind w:firstLine="720"/>
        <w:jc w:val="both"/>
        <w:rPr>
          <w:rFonts w:cs="Times New Roman"/>
        </w:rPr>
      </w:pPr>
      <w:r w:rsidRPr="00D63B51">
        <w:rPr>
          <w:rFonts w:cs="Times New Roman"/>
        </w:rPr>
        <w:t xml:space="preserve">The draft is the work product of eleven experienced practitioners and other experts, who devoted substantial time and effort to improve the law. David Molton, Eric Goodman, and James Stengel assumed greater drafting responsibility. </w:t>
      </w:r>
    </w:p>
    <w:p w14:paraId="18A54F98" w14:textId="77777777" w:rsidR="00F62B2D" w:rsidRPr="00D63B51" w:rsidRDefault="00F62B2D" w:rsidP="00F62B2D">
      <w:pPr>
        <w:jc w:val="center"/>
        <w:rPr>
          <w:rFonts w:cs="Times New Roman"/>
          <w:b/>
          <w:bCs/>
        </w:rPr>
      </w:pPr>
    </w:p>
    <w:p w14:paraId="18EB362A" w14:textId="77777777" w:rsidR="00F62B2D" w:rsidRPr="00D63B51" w:rsidRDefault="00F62B2D" w:rsidP="00F62B2D">
      <w:pPr>
        <w:jc w:val="center"/>
        <w:rPr>
          <w:rFonts w:cs="Times New Roman"/>
          <w:b/>
          <w:bCs/>
        </w:rPr>
      </w:pPr>
      <w:r w:rsidRPr="00D63B51">
        <w:rPr>
          <w:rFonts w:cs="Times New Roman"/>
          <w:b/>
          <w:bCs/>
        </w:rPr>
        <w:t>CONTRIBUTORS</w:t>
      </w:r>
    </w:p>
    <w:p w14:paraId="1289A8BA" w14:textId="77777777" w:rsidR="00F62B2D" w:rsidRPr="00D63B51" w:rsidRDefault="00F62B2D" w:rsidP="00F62B2D">
      <w:pPr>
        <w:jc w:val="center"/>
        <w:rPr>
          <w:rFonts w:cs="Times New Roman"/>
          <w:b/>
          <w:bCs/>
        </w:rPr>
      </w:pPr>
    </w:p>
    <w:p w14:paraId="461A9547" w14:textId="77777777" w:rsidR="00F62B2D" w:rsidRPr="00D63B51" w:rsidRDefault="00F62B2D" w:rsidP="00F62B2D">
      <w:pPr>
        <w:rPr>
          <w:rFonts w:cs="Times New Roman"/>
        </w:rPr>
      </w:pPr>
      <w:r w:rsidRPr="00D63B51">
        <w:rPr>
          <w:rFonts w:cs="Times New Roman"/>
        </w:rPr>
        <w:t>DeLuca, Nicholas</w:t>
      </w:r>
      <w:r w:rsidRPr="00D63B51">
        <w:rPr>
          <w:rFonts w:cs="Times New Roman"/>
        </w:rPr>
        <w:tab/>
      </w:r>
      <w:r w:rsidRPr="00D63B51">
        <w:rPr>
          <w:rFonts w:cs="Times New Roman"/>
        </w:rPr>
        <w:tab/>
        <w:t>Diers, Erin</w:t>
      </w:r>
      <w:r w:rsidRPr="00D63B51">
        <w:rPr>
          <w:rFonts w:cs="Times New Roman"/>
        </w:rPr>
        <w:tab/>
      </w:r>
      <w:r w:rsidRPr="00D63B51">
        <w:rPr>
          <w:rFonts w:cs="Times New Roman"/>
        </w:rPr>
        <w:tab/>
      </w:r>
      <w:r w:rsidRPr="00D63B51">
        <w:rPr>
          <w:rFonts w:cs="Times New Roman"/>
        </w:rPr>
        <w:tab/>
      </w:r>
      <w:r w:rsidRPr="00D63B51">
        <w:rPr>
          <w:rFonts w:cs="Times New Roman"/>
        </w:rPr>
        <w:tab/>
        <w:t>Gibbs, Ginger</w:t>
      </w:r>
    </w:p>
    <w:p w14:paraId="04DD96FE" w14:textId="77777777" w:rsidR="00F62B2D" w:rsidRPr="00D63B51" w:rsidRDefault="00F62B2D" w:rsidP="00F62B2D">
      <w:pPr>
        <w:rPr>
          <w:rFonts w:cs="Times New Roman"/>
        </w:rPr>
      </w:pPr>
      <w:r w:rsidRPr="00D63B51">
        <w:rPr>
          <w:rFonts w:cs="Times New Roman"/>
        </w:rPr>
        <w:t>Alvarez &amp; Marsal</w:t>
      </w:r>
      <w:r w:rsidRPr="00D63B51">
        <w:rPr>
          <w:rFonts w:cs="Times New Roman"/>
        </w:rPr>
        <w:tab/>
      </w:r>
      <w:r w:rsidRPr="00D63B51">
        <w:rPr>
          <w:rFonts w:cs="Times New Roman"/>
        </w:rPr>
        <w:tab/>
        <w:t>Hughes Hubbard &amp; Reed LLP</w:t>
      </w:r>
      <w:r w:rsidRPr="00D63B51">
        <w:rPr>
          <w:rFonts w:cs="Times New Roman"/>
        </w:rPr>
        <w:tab/>
        <w:t>Thornton Law Firm</w:t>
      </w:r>
    </w:p>
    <w:p w14:paraId="43F64BB7" w14:textId="77777777" w:rsidR="00F62B2D" w:rsidRPr="00D63B51" w:rsidRDefault="00F62B2D" w:rsidP="00F62B2D">
      <w:pPr>
        <w:rPr>
          <w:rFonts w:cs="Times New Roman"/>
        </w:rPr>
      </w:pPr>
    </w:p>
    <w:p w14:paraId="5AC38338" w14:textId="77777777" w:rsidR="00F62B2D" w:rsidRPr="00D63B51" w:rsidRDefault="00F62B2D" w:rsidP="00F62B2D">
      <w:pPr>
        <w:rPr>
          <w:rFonts w:cs="Times New Roman"/>
        </w:rPr>
      </w:pPr>
      <w:r w:rsidRPr="00D63B51">
        <w:rPr>
          <w:rFonts w:cs="Times New Roman"/>
        </w:rPr>
        <w:t xml:space="preserve">Goodman, Eric </w:t>
      </w:r>
      <w:r w:rsidRPr="00D63B51">
        <w:rPr>
          <w:rFonts w:cs="Times New Roman"/>
        </w:rPr>
        <w:tab/>
      </w:r>
      <w:r w:rsidRPr="00D63B51">
        <w:rPr>
          <w:rFonts w:cs="Times New Roman"/>
        </w:rPr>
        <w:tab/>
        <w:t>Greenspan, Deborah</w:t>
      </w:r>
      <w:r w:rsidRPr="00D63B51">
        <w:rPr>
          <w:rFonts w:cs="Times New Roman"/>
        </w:rPr>
        <w:tab/>
      </w:r>
      <w:r w:rsidRPr="00D63B51">
        <w:rPr>
          <w:rFonts w:cs="Times New Roman"/>
        </w:rPr>
        <w:tab/>
      </w:r>
      <w:r w:rsidRPr="00D63B51">
        <w:rPr>
          <w:rFonts w:cs="Times New Roman"/>
        </w:rPr>
        <w:tab/>
        <w:t>Lauria, Jessica</w:t>
      </w:r>
      <w:r w:rsidRPr="00D63B51">
        <w:rPr>
          <w:rFonts w:cs="Times New Roman"/>
        </w:rPr>
        <w:tab/>
      </w:r>
    </w:p>
    <w:p w14:paraId="198DF016" w14:textId="77777777" w:rsidR="00F62B2D" w:rsidRPr="00D63B51" w:rsidRDefault="00F62B2D" w:rsidP="00F62B2D">
      <w:pPr>
        <w:rPr>
          <w:rFonts w:cs="Times New Roman"/>
        </w:rPr>
      </w:pPr>
      <w:r w:rsidRPr="00D63B51">
        <w:rPr>
          <w:rFonts w:cs="Times New Roman"/>
        </w:rPr>
        <w:t xml:space="preserve">Brown Rudnick LLP </w:t>
      </w:r>
      <w:r w:rsidRPr="00D63B51">
        <w:rPr>
          <w:rFonts w:cs="Times New Roman"/>
        </w:rPr>
        <w:tab/>
      </w:r>
      <w:r w:rsidRPr="00D63B51">
        <w:rPr>
          <w:rFonts w:cs="Times New Roman"/>
        </w:rPr>
        <w:tab/>
        <w:t>Blank Rome</w:t>
      </w:r>
      <w:r w:rsidRPr="00D63B51">
        <w:rPr>
          <w:rFonts w:cs="Times New Roman"/>
        </w:rPr>
        <w:tab/>
      </w:r>
      <w:r w:rsidRPr="00D63B51">
        <w:rPr>
          <w:rFonts w:cs="Times New Roman"/>
        </w:rPr>
        <w:tab/>
      </w:r>
      <w:r w:rsidRPr="00D63B51">
        <w:rPr>
          <w:rFonts w:cs="Times New Roman"/>
        </w:rPr>
        <w:tab/>
      </w:r>
      <w:r w:rsidRPr="00D63B51">
        <w:rPr>
          <w:rFonts w:cs="Times New Roman"/>
        </w:rPr>
        <w:tab/>
        <w:t>White &amp; Case</w:t>
      </w:r>
      <w:r w:rsidRPr="00D63B51">
        <w:rPr>
          <w:rFonts w:cs="Times New Roman"/>
        </w:rPr>
        <w:tab/>
        <w:t>LLP</w:t>
      </w:r>
    </w:p>
    <w:p w14:paraId="75402F51" w14:textId="77777777" w:rsidR="00F62B2D" w:rsidRPr="00D63B51" w:rsidRDefault="00F62B2D" w:rsidP="00F62B2D">
      <w:pPr>
        <w:rPr>
          <w:rFonts w:cs="Times New Roman"/>
        </w:rPr>
      </w:pPr>
    </w:p>
    <w:p w14:paraId="3A642086" w14:textId="77777777" w:rsidR="00F62B2D" w:rsidRPr="00D63B51" w:rsidRDefault="00F62B2D" w:rsidP="00F62B2D">
      <w:pPr>
        <w:rPr>
          <w:rFonts w:cs="Times New Roman"/>
        </w:rPr>
      </w:pPr>
      <w:r w:rsidRPr="00D63B51">
        <w:rPr>
          <w:rFonts w:cs="Times New Roman"/>
        </w:rPr>
        <w:t>Molton, David</w:t>
      </w:r>
      <w:r w:rsidRPr="00D63B51">
        <w:rPr>
          <w:rFonts w:cs="Times New Roman"/>
        </w:rPr>
        <w:tab/>
      </w:r>
      <w:r w:rsidRPr="00D63B51">
        <w:rPr>
          <w:rFonts w:cs="Times New Roman"/>
        </w:rPr>
        <w:tab/>
      </w:r>
      <w:r w:rsidRPr="00D63B51">
        <w:rPr>
          <w:rFonts w:cs="Times New Roman"/>
        </w:rPr>
        <w:tab/>
        <w:t xml:space="preserve">Pfister, Robert </w:t>
      </w:r>
      <w:r w:rsidRPr="00D63B51">
        <w:rPr>
          <w:rFonts w:cs="Times New Roman"/>
        </w:rPr>
        <w:tab/>
      </w:r>
      <w:r w:rsidRPr="00D63B51">
        <w:rPr>
          <w:rFonts w:cs="Times New Roman"/>
        </w:rPr>
        <w:tab/>
      </w:r>
      <w:r w:rsidRPr="00D63B51">
        <w:rPr>
          <w:rFonts w:cs="Times New Roman"/>
        </w:rPr>
        <w:tab/>
        <w:t>Posin, Kimberly</w:t>
      </w:r>
      <w:r w:rsidRPr="00D63B51">
        <w:rPr>
          <w:rFonts w:cs="Times New Roman"/>
        </w:rPr>
        <w:tab/>
      </w:r>
      <w:r w:rsidRPr="00D63B51">
        <w:rPr>
          <w:rFonts w:cs="Times New Roman"/>
        </w:rPr>
        <w:tab/>
      </w:r>
    </w:p>
    <w:p w14:paraId="2E409650" w14:textId="77777777" w:rsidR="00F62B2D" w:rsidRPr="00D63B51" w:rsidRDefault="00F62B2D" w:rsidP="00F62B2D">
      <w:pPr>
        <w:rPr>
          <w:rFonts w:cs="Times New Roman"/>
        </w:rPr>
      </w:pPr>
      <w:r w:rsidRPr="00D63B51">
        <w:rPr>
          <w:rFonts w:cs="Times New Roman"/>
        </w:rPr>
        <w:t>Brown Rudnick LLP</w:t>
      </w:r>
      <w:r w:rsidRPr="00D63B51">
        <w:rPr>
          <w:rFonts w:cs="Times New Roman"/>
        </w:rPr>
        <w:tab/>
      </w:r>
      <w:r w:rsidRPr="00D63B51">
        <w:rPr>
          <w:rFonts w:cs="Times New Roman"/>
        </w:rPr>
        <w:tab/>
      </w:r>
      <w:r w:rsidRPr="00D63B51">
        <w:rPr>
          <w:rFonts w:cs="Times New Roman"/>
        </w:rPr>
        <w:tab/>
      </w:r>
      <w:r w:rsidRPr="00D63B51">
        <w:rPr>
          <w:rFonts w:cs="Times New Roman"/>
        </w:rPr>
        <w:tab/>
      </w:r>
      <w:r w:rsidRPr="00D63B51">
        <w:rPr>
          <w:rFonts w:cs="Times New Roman"/>
        </w:rPr>
        <w:tab/>
      </w:r>
      <w:r w:rsidRPr="00D63B51">
        <w:rPr>
          <w:rFonts w:cs="Times New Roman"/>
        </w:rPr>
        <w:tab/>
      </w:r>
      <w:r w:rsidRPr="00D63B51">
        <w:rPr>
          <w:rFonts w:cs="Times New Roman"/>
        </w:rPr>
        <w:tab/>
        <w:t>Latham &amp; Watkins LLP</w:t>
      </w:r>
      <w:r w:rsidRPr="00D63B51">
        <w:rPr>
          <w:rFonts w:cs="Times New Roman"/>
        </w:rPr>
        <w:tab/>
      </w:r>
    </w:p>
    <w:p w14:paraId="7ED34889" w14:textId="77777777" w:rsidR="00F62B2D" w:rsidRPr="00D63B51" w:rsidRDefault="00F62B2D" w:rsidP="00F62B2D">
      <w:pPr>
        <w:rPr>
          <w:rFonts w:cs="Times New Roman"/>
        </w:rPr>
      </w:pPr>
      <w:r w:rsidRPr="00D63B51">
        <w:rPr>
          <w:rFonts w:cs="Times New Roman"/>
        </w:rPr>
        <w:tab/>
      </w:r>
      <w:r w:rsidRPr="00D63B51">
        <w:rPr>
          <w:rFonts w:cs="Times New Roman"/>
        </w:rPr>
        <w:tab/>
      </w:r>
      <w:r w:rsidRPr="00D63B51">
        <w:rPr>
          <w:rFonts w:cs="Times New Roman"/>
        </w:rPr>
        <w:tab/>
      </w:r>
    </w:p>
    <w:p w14:paraId="0A92A8EF" w14:textId="77777777" w:rsidR="00F62B2D" w:rsidRPr="00D63B51" w:rsidRDefault="00F62B2D" w:rsidP="00F62B2D">
      <w:pPr>
        <w:rPr>
          <w:rFonts w:cs="Times New Roman"/>
        </w:rPr>
      </w:pPr>
      <w:r w:rsidRPr="00D63B51">
        <w:rPr>
          <w:rFonts w:cs="Times New Roman"/>
        </w:rPr>
        <w:t xml:space="preserve">Rosen, Kenneth </w:t>
      </w:r>
      <w:r w:rsidRPr="00D63B51">
        <w:rPr>
          <w:rFonts w:cs="Times New Roman"/>
        </w:rPr>
        <w:tab/>
      </w:r>
      <w:r w:rsidRPr="00D63B51">
        <w:rPr>
          <w:rFonts w:cs="Times New Roman"/>
        </w:rPr>
        <w:tab/>
        <w:t xml:space="preserve">Russo, Gary </w:t>
      </w:r>
      <w:r w:rsidRPr="00D63B51">
        <w:rPr>
          <w:rFonts w:cs="Times New Roman"/>
        </w:rPr>
        <w:tab/>
      </w:r>
      <w:r w:rsidRPr="00D63B51">
        <w:rPr>
          <w:rFonts w:cs="Times New Roman"/>
        </w:rPr>
        <w:tab/>
      </w:r>
      <w:r w:rsidRPr="00D63B51">
        <w:rPr>
          <w:rFonts w:cs="Times New Roman"/>
        </w:rPr>
        <w:tab/>
      </w:r>
      <w:r w:rsidRPr="00D63B51">
        <w:rPr>
          <w:rFonts w:cs="Times New Roman"/>
        </w:rPr>
        <w:tab/>
        <w:t>Stengel, James</w:t>
      </w:r>
      <w:r w:rsidRPr="00D63B51">
        <w:rPr>
          <w:rFonts w:cs="Times New Roman"/>
        </w:rPr>
        <w:tab/>
      </w:r>
      <w:r w:rsidRPr="00D63B51">
        <w:rPr>
          <w:rFonts w:cs="Times New Roman"/>
        </w:rPr>
        <w:tab/>
      </w:r>
      <w:r w:rsidRPr="00D63B51">
        <w:rPr>
          <w:rFonts w:cs="Times New Roman"/>
        </w:rPr>
        <w:tab/>
      </w:r>
    </w:p>
    <w:p w14:paraId="3767815C" w14:textId="77777777" w:rsidR="00F62B2D" w:rsidRPr="00D63B51" w:rsidRDefault="00F62B2D" w:rsidP="00F62B2D">
      <w:pPr>
        <w:rPr>
          <w:rFonts w:cs="Times New Roman"/>
        </w:rPr>
      </w:pPr>
      <w:r w:rsidRPr="00D63B51">
        <w:rPr>
          <w:rFonts w:cs="Times New Roman"/>
        </w:rPr>
        <w:t xml:space="preserve">Lowenstein Sandler LLP </w:t>
      </w:r>
      <w:r w:rsidRPr="00D63B51">
        <w:rPr>
          <w:rFonts w:cs="Times New Roman"/>
        </w:rPr>
        <w:tab/>
        <w:t xml:space="preserve">Jones Walker LLP </w:t>
      </w:r>
      <w:r w:rsidRPr="00D63B51">
        <w:rPr>
          <w:rFonts w:cs="Times New Roman"/>
        </w:rPr>
        <w:tab/>
        <w:t xml:space="preserve">          Orick, Herrington &amp; Sutcliffe LLP</w:t>
      </w:r>
      <w:r w:rsidRPr="00D63B51">
        <w:rPr>
          <w:rFonts w:cs="Times New Roman"/>
        </w:rPr>
        <w:tab/>
      </w:r>
    </w:p>
    <w:p w14:paraId="18DA8A87" w14:textId="77777777" w:rsidR="00F62B2D" w:rsidRPr="00D63B51" w:rsidRDefault="00F62B2D" w:rsidP="00F62B2D">
      <w:pPr>
        <w:rPr>
          <w:rFonts w:cs="Times New Roman"/>
        </w:rPr>
      </w:pPr>
    </w:p>
    <w:p w14:paraId="13012A4C" w14:textId="77777777" w:rsidR="00F62B2D" w:rsidRPr="00D63B51" w:rsidRDefault="00F62B2D" w:rsidP="00F62B2D">
      <w:pPr>
        <w:spacing w:before="120"/>
        <w:jc w:val="center"/>
        <w:rPr>
          <w:rFonts w:cs="Times New Roman"/>
          <w:b/>
          <w:smallCaps/>
        </w:rPr>
      </w:pPr>
      <w:r w:rsidRPr="00D63B51">
        <w:rPr>
          <w:rFonts w:cs="Times New Roman"/>
          <w:b/>
          <w:smallCaps/>
        </w:rPr>
        <w:t>* * * * * * * * * * * *</w:t>
      </w:r>
    </w:p>
    <w:p w14:paraId="2EC06380" w14:textId="77777777" w:rsidR="00F62B2D" w:rsidRPr="00D63B51" w:rsidRDefault="00F62B2D" w:rsidP="00F62B2D">
      <w:pPr>
        <w:spacing w:after="160"/>
        <w:jc w:val="center"/>
        <w:rPr>
          <w:rFonts w:ascii="Times New Roman Bold" w:hAnsi="Times New Roman Bold" w:cs="Times New Roman"/>
          <w:b/>
          <w:smallCaps/>
        </w:rPr>
      </w:pPr>
    </w:p>
    <w:p w14:paraId="427E1B37" w14:textId="77777777" w:rsidR="0049172A" w:rsidRPr="00D63B51" w:rsidRDefault="0049172A" w:rsidP="00F62B2D">
      <w:pPr>
        <w:spacing w:after="120"/>
        <w:jc w:val="center"/>
        <w:rPr>
          <w:rFonts w:cs="Times New Roman"/>
          <w:b/>
        </w:rPr>
      </w:pPr>
    </w:p>
    <w:p w14:paraId="05716C24" w14:textId="77777777" w:rsidR="0049172A" w:rsidRPr="00D63B51" w:rsidRDefault="0049172A" w:rsidP="00F62B2D">
      <w:pPr>
        <w:spacing w:after="120"/>
        <w:jc w:val="center"/>
        <w:rPr>
          <w:rFonts w:cs="Times New Roman"/>
          <w:b/>
        </w:rPr>
      </w:pPr>
    </w:p>
    <w:p w14:paraId="359EADD0" w14:textId="77777777" w:rsidR="0049172A" w:rsidRPr="00D63B51" w:rsidRDefault="0049172A" w:rsidP="00F62B2D">
      <w:pPr>
        <w:spacing w:after="120"/>
        <w:jc w:val="center"/>
        <w:rPr>
          <w:rFonts w:cs="Times New Roman"/>
          <w:b/>
        </w:rPr>
      </w:pPr>
    </w:p>
    <w:p w14:paraId="53AB7829" w14:textId="77777777" w:rsidR="0049172A" w:rsidRPr="00D63B51" w:rsidRDefault="0049172A" w:rsidP="00F62B2D">
      <w:pPr>
        <w:spacing w:after="120"/>
        <w:jc w:val="center"/>
        <w:rPr>
          <w:rFonts w:cs="Times New Roman"/>
          <w:b/>
        </w:rPr>
      </w:pPr>
    </w:p>
    <w:p w14:paraId="14F3B0DA" w14:textId="77777777" w:rsidR="0049172A" w:rsidRPr="00D63B51" w:rsidRDefault="0049172A" w:rsidP="00F62B2D">
      <w:pPr>
        <w:spacing w:after="120"/>
        <w:jc w:val="center"/>
        <w:rPr>
          <w:rFonts w:cs="Times New Roman"/>
          <w:b/>
        </w:rPr>
      </w:pPr>
    </w:p>
    <w:p w14:paraId="25B600B1" w14:textId="742D9D2D" w:rsidR="00F62B2D" w:rsidRPr="00D63B51" w:rsidRDefault="00F62B2D" w:rsidP="00E31C6C">
      <w:pPr>
        <w:pStyle w:val="NoSpacing"/>
        <w:ind w:left="720" w:firstLine="720"/>
        <w:rPr>
          <w:b/>
          <w:bCs/>
        </w:rPr>
      </w:pPr>
      <w:r w:rsidRPr="00D63B51">
        <w:rPr>
          <w:b/>
          <w:bCs/>
        </w:rPr>
        <w:lastRenderedPageBreak/>
        <w:t>Permanent No. MDL-§ 9 (Issued April 3, 2024)</w:t>
      </w:r>
    </w:p>
    <w:p w14:paraId="52453BF3" w14:textId="77777777" w:rsidR="00F62B2D" w:rsidRPr="00D63B51" w:rsidRDefault="00F62B2D" w:rsidP="00E31C6C">
      <w:pPr>
        <w:pStyle w:val="NoSpacing"/>
        <w:ind w:left="1440" w:firstLine="720"/>
        <w:rPr>
          <w:b/>
          <w:bCs/>
        </w:rPr>
      </w:pPr>
      <w:r w:rsidRPr="00D63B51">
        <w:rPr>
          <w:b/>
          <w:bCs/>
        </w:rPr>
        <w:t>MDL – Maturity Criteria</w:t>
      </w:r>
    </w:p>
    <w:p w14:paraId="5F6D0BE6" w14:textId="7D50C5D5" w:rsidR="0049172A" w:rsidRPr="00D63B51" w:rsidRDefault="0049172A" w:rsidP="00E31C6C">
      <w:pPr>
        <w:pStyle w:val="NoSpacing"/>
        <w:rPr>
          <w:b/>
          <w:bCs/>
        </w:rPr>
      </w:pPr>
      <w:r w:rsidRPr="00D63B51">
        <w:rPr>
          <w:b/>
          <w:bCs/>
        </w:rPr>
        <w:t xml:space="preserve">               </w:t>
      </w:r>
      <w:r w:rsidR="00E31C6C" w:rsidRPr="00D63B51">
        <w:rPr>
          <w:b/>
          <w:bCs/>
        </w:rPr>
        <w:tab/>
      </w:r>
      <w:r w:rsidR="00E31C6C" w:rsidRPr="00D63B51">
        <w:rPr>
          <w:b/>
          <w:bCs/>
        </w:rPr>
        <w:tab/>
        <w:t xml:space="preserve">         </w:t>
      </w:r>
      <w:r w:rsidRPr="00D63B51">
        <w:rPr>
          <w:b/>
          <w:bCs/>
        </w:rPr>
        <w:t>CONTRIBUTORS</w:t>
      </w:r>
    </w:p>
    <w:p w14:paraId="4519B537" w14:textId="77777777" w:rsidR="00F62B2D" w:rsidRPr="00D63B51" w:rsidRDefault="00F62B2D" w:rsidP="00F62B2D">
      <w:pPr>
        <w:shd w:val="clear" w:color="auto" w:fill="FFFFFF"/>
        <w:outlineLvl w:val="2"/>
        <w:rPr>
          <w:rFonts w:eastAsia="Times New Roman" w:cs="Times New Roman"/>
          <w:color w:val="auto"/>
        </w:rPr>
      </w:pPr>
      <w:r w:rsidRPr="00D63B51">
        <w:rPr>
          <w:rFonts w:eastAsia="Times New Roman" w:cs="Times New Roman"/>
          <w:color w:val="auto"/>
        </w:rPr>
        <w:tab/>
      </w:r>
    </w:p>
    <w:p w14:paraId="0649D3F4" w14:textId="77777777" w:rsidR="00F62B2D" w:rsidRPr="00D63B51" w:rsidRDefault="00F62B2D" w:rsidP="00F62B2D">
      <w:pPr>
        <w:shd w:val="clear" w:color="auto" w:fill="FFFFFF"/>
        <w:outlineLvl w:val="2"/>
        <w:rPr>
          <w:rFonts w:eastAsia="Times New Roman" w:cs="Times New Roman"/>
          <w:color w:val="auto"/>
        </w:rPr>
      </w:pPr>
      <w:r w:rsidRPr="00D63B51">
        <w:rPr>
          <w:rFonts w:eastAsia="Times New Roman" w:cs="Times New Roman"/>
          <w:color w:val="auto"/>
        </w:rPr>
        <w:t xml:space="preserve">Bautista, Andrew </w:t>
      </w:r>
      <w:r w:rsidRPr="00D63B51">
        <w:rPr>
          <w:rFonts w:eastAsia="Times New Roman" w:cs="Times New Roman"/>
          <w:color w:val="auto"/>
        </w:rPr>
        <w:tab/>
      </w:r>
      <w:r w:rsidRPr="00D63B51">
        <w:rPr>
          <w:rFonts w:eastAsia="Times New Roman" w:cs="Times New Roman"/>
          <w:color w:val="auto"/>
        </w:rPr>
        <w:tab/>
      </w:r>
      <w:r w:rsidRPr="00D63B51">
        <w:rPr>
          <w:rFonts w:eastAsia="Times New Roman" w:cs="Times New Roman"/>
          <w:color w:val="auto"/>
        </w:rPr>
        <w:tab/>
      </w:r>
      <w:r w:rsidRPr="00D63B51">
        <w:rPr>
          <w:rFonts w:eastAsia="Times New Roman" w:cs="Times New Roman"/>
          <w:color w:val="auto"/>
        </w:rPr>
        <w:tab/>
      </w:r>
      <w:r w:rsidRPr="00D63B51">
        <w:rPr>
          <w:rFonts w:cs="Times New Roman"/>
          <w:color w:val="000000"/>
          <w:shd w:val="clear" w:color="auto" w:fill="FFFFFF"/>
        </w:rPr>
        <w:t xml:space="preserve">Friedman, Robert </w:t>
      </w:r>
    </w:p>
    <w:p w14:paraId="5954EA5E" w14:textId="77777777" w:rsidR="00F62B2D" w:rsidRPr="00D63B51" w:rsidRDefault="00F62B2D" w:rsidP="00F62B2D">
      <w:pPr>
        <w:shd w:val="clear" w:color="auto" w:fill="FFFFFF"/>
        <w:outlineLvl w:val="2"/>
        <w:rPr>
          <w:rFonts w:cs="Times New Roman"/>
          <w:color w:val="000000"/>
          <w:shd w:val="clear" w:color="auto" w:fill="FFFFFF"/>
        </w:rPr>
      </w:pPr>
      <w:r w:rsidRPr="00D63B51">
        <w:rPr>
          <w:rFonts w:eastAsia="Times New Roman" w:cs="Times New Roman"/>
          <w:color w:val="auto"/>
        </w:rPr>
        <w:t xml:space="preserve">Kimberly-Clark, Inc. </w:t>
      </w:r>
      <w:r w:rsidRPr="00D63B51">
        <w:rPr>
          <w:rFonts w:eastAsia="Times New Roman" w:cs="Times New Roman"/>
          <w:color w:val="auto"/>
        </w:rPr>
        <w:tab/>
      </w:r>
      <w:r w:rsidRPr="00D63B51">
        <w:rPr>
          <w:rFonts w:eastAsia="Times New Roman" w:cs="Times New Roman"/>
          <w:color w:val="auto"/>
        </w:rPr>
        <w:tab/>
        <w:t xml:space="preserve"> </w:t>
      </w:r>
      <w:r w:rsidRPr="00D63B51">
        <w:rPr>
          <w:rFonts w:eastAsia="Times New Roman" w:cs="Times New Roman"/>
          <w:color w:val="auto"/>
        </w:rPr>
        <w:tab/>
        <w:t xml:space="preserve">   </w:t>
      </w:r>
      <w:r w:rsidRPr="00D63B51">
        <w:rPr>
          <w:rFonts w:eastAsia="Times New Roman" w:cs="Times New Roman"/>
          <w:color w:val="auto"/>
        </w:rPr>
        <w:tab/>
      </w:r>
      <w:r w:rsidRPr="00D63B51">
        <w:rPr>
          <w:rFonts w:cs="Times New Roman"/>
          <w:color w:val="000000"/>
          <w:shd w:val="clear" w:color="auto" w:fill="FFFFFF"/>
        </w:rPr>
        <w:t>King &amp; Spalding</w:t>
      </w:r>
    </w:p>
    <w:p w14:paraId="29AFF0DD" w14:textId="77777777" w:rsidR="00F62B2D" w:rsidRPr="00D63B51" w:rsidRDefault="00F62B2D" w:rsidP="00F62B2D">
      <w:pPr>
        <w:shd w:val="clear" w:color="auto" w:fill="FFFFFF"/>
        <w:outlineLvl w:val="2"/>
        <w:rPr>
          <w:rFonts w:eastAsia="Times New Roman" w:cs="Times New Roman"/>
          <w:color w:val="auto"/>
        </w:rPr>
      </w:pPr>
    </w:p>
    <w:p w14:paraId="5DB82A85" w14:textId="77777777" w:rsidR="00F62B2D" w:rsidRPr="00D63B51" w:rsidRDefault="00F62B2D" w:rsidP="00F62B2D">
      <w:pPr>
        <w:shd w:val="clear" w:color="auto" w:fill="FFFFFF"/>
        <w:outlineLvl w:val="2"/>
        <w:rPr>
          <w:rFonts w:eastAsia="Times New Roman" w:cs="Times New Roman"/>
          <w:color w:val="auto"/>
        </w:rPr>
      </w:pPr>
      <w:r w:rsidRPr="00D63B51">
        <w:rPr>
          <w:rFonts w:eastAsia="Times New Roman" w:cs="Times New Roman"/>
          <w:color w:val="auto"/>
        </w:rPr>
        <w:t xml:space="preserve">Brown, Loren </w:t>
      </w:r>
      <w:r w:rsidRPr="00D63B51">
        <w:rPr>
          <w:rFonts w:eastAsia="Times New Roman" w:cs="Times New Roman"/>
          <w:color w:val="auto"/>
        </w:rPr>
        <w:tab/>
      </w:r>
      <w:r w:rsidRPr="00D63B51">
        <w:rPr>
          <w:rFonts w:eastAsia="Times New Roman" w:cs="Times New Roman"/>
          <w:color w:val="auto"/>
        </w:rPr>
        <w:tab/>
      </w:r>
      <w:r w:rsidRPr="00D63B51">
        <w:rPr>
          <w:rFonts w:eastAsia="Times New Roman" w:cs="Times New Roman"/>
          <w:color w:val="auto"/>
        </w:rPr>
        <w:tab/>
      </w:r>
      <w:r w:rsidRPr="00D63B51">
        <w:rPr>
          <w:rFonts w:eastAsia="Times New Roman" w:cs="Times New Roman"/>
          <w:color w:val="auto"/>
        </w:rPr>
        <w:tab/>
      </w:r>
      <w:r w:rsidRPr="00D63B51">
        <w:rPr>
          <w:rFonts w:eastAsia="Times New Roman" w:cs="Times New Roman"/>
          <w:color w:val="auto"/>
        </w:rPr>
        <w:tab/>
        <w:t xml:space="preserve">Hariklia, Carrie </w:t>
      </w:r>
    </w:p>
    <w:p w14:paraId="7D442128" w14:textId="77777777" w:rsidR="00F62B2D" w:rsidRPr="00D63B51" w:rsidRDefault="00F62B2D" w:rsidP="00F62B2D">
      <w:pPr>
        <w:shd w:val="clear" w:color="auto" w:fill="FFFFFF"/>
        <w:outlineLvl w:val="2"/>
        <w:rPr>
          <w:rFonts w:eastAsia="Times New Roman" w:cs="Times New Roman"/>
          <w:color w:val="auto"/>
        </w:rPr>
      </w:pPr>
      <w:r w:rsidRPr="00D63B51">
        <w:rPr>
          <w:rFonts w:eastAsia="Times New Roman" w:cs="Times New Roman"/>
          <w:color w:val="auto"/>
        </w:rPr>
        <w:t xml:space="preserve">DLA Piper, LLP </w:t>
      </w:r>
      <w:r w:rsidRPr="00D63B51">
        <w:rPr>
          <w:rFonts w:eastAsia="Times New Roman" w:cs="Times New Roman"/>
          <w:color w:val="auto"/>
        </w:rPr>
        <w:tab/>
      </w:r>
      <w:r w:rsidRPr="00D63B51">
        <w:rPr>
          <w:rFonts w:eastAsia="Times New Roman" w:cs="Times New Roman"/>
          <w:color w:val="auto"/>
        </w:rPr>
        <w:tab/>
      </w:r>
      <w:r w:rsidRPr="00D63B51">
        <w:rPr>
          <w:rFonts w:eastAsia="Times New Roman" w:cs="Times New Roman"/>
          <w:color w:val="auto"/>
        </w:rPr>
        <w:tab/>
      </w:r>
      <w:r w:rsidRPr="00D63B51">
        <w:rPr>
          <w:rFonts w:eastAsia="Times New Roman" w:cs="Times New Roman"/>
          <w:color w:val="auto"/>
        </w:rPr>
        <w:tab/>
        <w:t>Kirkland and Ellis LLP</w:t>
      </w:r>
    </w:p>
    <w:p w14:paraId="39B8EA80" w14:textId="77777777" w:rsidR="00F62B2D" w:rsidRPr="00D63B51" w:rsidRDefault="00F62B2D" w:rsidP="00F62B2D">
      <w:pPr>
        <w:shd w:val="clear" w:color="auto" w:fill="FFFFFF"/>
        <w:outlineLvl w:val="2"/>
        <w:rPr>
          <w:rFonts w:eastAsia="Times New Roman" w:cs="Times New Roman"/>
          <w:color w:val="auto"/>
        </w:rPr>
      </w:pPr>
    </w:p>
    <w:p w14:paraId="06090ACB" w14:textId="77777777" w:rsidR="00F62B2D" w:rsidRPr="00D63B51" w:rsidRDefault="00F62B2D" w:rsidP="00F62B2D">
      <w:pPr>
        <w:shd w:val="clear" w:color="auto" w:fill="FFFFFF"/>
        <w:outlineLvl w:val="2"/>
        <w:rPr>
          <w:rFonts w:eastAsia="Times New Roman" w:cs="Times New Roman"/>
          <w:color w:val="auto"/>
        </w:rPr>
      </w:pPr>
      <w:r w:rsidRPr="00D63B51">
        <w:rPr>
          <w:rFonts w:cs="Times New Roman"/>
          <w:color w:val="2F2F2F"/>
          <w:shd w:val="clear" w:color="auto" w:fill="FFFFFF"/>
        </w:rPr>
        <w:t xml:space="preserve">Campbell, Christopher </w:t>
      </w:r>
      <w:r w:rsidRPr="00D63B51">
        <w:rPr>
          <w:rFonts w:cs="Times New Roman"/>
          <w:color w:val="2F2F2F"/>
          <w:shd w:val="clear" w:color="auto" w:fill="FFFFFF"/>
        </w:rPr>
        <w:tab/>
      </w:r>
      <w:r w:rsidRPr="00D63B51">
        <w:rPr>
          <w:rFonts w:cs="Times New Roman"/>
          <w:color w:val="2F2F2F"/>
          <w:shd w:val="clear" w:color="auto" w:fill="FFFFFF"/>
        </w:rPr>
        <w:tab/>
      </w:r>
      <w:r w:rsidRPr="00D63B51">
        <w:rPr>
          <w:rFonts w:cs="Times New Roman"/>
          <w:color w:val="2F2F2F"/>
          <w:shd w:val="clear" w:color="auto" w:fill="FFFFFF"/>
        </w:rPr>
        <w:tab/>
      </w:r>
      <w:r w:rsidRPr="00D63B51">
        <w:rPr>
          <w:rFonts w:cs="Times New Roman"/>
          <w:color w:val="000000"/>
          <w:shd w:val="clear" w:color="auto" w:fill="FFFFFF"/>
        </w:rPr>
        <w:t xml:space="preserve">Oliver, Alyson </w:t>
      </w:r>
    </w:p>
    <w:p w14:paraId="23EFBC81" w14:textId="77777777" w:rsidR="00F62B2D" w:rsidRPr="00D63B51" w:rsidRDefault="00F62B2D" w:rsidP="00F62B2D">
      <w:pPr>
        <w:shd w:val="clear" w:color="auto" w:fill="FFFFFF"/>
        <w:outlineLvl w:val="2"/>
        <w:rPr>
          <w:rFonts w:cs="Times New Roman"/>
          <w:color w:val="2F2F2F"/>
          <w:shd w:val="clear" w:color="auto" w:fill="FFFFFF"/>
        </w:rPr>
      </w:pPr>
      <w:r w:rsidRPr="00D63B51">
        <w:rPr>
          <w:rFonts w:cs="Times New Roman"/>
          <w:color w:val="2F2F2F"/>
          <w:shd w:val="clear" w:color="auto" w:fill="FFFFFF"/>
        </w:rPr>
        <w:t>DLA Piper LLP</w:t>
      </w:r>
      <w:r w:rsidRPr="00D63B51">
        <w:rPr>
          <w:rFonts w:cs="Times New Roman"/>
          <w:color w:val="000000"/>
          <w:shd w:val="clear" w:color="auto" w:fill="FFFFFF"/>
        </w:rPr>
        <w:t xml:space="preserve"> </w:t>
      </w:r>
      <w:r w:rsidRPr="00D63B51">
        <w:rPr>
          <w:rFonts w:cs="Times New Roman"/>
          <w:color w:val="000000"/>
          <w:shd w:val="clear" w:color="auto" w:fill="FFFFFF"/>
        </w:rPr>
        <w:tab/>
      </w:r>
      <w:r w:rsidRPr="00D63B51">
        <w:rPr>
          <w:rFonts w:cs="Times New Roman"/>
          <w:color w:val="000000"/>
          <w:shd w:val="clear" w:color="auto" w:fill="FFFFFF"/>
        </w:rPr>
        <w:tab/>
      </w:r>
      <w:r w:rsidRPr="00D63B51">
        <w:rPr>
          <w:rFonts w:cs="Times New Roman"/>
          <w:color w:val="000000"/>
          <w:shd w:val="clear" w:color="auto" w:fill="FFFFFF"/>
        </w:rPr>
        <w:tab/>
      </w:r>
      <w:r w:rsidRPr="00D63B51">
        <w:rPr>
          <w:rFonts w:cs="Times New Roman"/>
          <w:color w:val="000000"/>
          <w:shd w:val="clear" w:color="auto" w:fill="FFFFFF"/>
        </w:rPr>
        <w:tab/>
        <w:t>Oliver Law Group</w:t>
      </w:r>
    </w:p>
    <w:p w14:paraId="3F1F6187" w14:textId="77777777" w:rsidR="00F62B2D" w:rsidRPr="00D63B51" w:rsidRDefault="00F62B2D" w:rsidP="00F62B2D">
      <w:pPr>
        <w:shd w:val="clear" w:color="auto" w:fill="FFFFFF"/>
        <w:outlineLvl w:val="2"/>
        <w:rPr>
          <w:rFonts w:eastAsia="Times New Roman" w:cs="Times New Roman"/>
          <w:color w:val="auto"/>
        </w:rPr>
      </w:pPr>
      <w:r w:rsidRPr="00D63B51">
        <w:rPr>
          <w:rFonts w:eastAsia="Times New Roman" w:cs="Times New Roman"/>
          <w:color w:val="auto"/>
        </w:rPr>
        <w:tab/>
      </w:r>
    </w:p>
    <w:p w14:paraId="31ED4884" w14:textId="77777777" w:rsidR="00F62B2D" w:rsidRPr="00D63B51" w:rsidRDefault="00F62B2D" w:rsidP="00F62B2D">
      <w:pPr>
        <w:shd w:val="clear" w:color="auto" w:fill="FFFFFF"/>
        <w:outlineLvl w:val="2"/>
        <w:rPr>
          <w:rFonts w:cs="Times New Roman"/>
          <w:color w:val="000000"/>
          <w:shd w:val="clear" w:color="auto" w:fill="FFFFFF"/>
        </w:rPr>
      </w:pPr>
      <w:r w:rsidRPr="00D63B51">
        <w:rPr>
          <w:rFonts w:eastAsia="Times New Roman" w:cs="Times New Roman"/>
          <w:color w:val="auto"/>
        </w:rPr>
        <w:t xml:space="preserve">Citera, Francis </w:t>
      </w:r>
      <w:r w:rsidRPr="00D63B51">
        <w:rPr>
          <w:rFonts w:eastAsia="Times New Roman" w:cs="Times New Roman"/>
          <w:color w:val="auto"/>
        </w:rPr>
        <w:tab/>
      </w:r>
      <w:r w:rsidRPr="00D63B51">
        <w:rPr>
          <w:rFonts w:eastAsia="Times New Roman" w:cs="Times New Roman"/>
          <w:color w:val="auto"/>
        </w:rPr>
        <w:tab/>
      </w:r>
      <w:r w:rsidRPr="00D63B51">
        <w:rPr>
          <w:rFonts w:eastAsia="Times New Roman" w:cs="Times New Roman"/>
          <w:color w:val="auto"/>
        </w:rPr>
        <w:tab/>
      </w:r>
      <w:r w:rsidRPr="00D63B51">
        <w:rPr>
          <w:rFonts w:eastAsia="Times New Roman" w:cs="Times New Roman"/>
          <w:color w:val="auto"/>
        </w:rPr>
        <w:tab/>
      </w:r>
      <w:r w:rsidRPr="00D63B51">
        <w:rPr>
          <w:rFonts w:cs="Times New Roman"/>
          <w:color w:val="2F2F2F"/>
          <w:shd w:val="clear" w:color="auto" w:fill="FFFFFF"/>
        </w:rPr>
        <w:t xml:space="preserve">Raab, Timothy </w:t>
      </w:r>
    </w:p>
    <w:p w14:paraId="7703CCF0" w14:textId="77777777" w:rsidR="00F62B2D" w:rsidRPr="00D63B51" w:rsidRDefault="00F62B2D" w:rsidP="00F62B2D">
      <w:pPr>
        <w:shd w:val="clear" w:color="auto" w:fill="FFFFFF"/>
        <w:outlineLvl w:val="2"/>
        <w:rPr>
          <w:rFonts w:cs="Times New Roman"/>
          <w:color w:val="000000"/>
          <w:shd w:val="clear" w:color="auto" w:fill="FFFFFF"/>
        </w:rPr>
      </w:pPr>
      <w:r w:rsidRPr="00D63B51">
        <w:rPr>
          <w:rFonts w:cs="Times New Roman"/>
          <w:color w:val="000000"/>
          <w:shd w:val="clear" w:color="auto" w:fill="FFFFFF"/>
        </w:rPr>
        <w:t>Greenberg Traurig LLP</w:t>
      </w:r>
      <w:r w:rsidRPr="00D63B51">
        <w:rPr>
          <w:rFonts w:cs="Times New Roman"/>
          <w:color w:val="2F2F2F"/>
          <w:shd w:val="clear" w:color="auto" w:fill="FFFFFF"/>
        </w:rPr>
        <w:t xml:space="preserve"> </w:t>
      </w:r>
      <w:r w:rsidRPr="00D63B51">
        <w:rPr>
          <w:rFonts w:cs="Times New Roman"/>
          <w:color w:val="2F2F2F"/>
          <w:shd w:val="clear" w:color="auto" w:fill="FFFFFF"/>
        </w:rPr>
        <w:tab/>
      </w:r>
      <w:r w:rsidRPr="00D63B51">
        <w:rPr>
          <w:rFonts w:cs="Times New Roman"/>
          <w:color w:val="2F2F2F"/>
          <w:shd w:val="clear" w:color="auto" w:fill="FFFFFF"/>
        </w:rPr>
        <w:tab/>
      </w:r>
      <w:r w:rsidRPr="00D63B51">
        <w:rPr>
          <w:rFonts w:cs="Times New Roman"/>
          <w:color w:val="2F2F2F"/>
          <w:shd w:val="clear" w:color="auto" w:fill="FFFFFF"/>
        </w:rPr>
        <w:tab/>
        <w:t>Alvarez &amp; Marsal</w:t>
      </w:r>
    </w:p>
    <w:p w14:paraId="67D9FCFC" w14:textId="77777777" w:rsidR="00F62B2D" w:rsidRPr="00D63B51" w:rsidRDefault="00F62B2D" w:rsidP="00F62B2D">
      <w:pPr>
        <w:shd w:val="clear" w:color="auto" w:fill="FFFFFF"/>
        <w:outlineLvl w:val="2"/>
        <w:rPr>
          <w:rFonts w:cs="Times New Roman"/>
          <w:color w:val="000000"/>
          <w:shd w:val="clear" w:color="auto" w:fill="FFFFFF"/>
        </w:rPr>
      </w:pPr>
      <w:r w:rsidRPr="00D63B51">
        <w:rPr>
          <w:rFonts w:cs="Times New Roman"/>
          <w:color w:val="000000"/>
          <w:shd w:val="clear" w:color="auto" w:fill="FFFFFF"/>
        </w:rPr>
        <w:tab/>
      </w:r>
    </w:p>
    <w:p w14:paraId="30CB3BAB" w14:textId="77777777" w:rsidR="00F62B2D" w:rsidRPr="00D63B51" w:rsidRDefault="00F62B2D" w:rsidP="00F62B2D">
      <w:pPr>
        <w:shd w:val="clear" w:color="auto" w:fill="FFFFFF"/>
        <w:outlineLvl w:val="2"/>
        <w:rPr>
          <w:rFonts w:cs="Times New Roman"/>
          <w:color w:val="000000"/>
          <w:shd w:val="clear" w:color="auto" w:fill="FFFFFF"/>
        </w:rPr>
      </w:pPr>
      <w:r w:rsidRPr="00D63B51">
        <w:rPr>
          <w:rFonts w:cs="Times New Roman"/>
          <w:color w:val="000000"/>
          <w:shd w:val="clear" w:color="auto" w:fill="FFFFFF"/>
        </w:rPr>
        <w:t xml:space="preserve">Coan, Geoffrey </w:t>
      </w:r>
      <w:r w:rsidRPr="00D63B51">
        <w:rPr>
          <w:rFonts w:cs="Times New Roman"/>
          <w:color w:val="000000"/>
          <w:shd w:val="clear" w:color="auto" w:fill="FFFFFF"/>
        </w:rPr>
        <w:tab/>
      </w:r>
      <w:r w:rsidRPr="00D63B51">
        <w:rPr>
          <w:rFonts w:cs="Times New Roman"/>
          <w:color w:val="000000"/>
          <w:shd w:val="clear" w:color="auto" w:fill="FFFFFF"/>
        </w:rPr>
        <w:tab/>
      </w:r>
      <w:r w:rsidRPr="00D63B51">
        <w:rPr>
          <w:rFonts w:cs="Times New Roman"/>
          <w:color w:val="000000"/>
          <w:shd w:val="clear" w:color="auto" w:fill="FFFFFF"/>
        </w:rPr>
        <w:tab/>
      </w:r>
      <w:r w:rsidRPr="00D63B51">
        <w:rPr>
          <w:rFonts w:cs="Times New Roman"/>
          <w:color w:val="000000"/>
          <w:shd w:val="clear" w:color="auto" w:fill="FFFFFF"/>
        </w:rPr>
        <w:tab/>
      </w:r>
      <w:r w:rsidRPr="00D63B51">
        <w:rPr>
          <w:rFonts w:eastAsia="Times New Roman" w:cs="Times New Roman"/>
          <w:color w:val="auto"/>
        </w:rPr>
        <w:t xml:space="preserve">Sadek, Antonius </w:t>
      </w:r>
    </w:p>
    <w:p w14:paraId="7FBCED14" w14:textId="77777777" w:rsidR="00F62B2D" w:rsidRPr="00D63B51" w:rsidRDefault="00F62B2D" w:rsidP="00F62B2D">
      <w:pPr>
        <w:shd w:val="clear" w:color="auto" w:fill="FFFFFF"/>
        <w:outlineLvl w:val="2"/>
        <w:rPr>
          <w:rFonts w:cs="Times New Roman"/>
          <w:color w:val="000000"/>
          <w:shd w:val="clear" w:color="auto" w:fill="FFFFFF"/>
        </w:rPr>
      </w:pPr>
      <w:r w:rsidRPr="00D63B51">
        <w:rPr>
          <w:rFonts w:cs="Times New Roman"/>
          <w:color w:val="000000"/>
          <w:shd w:val="clear" w:color="auto" w:fill="FFFFFF"/>
        </w:rPr>
        <w:t>Hinshaw &amp; Culbertson LLP</w:t>
      </w:r>
      <w:r w:rsidRPr="00D63B51">
        <w:rPr>
          <w:rFonts w:cs="Times New Roman"/>
          <w:color w:val="000000"/>
          <w:shd w:val="clear" w:color="auto" w:fill="FFFFFF"/>
        </w:rPr>
        <w:tab/>
      </w:r>
      <w:r w:rsidRPr="00D63B51">
        <w:rPr>
          <w:rFonts w:cs="Times New Roman"/>
          <w:color w:val="000000"/>
          <w:shd w:val="clear" w:color="auto" w:fill="FFFFFF"/>
        </w:rPr>
        <w:tab/>
      </w:r>
      <w:r w:rsidRPr="00D63B51">
        <w:rPr>
          <w:rFonts w:cs="Times New Roman"/>
          <w:color w:val="000000"/>
          <w:shd w:val="clear" w:color="auto" w:fill="FFFFFF"/>
        </w:rPr>
        <w:tab/>
      </w:r>
      <w:r w:rsidRPr="00D63B51">
        <w:rPr>
          <w:rFonts w:eastAsia="Times New Roman" w:cs="Times New Roman"/>
          <w:color w:val="auto"/>
        </w:rPr>
        <w:t>DLA Piper LLP</w:t>
      </w:r>
    </w:p>
    <w:p w14:paraId="0DE00FEE" w14:textId="77777777" w:rsidR="00F62B2D" w:rsidRPr="00D63B51" w:rsidRDefault="00F62B2D" w:rsidP="00F62B2D">
      <w:pPr>
        <w:shd w:val="clear" w:color="auto" w:fill="FFFFFF"/>
        <w:outlineLvl w:val="2"/>
        <w:rPr>
          <w:rFonts w:eastAsia="Times New Roman" w:cs="Times New Roman"/>
          <w:color w:val="auto"/>
        </w:rPr>
      </w:pPr>
    </w:p>
    <w:p w14:paraId="67CFD415" w14:textId="77777777" w:rsidR="00F62B2D" w:rsidRPr="00D63B51" w:rsidRDefault="00F62B2D" w:rsidP="00F62B2D">
      <w:pPr>
        <w:rPr>
          <w:rFonts w:eastAsia="Times New Roman" w:cs="Times New Roman"/>
          <w:color w:val="auto"/>
        </w:rPr>
      </w:pPr>
      <w:r w:rsidRPr="00D63B51">
        <w:rPr>
          <w:rFonts w:eastAsia="Times New Roman" w:cs="Times New Roman"/>
          <w:color w:val="auto"/>
        </w:rPr>
        <w:t xml:space="preserve">Donahue, Alicia </w:t>
      </w:r>
      <w:r w:rsidRPr="00D63B51">
        <w:rPr>
          <w:rFonts w:eastAsia="Times New Roman" w:cs="Times New Roman"/>
          <w:color w:val="auto"/>
        </w:rPr>
        <w:tab/>
      </w:r>
      <w:r w:rsidRPr="00D63B51">
        <w:rPr>
          <w:rFonts w:eastAsia="Times New Roman" w:cs="Times New Roman"/>
          <w:color w:val="auto"/>
        </w:rPr>
        <w:tab/>
      </w:r>
      <w:r w:rsidRPr="00D63B51">
        <w:rPr>
          <w:rFonts w:eastAsia="Times New Roman" w:cs="Times New Roman"/>
          <w:color w:val="auto"/>
        </w:rPr>
        <w:tab/>
      </w:r>
      <w:r w:rsidRPr="00D63B51">
        <w:rPr>
          <w:rFonts w:eastAsia="Times New Roman" w:cs="Times New Roman"/>
          <w:color w:val="auto"/>
        </w:rPr>
        <w:tab/>
        <w:t xml:space="preserve">Yates, Pamela </w:t>
      </w:r>
    </w:p>
    <w:p w14:paraId="2B08136E" w14:textId="77777777" w:rsidR="00F62B2D" w:rsidRPr="00D63B51" w:rsidRDefault="00F62B2D" w:rsidP="00F62B2D">
      <w:pPr>
        <w:shd w:val="clear" w:color="auto" w:fill="FFFFFF"/>
        <w:outlineLvl w:val="2"/>
        <w:rPr>
          <w:rFonts w:eastAsia="Times New Roman" w:cs="Times New Roman"/>
          <w:color w:val="auto"/>
        </w:rPr>
      </w:pPr>
      <w:r w:rsidRPr="00D63B51">
        <w:rPr>
          <w:rFonts w:eastAsia="Times New Roman" w:cs="Times New Roman"/>
          <w:color w:val="auto"/>
        </w:rPr>
        <w:t>Shook, Hardy &amp; Bacon LLP</w:t>
      </w:r>
      <w:r w:rsidRPr="00D63B51">
        <w:rPr>
          <w:rFonts w:eastAsia="Times New Roman" w:cs="Times New Roman"/>
          <w:color w:val="auto"/>
        </w:rPr>
        <w:tab/>
      </w:r>
      <w:r w:rsidRPr="00D63B51">
        <w:rPr>
          <w:rFonts w:eastAsia="Times New Roman" w:cs="Times New Roman"/>
          <w:color w:val="auto"/>
        </w:rPr>
        <w:tab/>
      </w:r>
      <w:r w:rsidRPr="00D63B51">
        <w:rPr>
          <w:rFonts w:eastAsia="Times New Roman" w:cs="Times New Roman"/>
          <w:color w:val="auto"/>
        </w:rPr>
        <w:tab/>
        <w:t>Arnold &amp; Porter</w:t>
      </w:r>
    </w:p>
    <w:p w14:paraId="6FDE28B7" w14:textId="77777777" w:rsidR="00F62B2D" w:rsidRPr="00D63B51" w:rsidRDefault="00F62B2D" w:rsidP="00F62B2D">
      <w:pPr>
        <w:shd w:val="clear" w:color="auto" w:fill="FFFFFF"/>
        <w:outlineLvl w:val="2"/>
        <w:rPr>
          <w:rFonts w:eastAsia="Times New Roman" w:cs="Times New Roman"/>
          <w:color w:val="auto"/>
        </w:rPr>
      </w:pPr>
      <w:r w:rsidRPr="00D63B51">
        <w:rPr>
          <w:rFonts w:eastAsia="Times New Roman" w:cs="Times New Roman"/>
          <w:color w:val="auto"/>
        </w:rPr>
        <w:tab/>
        <w:t xml:space="preserve">     </w:t>
      </w:r>
      <w:r w:rsidRPr="00D63B51">
        <w:rPr>
          <w:rFonts w:eastAsia="Times New Roman" w:cs="Times New Roman"/>
          <w:color w:val="auto"/>
        </w:rPr>
        <w:tab/>
      </w:r>
      <w:r w:rsidRPr="00D63B51">
        <w:rPr>
          <w:rFonts w:eastAsia="Times New Roman" w:cs="Times New Roman"/>
          <w:color w:val="auto"/>
        </w:rPr>
        <w:tab/>
      </w:r>
    </w:p>
    <w:p w14:paraId="6A1D5D00" w14:textId="55715E4A" w:rsidR="00F62B2D" w:rsidRPr="00D63B51" w:rsidRDefault="00F62B2D" w:rsidP="0049172A">
      <w:pPr>
        <w:shd w:val="clear" w:color="auto" w:fill="FFFFFF"/>
        <w:outlineLvl w:val="2"/>
        <w:rPr>
          <w:rFonts w:cs="Times New Roman"/>
          <w:b/>
          <w:smallCaps/>
        </w:rPr>
      </w:pPr>
      <w:r w:rsidRPr="00D63B51">
        <w:rPr>
          <w:rFonts w:cs="Times New Roman"/>
          <w:color w:val="000000"/>
          <w:shd w:val="clear" w:color="auto" w:fill="FFFFFF"/>
        </w:rPr>
        <w:tab/>
      </w:r>
      <w:r w:rsidRPr="00D63B51">
        <w:rPr>
          <w:rFonts w:cs="Times New Roman"/>
          <w:color w:val="000000"/>
          <w:shd w:val="clear" w:color="auto" w:fill="FFFFFF"/>
        </w:rPr>
        <w:tab/>
      </w:r>
      <w:r w:rsidRPr="00D63B51">
        <w:rPr>
          <w:rFonts w:eastAsia="Times New Roman" w:cs="Times New Roman"/>
          <w:color w:val="auto"/>
        </w:rPr>
        <w:t xml:space="preserve"> </w:t>
      </w:r>
      <w:r w:rsidRPr="00D63B51">
        <w:rPr>
          <w:rFonts w:cs="Times New Roman"/>
          <w:color w:val="000000"/>
          <w:shd w:val="clear" w:color="auto" w:fill="FFFFFF"/>
        </w:rPr>
        <w:tab/>
      </w:r>
      <w:r w:rsidRPr="00D63B51">
        <w:rPr>
          <w:rFonts w:cs="Times New Roman"/>
          <w:color w:val="2F2F2F"/>
          <w:shd w:val="clear" w:color="auto" w:fill="FFFFFF"/>
        </w:rPr>
        <w:tab/>
      </w:r>
      <w:r w:rsidRPr="00D63B51">
        <w:rPr>
          <w:rFonts w:cs="Times New Roman"/>
          <w:b/>
          <w:smallCaps/>
        </w:rPr>
        <w:t>* * * * * * * * * * * *</w:t>
      </w:r>
    </w:p>
    <w:p w14:paraId="08F8BC47" w14:textId="05160897" w:rsidR="00420FD2" w:rsidRPr="00D63B51" w:rsidRDefault="00E31C6C" w:rsidP="00E31C6C">
      <w:pPr>
        <w:pStyle w:val="NoSpacing"/>
        <w:rPr>
          <w:b/>
          <w:bCs/>
        </w:rPr>
      </w:pPr>
      <w:r w:rsidRPr="00D63B51">
        <w:rPr>
          <w:b/>
          <w:bCs/>
        </w:rPr>
        <w:t xml:space="preserve">           </w:t>
      </w:r>
      <w:r w:rsidR="00420FD2" w:rsidRPr="00D63B51">
        <w:rPr>
          <w:b/>
          <w:bCs/>
        </w:rPr>
        <w:t>Permanent Nos. MDL-§18, §19, §20 and §21</w:t>
      </w:r>
      <w:r w:rsidR="0049172A" w:rsidRPr="00D63B51">
        <w:rPr>
          <w:b/>
          <w:bCs/>
        </w:rPr>
        <w:t xml:space="preserve"> </w:t>
      </w:r>
      <w:r w:rsidR="008C2C4F">
        <w:rPr>
          <w:b/>
          <w:bCs/>
        </w:rPr>
        <w:t>(</w:t>
      </w:r>
      <w:r w:rsidR="0049172A" w:rsidRPr="00D63B51">
        <w:rPr>
          <w:b/>
          <w:bCs/>
        </w:rPr>
        <w:t xml:space="preserve">Issued </w:t>
      </w:r>
      <w:r w:rsidR="008C2C4F">
        <w:rPr>
          <w:b/>
          <w:bCs/>
        </w:rPr>
        <w:t>–</w:t>
      </w:r>
      <w:r w:rsidR="0049172A" w:rsidRPr="00D63B51">
        <w:rPr>
          <w:b/>
          <w:bCs/>
        </w:rPr>
        <w:t xml:space="preserve"> </w:t>
      </w:r>
      <w:r w:rsidR="008C2C4F">
        <w:rPr>
          <w:b/>
          <w:bCs/>
        </w:rPr>
        <w:t>March 1, 2026</w:t>
      </w:r>
      <w:r w:rsidR="0049172A" w:rsidRPr="00D63B51">
        <w:rPr>
          <w:b/>
          <w:bCs/>
        </w:rPr>
        <w:t>)</w:t>
      </w:r>
    </w:p>
    <w:p w14:paraId="5D5FBE86" w14:textId="77777777" w:rsidR="00E31C6C" w:rsidRPr="00D63B51" w:rsidRDefault="00E31C6C" w:rsidP="00E31C6C">
      <w:pPr>
        <w:pStyle w:val="NoSpacing"/>
        <w:rPr>
          <w:b/>
          <w:bCs/>
        </w:rPr>
      </w:pPr>
      <w:r w:rsidRPr="00D63B51">
        <w:rPr>
          <w:b/>
          <w:bCs/>
        </w:rPr>
        <w:t xml:space="preserve">                               </w:t>
      </w:r>
      <w:r w:rsidR="00420FD2" w:rsidRPr="00D63B51">
        <w:rPr>
          <w:b/>
          <w:bCs/>
        </w:rPr>
        <w:t>Mass-Tort Bankruptcies</w:t>
      </w:r>
    </w:p>
    <w:p w14:paraId="513B0B92" w14:textId="4867B42D" w:rsidR="00420FD2" w:rsidRPr="00D63B51" w:rsidRDefault="00E31C6C" w:rsidP="00E31C6C">
      <w:pPr>
        <w:pStyle w:val="NoSpacing"/>
        <w:ind w:firstLine="720"/>
        <w:rPr>
          <w:b/>
          <w:bCs/>
        </w:rPr>
      </w:pPr>
      <w:r w:rsidRPr="00D63B51">
        <w:rPr>
          <w:b/>
          <w:bCs/>
        </w:rPr>
        <w:t xml:space="preserve">                       </w:t>
      </w:r>
      <w:r w:rsidR="0049172A" w:rsidRPr="00D63B51">
        <w:rPr>
          <w:b/>
          <w:bCs/>
        </w:rPr>
        <w:t>CONTRI</w:t>
      </w:r>
      <w:r w:rsidRPr="00D63B51">
        <w:rPr>
          <w:b/>
          <w:bCs/>
        </w:rPr>
        <w:t>BUTORS</w:t>
      </w:r>
    </w:p>
    <w:p w14:paraId="77DE7DF5" w14:textId="77777777" w:rsidR="00DA3C25" w:rsidRPr="00D63B51" w:rsidRDefault="00DA3C25" w:rsidP="00DA3C25">
      <w:pPr>
        <w:rPr>
          <w:rFonts w:cs="Times New Roman"/>
        </w:rPr>
      </w:pPr>
    </w:p>
    <w:p w14:paraId="7D8FC24B" w14:textId="77777777" w:rsidR="00DA3C25" w:rsidRPr="00D63B51" w:rsidRDefault="00DA3C25" w:rsidP="00DA3C25">
      <w:pPr>
        <w:rPr>
          <w:rFonts w:cs="Times New Roman"/>
        </w:rPr>
      </w:pPr>
    </w:p>
    <w:p w14:paraId="6FBC00CE" w14:textId="2D930E13" w:rsidR="00DA3C25" w:rsidRPr="00D63B51" w:rsidRDefault="00DA3C25" w:rsidP="00DA3C25">
      <w:pPr>
        <w:rPr>
          <w:rFonts w:cs="Times New Roman"/>
        </w:rPr>
      </w:pPr>
      <w:r w:rsidRPr="00D63B51">
        <w:rPr>
          <w:rFonts w:cs="Times New Roman"/>
        </w:rPr>
        <w:t xml:space="preserve">Dockterman, Michael </w:t>
      </w:r>
      <w:r w:rsidRPr="00D63B51">
        <w:rPr>
          <w:rFonts w:cs="Times New Roman"/>
        </w:rPr>
        <w:tab/>
      </w:r>
      <w:r w:rsidRPr="00D63B51">
        <w:rPr>
          <w:rFonts w:cs="Times New Roman"/>
        </w:rPr>
        <w:tab/>
      </w:r>
      <w:r w:rsidRPr="00D63B51">
        <w:rPr>
          <w:rFonts w:cs="Times New Roman"/>
        </w:rPr>
        <w:tab/>
        <w:t>Hon. Fitzgerald, Judith K. (Ret.)</w:t>
      </w:r>
    </w:p>
    <w:p w14:paraId="1A77CAF6" w14:textId="77777777" w:rsidR="00DA3C25" w:rsidRPr="00D63B51" w:rsidRDefault="00DA3C25" w:rsidP="00DA3C25">
      <w:pPr>
        <w:rPr>
          <w:rFonts w:cs="Times New Roman"/>
          <w:color w:val="4A4A4A"/>
          <w:shd w:val="clear" w:color="auto" w:fill="FFFFFF"/>
        </w:rPr>
      </w:pPr>
      <w:r w:rsidRPr="00D63B51">
        <w:rPr>
          <w:rFonts w:cs="Times New Roman"/>
          <w:color w:val="4A4A4A"/>
          <w:shd w:val="clear" w:color="auto" w:fill="FFFFFF"/>
        </w:rPr>
        <w:t>McDermott Will &amp; Schulte</w:t>
      </w:r>
      <w:r w:rsidRPr="00D63B51">
        <w:rPr>
          <w:rFonts w:cs="Times New Roman"/>
        </w:rPr>
        <w:t xml:space="preserve"> </w:t>
      </w:r>
      <w:r w:rsidRPr="00D63B51">
        <w:rPr>
          <w:rFonts w:cs="Times New Roman"/>
        </w:rPr>
        <w:tab/>
      </w:r>
      <w:r w:rsidRPr="00D63B51">
        <w:rPr>
          <w:rFonts w:cs="Times New Roman"/>
        </w:rPr>
        <w:tab/>
        <w:t>Tucker Arensberg PC</w:t>
      </w:r>
      <w:r w:rsidRPr="00D63B51">
        <w:rPr>
          <w:rFonts w:cs="Times New Roman"/>
        </w:rPr>
        <w:tab/>
      </w:r>
    </w:p>
    <w:p w14:paraId="00B1F70B" w14:textId="77777777" w:rsidR="00DA3C25" w:rsidRPr="00D63B51" w:rsidRDefault="00DA3C25" w:rsidP="00DA3C25">
      <w:pPr>
        <w:rPr>
          <w:rFonts w:cs="Times New Roman"/>
          <w:color w:val="4A4A4A"/>
          <w:shd w:val="clear" w:color="auto" w:fill="FFFFFF"/>
        </w:rPr>
      </w:pPr>
    </w:p>
    <w:p w14:paraId="465F12E6" w14:textId="77777777" w:rsidR="00DA3C25" w:rsidRPr="00D63B51" w:rsidRDefault="00DA3C25" w:rsidP="00DA3C25">
      <w:pPr>
        <w:rPr>
          <w:rFonts w:cs="Times New Roman"/>
        </w:rPr>
      </w:pPr>
      <w:r w:rsidRPr="00D63B51">
        <w:rPr>
          <w:rFonts w:cs="Times New Roman"/>
        </w:rPr>
        <w:t>Hon. Gerber, Robert (Ret.)</w:t>
      </w:r>
      <w:r w:rsidRPr="00D63B51">
        <w:rPr>
          <w:rFonts w:cs="Times New Roman"/>
        </w:rPr>
        <w:tab/>
      </w:r>
      <w:r w:rsidRPr="00D63B51">
        <w:rPr>
          <w:rFonts w:cs="Times New Roman"/>
        </w:rPr>
        <w:tab/>
        <w:t>Hon. Grabill, Meredith</w:t>
      </w:r>
    </w:p>
    <w:p w14:paraId="4864DA58" w14:textId="77777777" w:rsidR="00DA3C25" w:rsidRPr="00D63B51" w:rsidRDefault="00DA3C25" w:rsidP="00DA3C25">
      <w:pPr>
        <w:rPr>
          <w:rFonts w:cs="Times New Roman"/>
        </w:rPr>
      </w:pPr>
      <w:r w:rsidRPr="00D63B51">
        <w:rPr>
          <w:rFonts w:cs="Times New Roman"/>
        </w:rPr>
        <w:t>Joseph Hage Aaronson</w:t>
      </w:r>
      <w:r w:rsidRPr="00D63B51">
        <w:rPr>
          <w:rFonts w:cs="Times New Roman"/>
        </w:rPr>
        <w:tab/>
      </w:r>
      <w:r w:rsidRPr="00D63B51">
        <w:rPr>
          <w:rFonts w:cs="Times New Roman"/>
        </w:rPr>
        <w:tab/>
        <w:t>Eastern District of Louisiana</w:t>
      </w:r>
    </w:p>
    <w:p w14:paraId="601950A3" w14:textId="77777777" w:rsidR="00DA3C25" w:rsidRPr="00D63B51" w:rsidRDefault="00DA3C25" w:rsidP="00DA3C25">
      <w:pPr>
        <w:rPr>
          <w:rFonts w:cs="Times New Roman"/>
        </w:rPr>
      </w:pPr>
    </w:p>
    <w:p w14:paraId="463761EB" w14:textId="77777777" w:rsidR="00DA3C25" w:rsidRPr="00D63B51" w:rsidRDefault="00DA3C25" w:rsidP="00DA3C25">
      <w:pPr>
        <w:rPr>
          <w:rFonts w:cs="Times New Roman"/>
        </w:rPr>
      </w:pPr>
      <w:r w:rsidRPr="00D63B51">
        <w:rPr>
          <w:rFonts w:cs="Times New Roman"/>
        </w:rPr>
        <w:t xml:space="preserve">Hon. Gunn, Elizabeth </w:t>
      </w:r>
      <w:r w:rsidRPr="00D63B51">
        <w:rPr>
          <w:rFonts w:cs="Times New Roman"/>
        </w:rPr>
        <w:tab/>
      </w:r>
      <w:r w:rsidRPr="00D63B51">
        <w:rPr>
          <w:rFonts w:cs="Times New Roman"/>
        </w:rPr>
        <w:tab/>
      </w:r>
      <w:r w:rsidRPr="00D63B51">
        <w:rPr>
          <w:rFonts w:cs="Times New Roman"/>
        </w:rPr>
        <w:tab/>
        <w:t>Hillsee, Todd</w:t>
      </w:r>
    </w:p>
    <w:p w14:paraId="55B45301" w14:textId="77777777" w:rsidR="00DA3C25" w:rsidRPr="00D63B51" w:rsidRDefault="00DA3C25" w:rsidP="00DA3C25">
      <w:pPr>
        <w:rPr>
          <w:rFonts w:cs="Times New Roman"/>
        </w:rPr>
      </w:pPr>
      <w:r w:rsidRPr="00D63B51">
        <w:rPr>
          <w:rFonts w:cs="Times New Roman"/>
        </w:rPr>
        <w:t xml:space="preserve">District of Columbia </w:t>
      </w:r>
      <w:r w:rsidRPr="00D63B51">
        <w:rPr>
          <w:rFonts w:cs="Times New Roman"/>
        </w:rPr>
        <w:tab/>
      </w:r>
      <w:r w:rsidRPr="00D63B51">
        <w:rPr>
          <w:rFonts w:cs="Times New Roman"/>
        </w:rPr>
        <w:tab/>
      </w:r>
      <w:r w:rsidRPr="00D63B51">
        <w:rPr>
          <w:rFonts w:cs="Times New Roman"/>
        </w:rPr>
        <w:tab/>
        <w:t>The Hilsee Group</w:t>
      </w:r>
    </w:p>
    <w:p w14:paraId="01E13704" w14:textId="77777777" w:rsidR="00DA3C25" w:rsidRPr="00D63B51" w:rsidRDefault="00DA3C25" w:rsidP="00DA3C25">
      <w:pPr>
        <w:rPr>
          <w:rFonts w:cs="Times New Roman"/>
        </w:rPr>
      </w:pPr>
    </w:p>
    <w:p w14:paraId="38084C47" w14:textId="77777777" w:rsidR="00DA3C25" w:rsidRPr="00D63B51" w:rsidRDefault="00DA3C25" w:rsidP="00DA3C25">
      <w:pPr>
        <w:rPr>
          <w:rFonts w:cs="Times New Roman"/>
        </w:rPr>
      </w:pPr>
      <w:r w:rsidRPr="00D63B51">
        <w:rPr>
          <w:rFonts w:cs="Times New Roman"/>
        </w:rPr>
        <w:t>Hon. Kaplan, Michael</w:t>
      </w:r>
      <w:r w:rsidRPr="00D63B51">
        <w:rPr>
          <w:rFonts w:cs="Times New Roman"/>
        </w:rPr>
        <w:tab/>
      </w:r>
      <w:r w:rsidRPr="00D63B51">
        <w:rPr>
          <w:rFonts w:cs="Times New Roman"/>
        </w:rPr>
        <w:tab/>
      </w:r>
      <w:r w:rsidRPr="00D63B51">
        <w:rPr>
          <w:rFonts w:cs="Times New Roman"/>
        </w:rPr>
        <w:tab/>
        <w:t>Hon. Poslusny, Jerrold</w:t>
      </w:r>
    </w:p>
    <w:p w14:paraId="2593DF7B" w14:textId="31BF7CCD" w:rsidR="0049172A" w:rsidRPr="00D63B51" w:rsidRDefault="00DA3C25" w:rsidP="00DA3C25">
      <w:pPr>
        <w:rPr>
          <w:rFonts w:cs="Times New Roman"/>
        </w:rPr>
      </w:pPr>
      <w:r w:rsidRPr="00D63B51">
        <w:rPr>
          <w:rFonts w:cs="Times New Roman"/>
        </w:rPr>
        <w:t>District of New Jersey</w:t>
      </w:r>
      <w:r w:rsidRPr="00D63B51">
        <w:rPr>
          <w:rFonts w:cs="Times New Roman"/>
        </w:rPr>
        <w:tab/>
      </w:r>
      <w:r w:rsidRPr="00D63B51">
        <w:rPr>
          <w:rFonts w:cs="Times New Roman"/>
        </w:rPr>
        <w:tab/>
      </w:r>
      <w:r w:rsidRPr="00D63B51">
        <w:rPr>
          <w:rFonts w:cs="Times New Roman"/>
        </w:rPr>
        <w:tab/>
        <w:t>District of New Jersey</w:t>
      </w:r>
    </w:p>
    <w:p w14:paraId="5B4E7EB7" w14:textId="77777777" w:rsidR="00DA3C25" w:rsidRPr="00D63B51" w:rsidRDefault="00DA3C25" w:rsidP="00F62B2D">
      <w:pPr>
        <w:spacing w:before="120"/>
        <w:jc w:val="center"/>
        <w:rPr>
          <w:rFonts w:cs="Times New Roman"/>
          <w:b/>
          <w:smallCaps/>
        </w:rPr>
      </w:pPr>
    </w:p>
    <w:p w14:paraId="26A37419" w14:textId="77777777" w:rsidR="0049172A" w:rsidRPr="00D63B51" w:rsidRDefault="0049172A" w:rsidP="0049172A">
      <w:pPr>
        <w:spacing w:before="120"/>
        <w:jc w:val="center"/>
        <w:rPr>
          <w:rFonts w:cs="Times New Roman"/>
          <w:b/>
          <w:smallCaps/>
        </w:rPr>
      </w:pPr>
      <w:r w:rsidRPr="00D63B51">
        <w:rPr>
          <w:rFonts w:cs="Times New Roman"/>
          <w:b/>
          <w:smallCaps/>
        </w:rPr>
        <w:t>* * * * * * * * * * * *</w:t>
      </w:r>
    </w:p>
    <w:p w14:paraId="758F458B" w14:textId="77777777" w:rsidR="00E31C6C" w:rsidRPr="00D63B51" w:rsidRDefault="00E31C6C" w:rsidP="0049172A">
      <w:pPr>
        <w:spacing w:before="120"/>
        <w:jc w:val="center"/>
        <w:rPr>
          <w:rFonts w:cs="Times New Roman"/>
          <w:b/>
          <w:smallCaps/>
        </w:rPr>
      </w:pPr>
    </w:p>
    <w:p w14:paraId="0818EFA5" w14:textId="77777777" w:rsidR="00E31C6C" w:rsidRPr="00D63B51" w:rsidRDefault="00E31C6C" w:rsidP="0049172A">
      <w:pPr>
        <w:spacing w:before="120"/>
        <w:jc w:val="center"/>
        <w:rPr>
          <w:rFonts w:cs="Times New Roman"/>
          <w:b/>
          <w:smallCaps/>
        </w:rPr>
      </w:pPr>
    </w:p>
    <w:p w14:paraId="18ED5170" w14:textId="77777777" w:rsidR="00E31C6C" w:rsidRPr="00D63B51" w:rsidRDefault="00E31C6C" w:rsidP="0049172A">
      <w:pPr>
        <w:spacing w:before="120"/>
        <w:jc w:val="center"/>
        <w:rPr>
          <w:rFonts w:cs="Times New Roman"/>
          <w:b/>
          <w:smallCaps/>
        </w:rPr>
      </w:pPr>
    </w:p>
    <w:p w14:paraId="28CAF4E2" w14:textId="290AA15D" w:rsidR="00C449F4" w:rsidRPr="00D63B51" w:rsidRDefault="00C449F4" w:rsidP="00E31C6C">
      <w:pPr>
        <w:pStyle w:val="NoSpacing"/>
        <w:ind w:left="2160"/>
        <w:rPr>
          <w:b/>
          <w:bCs/>
        </w:rPr>
      </w:pPr>
      <w:r w:rsidRPr="00D63B51">
        <w:rPr>
          <w:b/>
          <w:bCs/>
        </w:rPr>
        <w:lastRenderedPageBreak/>
        <w:t xml:space="preserve">Permanent No. MDL-§ </w:t>
      </w:r>
      <w:r w:rsidR="00003950">
        <w:rPr>
          <w:b/>
          <w:bCs/>
        </w:rPr>
        <w:t>15</w:t>
      </w:r>
      <w:r w:rsidRPr="00D63B51">
        <w:rPr>
          <w:b/>
          <w:bCs/>
        </w:rPr>
        <w:t xml:space="preserve"> (</w:t>
      </w:r>
      <w:r w:rsidR="008C2C4F">
        <w:rPr>
          <w:b/>
          <w:bCs/>
        </w:rPr>
        <w:t>Issued March 1, 2026</w:t>
      </w:r>
      <w:r w:rsidRPr="00D63B51">
        <w:rPr>
          <w:b/>
          <w:bCs/>
        </w:rPr>
        <w:t>)</w:t>
      </w:r>
    </w:p>
    <w:p w14:paraId="53FCE36A" w14:textId="35183AB5" w:rsidR="007C65A6" w:rsidRPr="00D63B51" w:rsidRDefault="006E1A9D" w:rsidP="00E31C6C">
      <w:pPr>
        <w:pStyle w:val="NoSpacing"/>
        <w:ind w:left="2160"/>
        <w:rPr>
          <w:b/>
          <w:bCs/>
        </w:rPr>
      </w:pPr>
      <w:r w:rsidRPr="00D63B51">
        <w:rPr>
          <w:b/>
          <w:bCs/>
        </w:rPr>
        <w:t>MDL – Ediscovery; Rule 16.1</w:t>
      </w:r>
    </w:p>
    <w:p w14:paraId="47D882AF" w14:textId="0609BA92" w:rsidR="00E31C6C" w:rsidRPr="00D63B51" w:rsidRDefault="00E31C6C" w:rsidP="00E31C6C">
      <w:pPr>
        <w:pStyle w:val="NoSpacing"/>
        <w:ind w:left="2160"/>
        <w:rPr>
          <w:b/>
          <w:bCs/>
        </w:rPr>
      </w:pPr>
      <w:r w:rsidRPr="00D63B51">
        <w:rPr>
          <w:b/>
          <w:bCs/>
        </w:rPr>
        <w:t>CONTRIBUTORS</w:t>
      </w:r>
    </w:p>
    <w:p w14:paraId="0385C9F5" w14:textId="77777777" w:rsidR="00F62B2D" w:rsidRPr="00D63B51" w:rsidRDefault="00F62B2D" w:rsidP="00F62B2D">
      <w:pPr>
        <w:rPr>
          <w:rFonts w:cs="Times New Roman"/>
          <w:b/>
          <w:smallCaps/>
        </w:rPr>
      </w:pPr>
    </w:p>
    <w:p w14:paraId="78557B43" w14:textId="77777777" w:rsidR="00C449F4" w:rsidRPr="00D63B51" w:rsidRDefault="00C449F4" w:rsidP="00C449F4">
      <w:pPr>
        <w:pStyle w:val="FootnoteText"/>
        <w:rPr>
          <w:b/>
          <w:bCs/>
          <w:sz w:val="28"/>
          <w:szCs w:val="28"/>
        </w:rPr>
      </w:pPr>
    </w:p>
    <w:p w14:paraId="0266B43A" w14:textId="78C65F4B" w:rsidR="00C449F4" w:rsidRPr="00D63B51" w:rsidRDefault="00C449F4" w:rsidP="006E1A9D">
      <w:pPr>
        <w:pStyle w:val="FootnoteText"/>
        <w:rPr>
          <w:sz w:val="24"/>
          <w:szCs w:val="24"/>
        </w:rPr>
      </w:pPr>
      <w:r w:rsidRPr="00D63B51">
        <w:rPr>
          <w:sz w:val="24"/>
          <w:szCs w:val="24"/>
        </w:rPr>
        <w:t xml:space="preserve">Belt, William </w:t>
      </w:r>
      <w:r w:rsidRPr="00D63B51">
        <w:rPr>
          <w:sz w:val="24"/>
          <w:szCs w:val="24"/>
        </w:rPr>
        <w:tab/>
      </w:r>
      <w:r w:rsidRPr="00D63B51">
        <w:rPr>
          <w:sz w:val="24"/>
          <w:szCs w:val="24"/>
        </w:rPr>
        <w:tab/>
      </w:r>
      <w:r w:rsidRPr="00D63B51">
        <w:rPr>
          <w:sz w:val="24"/>
          <w:szCs w:val="24"/>
        </w:rPr>
        <w:tab/>
      </w:r>
      <w:r w:rsidRPr="00D63B51">
        <w:rPr>
          <w:sz w:val="24"/>
          <w:szCs w:val="24"/>
        </w:rPr>
        <w:tab/>
      </w:r>
      <w:r w:rsidRPr="00D63B51">
        <w:rPr>
          <w:sz w:val="24"/>
          <w:szCs w:val="24"/>
        </w:rPr>
        <w:tab/>
      </w:r>
      <w:r w:rsidR="00272F33" w:rsidRPr="00D63B51">
        <w:rPr>
          <w:sz w:val="24"/>
          <w:szCs w:val="24"/>
        </w:rPr>
        <w:t>Mekus, John</w:t>
      </w:r>
      <w:r w:rsidRPr="00D63B51">
        <w:rPr>
          <w:sz w:val="24"/>
          <w:szCs w:val="24"/>
        </w:rPr>
        <w:tab/>
      </w:r>
      <w:r w:rsidRPr="00D63B51">
        <w:rPr>
          <w:sz w:val="24"/>
          <w:szCs w:val="24"/>
        </w:rPr>
        <w:tab/>
      </w:r>
      <w:r w:rsidRPr="00D63B51">
        <w:rPr>
          <w:sz w:val="24"/>
          <w:szCs w:val="24"/>
        </w:rPr>
        <w:tab/>
      </w:r>
    </w:p>
    <w:p w14:paraId="391CC45A" w14:textId="48E776E6" w:rsidR="00C449F4" w:rsidRPr="00D63B51" w:rsidRDefault="00C449F4" w:rsidP="006E1A9D">
      <w:pPr>
        <w:pStyle w:val="FootnoteText"/>
        <w:rPr>
          <w:sz w:val="24"/>
          <w:szCs w:val="24"/>
        </w:rPr>
      </w:pPr>
      <w:r w:rsidRPr="00D63B51">
        <w:rPr>
          <w:sz w:val="24"/>
          <w:szCs w:val="24"/>
        </w:rPr>
        <w:t xml:space="preserve">Complete Discovery Source, Inc.   </w:t>
      </w:r>
      <w:r w:rsidRPr="00D63B51">
        <w:rPr>
          <w:sz w:val="24"/>
          <w:szCs w:val="24"/>
        </w:rPr>
        <w:tab/>
      </w:r>
      <w:r w:rsidRPr="00D63B51">
        <w:rPr>
          <w:sz w:val="24"/>
          <w:szCs w:val="24"/>
        </w:rPr>
        <w:tab/>
      </w:r>
      <w:r w:rsidR="00272F33" w:rsidRPr="00D63B51">
        <w:rPr>
          <w:sz w:val="24"/>
          <w:szCs w:val="24"/>
        </w:rPr>
        <w:t>NextClaims Solutions</w:t>
      </w:r>
      <w:r w:rsidRPr="00D63B51">
        <w:rPr>
          <w:sz w:val="24"/>
          <w:szCs w:val="24"/>
        </w:rPr>
        <w:tab/>
      </w:r>
    </w:p>
    <w:p w14:paraId="1FA57BC7" w14:textId="77777777" w:rsidR="00C449F4" w:rsidRPr="00D63B51" w:rsidRDefault="00C449F4" w:rsidP="006E1A9D">
      <w:pPr>
        <w:pStyle w:val="FootnoteText"/>
        <w:rPr>
          <w:sz w:val="24"/>
          <w:szCs w:val="24"/>
        </w:rPr>
      </w:pPr>
    </w:p>
    <w:p w14:paraId="2A8A4BEC" w14:textId="6D42A878" w:rsidR="00C449F4" w:rsidRPr="00D63B51" w:rsidRDefault="00C449F4" w:rsidP="006E1A9D">
      <w:pPr>
        <w:pStyle w:val="FootnoteText"/>
        <w:rPr>
          <w:sz w:val="24"/>
          <w:szCs w:val="24"/>
        </w:rPr>
      </w:pPr>
      <w:r w:rsidRPr="00D63B51">
        <w:rPr>
          <w:sz w:val="24"/>
          <w:szCs w:val="24"/>
        </w:rPr>
        <w:t>Hon. Conti, Joy Flowers</w:t>
      </w:r>
      <w:r w:rsidRPr="00D63B51">
        <w:rPr>
          <w:sz w:val="24"/>
          <w:szCs w:val="24"/>
        </w:rPr>
        <w:tab/>
      </w:r>
      <w:r w:rsidRPr="00D63B51">
        <w:rPr>
          <w:sz w:val="24"/>
          <w:szCs w:val="24"/>
        </w:rPr>
        <w:tab/>
      </w:r>
      <w:r w:rsidRPr="00D63B51">
        <w:rPr>
          <w:sz w:val="24"/>
          <w:szCs w:val="24"/>
        </w:rPr>
        <w:tab/>
      </w:r>
      <w:r w:rsidR="00272F33" w:rsidRPr="00D63B51">
        <w:rPr>
          <w:sz w:val="24"/>
          <w:szCs w:val="24"/>
        </w:rPr>
        <w:t>Hon. North, Michael</w:t>
      </w:r>
    </w:p>
    <w:p w14:paraId="168F7348" w14:textId="7B92C6F4" w:rsidR="00C449F4" w:rsidRPr="00D63B51" w:rsidRDefault="00C449F4" w:rsidP="006E1A9D">
      <w:pPr>
        <w:pStyle w:val="FootnoteText"/>
        <w:rPr>
          <w:sz w:val="24"/>
          <w:szCs w:val="24"/>
        </w:rPr>
      </w:pPr>
      <w:r w:rsidRPr="00D63B51">
        <w:rPr>
          <w:sz w:val="24"/>
          <w:szCs w:val="24"/>
        </w:rPr>
        <w:t>Western District of Pennsylvania</w:t>
      </w:r>
      <w:r w:rsidRPr="00D63B51">
        <w:rPr>
          <w:sz w:val="24"/>
          <w:szCs w:val="24"/>
        </w:rPr>
        <w:tab/>
      </w:r>
      <w:r w:rsidRPr="00D63B51">
        <w:rPr>
          <w:sz w:val="24"/>
          <w:szCs w:val="24"/>
        </w:rPr>
        <w:tab/>
      </w:r>
      <w:r w:rsidR="00272F33" w:rsidRPr="00D63B51">
        <w:rPr>
          <w:sz w:val="24"/>
          <w:szCs w:val="24"/>
        </w:rPr>
        <w:t xml:space="preserve">Eastern District of Louisiana    </w:t>
      </w:r>
    </w:p>
    <w:p w14:paraId="18463CC4" w14:textId="77777777" w:rsidR="00C449F4" w:rsidRPr="00D63B51" w:rsidRDefault="00C449F4" w:rsidP="00C449F4">
      <w:pPr>
        <w:pStyle w:val="FootnoteText"/>
        <w:jc w:val="center"/>
        <w:rPr>
          <w:sz w:val="24"/>
          <w:szCs w:val="24"/>
        </w:rPr>
      </w:pPr>
    </w:p>
    <w:p w14:paraId="5995FA1A" w14:textId="77777777" w:rsidR="00C449F4" w:rsidRPr="00D63B51" w:rsidRDefault="00C449F4" w:rsidP="006E1A9D">
      <w:pPr>
        <w:pStyle w:val="FootnoteText"/>
        <w:rPr>
          <w:sz w:val="24"/>
          <w:szCs w:val="24"/>
        </w:rPr>
      </w:pPr>
      <w:r w:rsidRPr="00D63B51">
        <w:rPr>
          <w:sz w:val="24"/>
          <w:szCs w:val="24"/>
        </w:rPr>
        <w:t>Doolittle, Paul</w:t>
      </w:r>
      <w:r w:rsidRPr="00D63B51">
        <w:rPr>
          <w:sz w:val="24"/>
          <w:szCs w:val="24"/>
        </w:rPr>
        <w:tab/>
      </w:r>
      <w:r w:rsidRPr="00D63B51">
        <w:rPr>
          <w:sz w:val="24"/>
          <w:szCs w:val="24"/>
        </w:rPr>
        <w:tab/>
      </w:r>
      <w:r w:rsidRPr="00D63B51">
        <w:rPr>
          <w:sz w:val="24"/>
          <w:szCs w:val="24"/>
        </w:rPr>
        <w:tab/>
      </w:r>
      <w:r w:rsidRPr="00D63B51">
        <w:rPr>
          <w:sz w:val="24"/>
          <w:szCs w:val="24"/>
        </w:rPr>
        <w:tab/>
      </w:r>
      <w:r w:rsidRPr="00D63B51">
        <w:rPr>
          <w:sz w:val="24"/>
          <w:szCs w:val="24"/>
        </w:rPr>
        <w:tab/>
        <w:t>Opsitnick, Tim</w:t>
      </w:r>
    </w:p>
    <w:p w14:paraId="69A89B8C" w14:textId="77777777" w:rsidR="00C449F4" w:rsidRPr="00D63B51" w:rsidRDefault="00C449F4" w:rsidP="006E1A9D">
      <w:pPr>
        <w:pStyle w:val="FootnoteText"/>
        <w:rPr>
          <w:sz w:val="24"/>
          <w:szCs w:val="24"/>
        </w:rPr>
      </w:pPr>
      <w:r w:rsidRPr="00D63B51">
        <w:rPr>
          <w:sz w:val="24"/>
          <w:szCs w:val="24"/>
        </w:rPr>
        <w:t>Poulin | Willey | Anastopoulo, LLC</w:t>
      </w:r>
      <w:r w:rsidRPr="00D63B51">
        <w:rPr>
          <w:sz w:val="24"/>
          <w:szCs w:val="24"/>
        </w:rPr>
        <w:tab/>
      </w:r>
      <w:r w:rsidRPr="00D63B51">
        <w:rPr>
          <w:sz w:val="24"/>
          <w:szCs w:val="24"/>
        </w:rPr>
        <w:tab/>
        <w:t>TCDI, Inc.</w:t>
      </w:r>
    </w:p>
    <w:p w14:paraId="04643D7A" w14:textId="77777777" w:rsidR="00C449F4" w:rsidRPr="00D63B51" w:rsidRDefault="00C449F4" w:rsidP="00C449F4">
      <w:pPr>
        <w:pStyle w:val="FootnoteText"/>
        <w:jc w:val="center"/>
        <w:rPr>
          <w:sz w:val="24"/>
          <w:szCs w:val="24"/>
        </w:rPr>
      </w:pPr>
    </w:p>
    <w:p w14:paraId="14972F37" w14:textId="77777777" w:rsidR="00C449F4" w:rsidRPr="00D63B51" w:rsidRDefault="00C449F4" w:rsidP="006E1A9D">
      <w:pPr>
        <w:pStyle w:val="FootnoteText"/>
        <w:rPr>
          <w:sz w:val="24"/>
          <w:szCs w:val="24"/>
        </w:rPr>
      </w:pPr>
      <w:r w:rsidRPr="00D63B51">
        <w:rPr>
          <w:sz w:val="24"/>
          <w:szCs w:val="24"/>
        </w:rPr>
        <w:t>Iverson, Kelly</w:t>
      </w:r>
      <w:r w:rsidRPr="00D63B51">
        <w:rPr>
          <w:sz w:val="24"/>
          <w:szCs w:val="24"/>
        </w:rPr>
        <w:tab/>
      </w:r>
      <w:r w:rsidRPr="00D63B51">
        <w:rPr>
          <w:sz w:val="24"/>
          <w:szCs w:val="24"/>
        </w:rPr>
        <w:tab/>
      </w:r>
      <w:r w:rsidRPr="00D63B51">
        <w:rPr>
          <w:sz w:val="24"/>
          <w:szCs w:val="24"/>
        </w:rPr>
        <w:tab/>
      </w:r>
      <w:r w:rsidRPr="00D63B51">
        <w:rPr>
          <w:sz w:val="24"/>
          <w:szCs w:val="24"/>
        </w:rPr>
        <w:tab/>
      </w:r>
      <w:r w:rsidRPr="00D63B51">
        <w:rPr>
          <w:sz w:val="24"/>
          <w:szCs w:val="24"/>
        </w:rPr>
        <w:tab/>
        <w:t>Hon. Summerhays, Robert</w:t>
      </w:r>
    </w:p>
    <w:p w14:paraId="06FB05CF" w14:textId="77777777" w:rsidR="00C449F4" w:rsidRPr="00D63B51" w:rsidRDefault="00C449F4" w:rsidP="006E1A9D">
      <w:pPr>
        <w:pStyle w:val="FootnoteText"/>
        <w:rPr>
          <w:sz w:val="24"/>
          <w:szCs w:val="24"/>
        </w:rPr>
      </w:pPr>
      <w:r w:rsidRPr="00D63B51">
        <w:rPr>
          <w:sz w:val="24"/>
          <w:szCs w:val="24"/>
        </w:rPr>
        <w:t>Lynch Carpenter LLP</w:t>
      </w:r>
      <w:r w:rsidRPr="00D63B51">
        <w:rPr>
          <w:sz w:val="24"/>
          <w:szCs w:val="24"/>
        </w:rPr>
        <w:tab/>
      </w:r>
      <w:r w:rsidRPr="00D63B51">
        <w:rPr>
          <w:sz w:val="24"/>
          <w:szCs w:val="24"/>
        </w:rPr>
        <w:tab/>
      </w:r>
      <w:r w:rsidRPr="00D63B51">
        <w:rPr>
          <w:sz w:val="24"/>
          <w:szCs w:val="24"/>
        </w:rPr>
        <w:tab/>
      </w:r>
      <w:r w:rsidRPr="00D63B51">
        <w:rPr>
          <w:sz w:val="24"/>
          <w:szCs w:val="24"/>
        </w:rPr>
        <w:tab/>
        <w:t>Western District of Louisiana</w:t>
      </w:r>
    </w:p>
    <w:p w14:paraId="671A8BD9" w14:textId="77777777" w:rsidR="00C449F4" w:rsidRPr="00D63B51" w:rsidRDefault="00C449F4" w:rsidP="00C449F4">
      <w:pPr>
        <w:pStyle w:val="FootnoteText"/>
        <w:jc w:val="center"/>
        <w:rPr>
          <w:sz w:val="24"/>
          <w:szCs w:val="24"/>
        </w:rPr>
      </w:pPr>
      <w:r w:rsidRPr="00D63B51">
        <w:rPr>
          <w:sz w:val="24"/>
          <w:szCs w:val="24"/>
        </w:rPr>
        <w:tab/>
      </w:r>
      <w:r w:rsidRPr="00D63B51">
        <w:rPr>
          <w:sz w:val="24"/>
          <w:szCs w:val="24"/>
        </w:rPr>
        <w:tab/>
      </w:r>
      <w:r w:rsidRPr="00D63B51">
        <w:rPr>
          <w:sz w:val="24"/>
          <w:szCs w:val="24"/>
        </w:rPr>
        <w:tab/>
      </w:r>
      <w:r w:rsidRPr="00D63B51">
        <w:rPr>
          <w:sz w:val="24"/>
          <w:szCs w:val="24"/>
        </w:rPr>
        <w:tab/>
      </w:r>
      <w:r w:rsidRPr="00D63B51">
        <w:rPr>
          <w:sz w:val="24"/>
          <w:szCs w:val="24"/>
        </w:rPr>
        <w:tab/>
      </w:r>
      <w:r w:rsidRPr="00D63B51">
        <w:rPr>
          <w:sz w:val="24"/>
          <w:szCs w:val="24"/>
        </w:rPr>
        <w:tab/>
      </w:r>
    </w:p>
    <w:p w14:paraId="0073DFC6" w14:textId="5B341E06" w:rsidR="00C449F4" w:rsidRPr="00D63B51" w:rsidRDefault="00C449F4" w:rsidP="006E1A9D">
      <w:pPr>
        <w:pStyle w:val="FootnoteText"/>
        <w:rPr>
          <w:sz w:val="24"/>
          <w:szCs w:val="24"/>
        </w:rPr>
      </w:pPr>
      <w:r w:rsidRPr="00D63B51">
        <w:rPr>
          <w:sz w:val="24"/>
          <w:szCs w:val="24"/>
        </w:rPr>
        <w:t>Hon. Jones, Gary</w:t>
      </w:r>
      <w:r w:rsidRPr="00D63B51">
        <w:rPr>
          <w:sz w:val="24"/>
          <w:szCs w:val="24"/>
        </w:rPr>
        <w:tab/>
      </w:r>
      <w:r w:rsidRPr="00D63B51">
        <w:rPr>
          <w:sz w:val="24"/>
          <w:szCs w:val="24"/>
        </w:rPr>
        <w:tab/>
      </w:r>
      <w:r w:rsidRPr="00D63B51">
        <w:rPr>
          <w:sz w:val="24"/>
          <w:szCs w:val="24"/>
        </w:rPr>
        <w:tab/>
      </w:r>
      <w:r w:rsidRPr="00D63B51">
        <w:rPr>
          <w:sz w:val="24"/>
          <w:szCs w:val="24"/>
        </w:rPr>
        <w:tab/>
      </w:r>
      <w:r w:rsidR="00EA44BD" w:rsidRPr="00D63B51">
        <w:rPr>
          <w:sz w:val="24"/>
          <w:szCs w:val="24"/>
        </w:rPr>
        <w:t>Rodriguez, Leilah</w:t>
      </w:r>
    </w:p>
    <w:p w14:paraId="785C5D88" w14:textId="46ECBCE7" w:rsidR="00C449F4" w:rsidRPr="00D63B51" w:rsidRDefault="00C449F4" w:rsidP="006E1A9D">
      <w:pPr>
        <w:pStyle w:val="FootnoteText"/>
        <w:rPr>
          <w:sz w:val="24"/>
          <w:szCs w:val="24"/>
        </w:rPr>
      </w:pPr>
      <w:r w:rsidRPr="00D63B51">
        <w:rPr>
          <w:sz w:val="24"/>
          <w:szCs w:val="24"/>
        </w:rPr>
        <w:t>Northern District of Florida</w:t>
      </w:r>
      <w:r w:rsidRPr="00D63B51">
        <w:rPr>
          <w:sz w:val="24"/>
          <w:szCs w:val="24"/>
        </w:rPr>
        <w:tab/>
      </w:r>
      <w:r w:rsidRPr="00D63B51">
        <w:rPr>
          <w:sz w:val="24"/>
          <w:szCs w:val="24"/>
        </w:rPr>
        <w:tab/>
      </w:r>
      <w:r w:rsidRPr="00D63B51">
        <w:rPr>
          <w:sz w:val="24"/>
          <w:szCs w:val="24"/>
        </w:rPr>
        <w:tab/>
      </w:r>
      <w:r w:rsidR="00EA44BD" w:rsidRPr="00D63B51">
        <w:rPr>
          <w:sz w:val="24"/>
          <w:szCs w:val="24"/>
        </w:rPr>
        <w:t>Andrews + Higgins</w:t>
      </w:r>
    </w:p>
    <w:p w14:paraId="3EA16045" w14:textId="77777777" w:rsidR="00F62B2D" w:rsidRPr="00D63B51" w:rsidRDefault="00F62B2D" w:rsidP="00F62B2D">
      <w:pPr>
        <w:pStyle w:val="FootnoteText"/>
        <w:jc w:val="center"/>
        <w:rPr>
          <w:b/>
          <w:bCs/>
          <w:sz w:val="28"/>
          <w:szCs w:val="28"/>
        </w:rPr>
      </w:pPr>
    </w:p>
    <w:p w14:paraId="4FF70D9C" w14:textId="1300CADC" w:rsidR="00F62B2D" w:rsidRPr="00D63B51" w:rsidRDefault="00272F33" w:rsidP="00EA44BD">
      <w:pPr>
        <w:pStyle w:val="FootnoteText"/>
        <w:ind w:left="2160" w:firstLine="720"/>
        <w:rPr>
          <w:sz w:val="24"/>
          <w:szCs w:val="24"/>
        </w:rPr>
      </w:pPr>
      <w:r w:rsidRPr="00D63B51">
        <w:rPr>
          <w:sz w:val="24"/>
          <w:szCs w:val="24"/>
        </w:rPr>
        <w:t>Hon. Tostrud, Eric</w:t>
      </w:r>
    </w:p>
    <w:p w14:paraId="7BCCB195" w14:textId="3FB7B765" w:rsidR="00272F33" w:rsidRPr="00D63B51" w:rsidRDefault="00272F33" w:rsidP="00EA44BD">
      <w:pPr>
        <w:pStyle w:val="FootnoteText"/>
        <w:ind w:left="2160" w:firstLine="720"/>
        <w:jc w:val="both"/>
        <w:rPr>
          <w:sz w:val="24"/>
          <w:szCs w:val="24"/>
        </w:rPr>
      </w:pPr>
      <w:r w:rsidRPr="00D63B51">
        <w:rPr>
          <w:sz w:val="24"/>
          <w:szCs w:val="24"/>
        </w:rPr>
        <w:t>District of Minnesota</w:t>
      </w:r>
    </w:p>
    <w:p w14:paraId="111D0558" w14:textId="77777777" w:rsidR="00AC5754" w:rsidRPr="00D63B51" w:rsidRDefault="00AC5754" w:rsidP="00EA44BD">
      <w:pPr>
        <w:pStyle w:val="FootnoteText"/>
        <w:ind w:left="2160" w:firstLine="720"/>
        <w:jc w:val="both"/>
        <w:rPr>
          <w:sz w:val="24"/>
          <w:szCs w:val="24"/>
        </w:rPr>
      </w:pPr>
    </w:p>
    <w:p w14:paraId="414220B6" w14:textId="77777777" w:rsidR="00EA44BD" w:rsidRPr="00D63B51" w:rsidRDefault="00EA44BD" w:rsidP="00EA44BD">
      <w:pPr>
        <w:pStyle w:val="FootnoteText"/>
        <w:ind w:left="2160" w:firstLine="720"/>
        <w:jc w:val="both"/>
        <w:rPr>
          <w:sz w:val="24"/>
          <w:szCs w:val="24"/>
        </w:rPr>
      </w:pPr>
    </w:p>
    <w:p w14:paraId="59A83CAC" w14:textId="77777777" w:rsidR="00EA44BD" w:rsidRPr="00D63B51" w:rsidRDefault="00EA44BD" w:rsidP="00EA44BD">
      <w:pPr>
        <w:pStyle w:val="FootnoteText"/>
        <w:ind w:left="2160" w:firstLine="720"/>
        <w:jc w:val="both"/>
        <w:rPr>
          <w:sz w:val="24"/>
          <w:szCs w:val="24"/>
        </w:rPr>
      </w:pPr>
    </w:p>
    <w:p w14:paraId="133E6711" w14:textId="6512AFAB" w:rsidR="00EA44BD" w:rsidRPr="00D63B51" w:rsidRDefault="00AC5754" w:rsidP="00EA44BD">
      <w:pPr>
        <w:pStyle w:val="FootnoteText"/>
        <w:ind w:left="2160" w:firstLine="720"/>
        <w:jc w:val="both"/>
        <w:rPr>
          <w:b/>
          <w:bCs/>
          <w:sz w:val="28"/>
          <w:szCs w:val="28"/>
        </w:rPr>
      </w:pPr>
      <w:r w:rsidRPr="00D63B51">
        <w:rPr>
          <w:rFonts w:cs="Times New Roman"/>
          <w:b/>
          <w:smallCaps/>
        </w:rPr>
        <w:t>* * * * * * * * * * * *</w:t>
      </w:r>
    </w:p>
    <w:p w14:paraId="2D76B217" w14:textId="77777777" w:rsidR="006C6779" w:rsidRPr="00D63B51" w:rsidRDefault="006C6779" w:rsidP="00F62B2D">
      <w:pPr>
        <w:pStyle w:val="FootnoteText"/>
        <w:jc w:val="center"/>
        <w:rPr>
          <w:b/>
          <w:bCs/>
          <w:sz w:val="28"/>
          <w:szCs w:val="28"/>
        </w:rPr>
      </w:pPr>
    </w:p>
    <w:p w14:paraId="79CA5187" w14:textId="77777777" w:rsidR="006C6779" w:rsidRPr="00D63B51" w:rsidRDefault="006C6779" w:rsidP="00F62B2D">
      <w:pPr>
        <w:pStyle w:val="FootnoteText"/>
        <w:jc w:val="center"/>
        <w:rPr>
          <w:b/>
          <w:bCs/>
          <w:sz w:val="28"/>
          <w:szCs w:val="28"/>
        </w:rPr>
      </w:pPr>
    </w:p>
    <w:p w14:paraId="53D1EBA4" w14:textId="3D9AE184" w:rsidR="00F62B2D" w:rsidRPr="00D63B51" w:rsidRDefault="00F62B2D" w:rsidP="00F62B2D">
      <w:pPr>
        <w:pStyle w:val="FootnoteText"/>
        <w:jc w:val="center"/>
        <w:rPr>
          <w:b/>
          <w:bCs/>
          <w:sz w:val="28"/>
          <w:szCs w:val="28"/>
        </w:rPr>
      </w:pPr>
      <w:r w:rsidRPr="00D63B51">
        <w:rPr>
          <w:b/>
          <w:bCs/>
          <w:sz w:val="28"/>
          <w:szCs w:val="28"/>
        </w:rPr>
        <w:t>THANK YOU TO OUR PATRONS!</w:t>
      </w:r>
    </w:p>
    <w:p w14:paraId="3749E7D7" w14:textId="77777777" w:rsidR="00F62B2D" w:rsidRPr="00D63B51" w:rsidRDefault="00F62B2D" w:rsidP="00F62B2D">
      <w:pPr>
        <w:pStyle w:val="FootnoteText"/>
        <w:jc w:val="center"/>
        <w:rPr>
          <w:b/>
          <w:bCs/>
          <w:sz w:val="28"/>
          <w:szCs w:val="28"/>
        </w:rPr>
      </w:pPr>
    </w:p>
    <w:p w14:paraId="29500736" w14:textId="77777777" w:rsidR="00F62B2D" w:rsidRPr="00D63B51" w:rsidRDefault="00F62B2D" w:rsidP="00F62B2D">
      <w:pPr>
        <w:pStyle w:val="FootnoteText"/>
        <w:rPr>
          <w:sz w:val="24"/>
          <w:szCs w:val="24"/>
        </w:rPr>
      </w:pPr>
      <w:r w:rsidRPr="00D63B51">
        <w:rPr>
          <w:sz w:val="24"/>
          <w:szCs w:val="24"/>
        </w:rPr>
        <w:t>The Rabiej Litigation Law Center gratefully acknowledges the financial support of its patrons, who supported the drafting of the guidelines and best practices.  In particular, the Center expresses its deep appreciation to TCDI, who have steadfastly supported the Center from the beginning.</w:t>
      </w:r>
    </w:p>
    <w:p w14:paraId="7E316FDD" w14:textId="77777777" w:rsidR="00F62B2D" w:rsidRPr="00D63B51" w:rsidRDefault="00F62B2D" w:rsidP="00F62B2D">
      <w:pPr>
        <w:pStyle w:val="FootnoteText"/>
        <w:rPr>
          <w:sz w:val="24"/>
          <w:szCs w:val="24"/>
        </w:rPr>
      </w:pPr>
    </w:p>
    <w:p w14:paraId="499D7BE7" w14:textId="609B1A7C" w:rsidR="00F62B2D" w:rsidRPr="00D63B51" w:rsidRDefault="00F62B2D" w:rsidP="00F62B2D">
      <w:pPr>
        <w:pStyle w:val="FootnoteText"/>
        <w:rPr>
          <w:sz w:val="24"/>
          <w:szCs w:val="24"/>
        </w:rPr>
      </w:pPr>
      <w:r w:rsidRPr="00D63B51">
        <w:rPr>
          <w:sz w:val="24"/>
          <w:szCs w:val="24"/>
        </w:rPr>
        <w:t>The Center could not accomplish any of its achievements without the support of these patrons.</w:t>
      </w:r>
    </w:p>
    <w:p w14:paraId="39A72842" w14:textId="77777777" w:rsidR="00F62B2D" w:rsidRPr="00D63B51" w:rsidRDefault="00F62B2D" w:rsidP="00F62B2D">
      <w:pPr>
        <w:pStyle w:val="FootnoteText"/>
        <w:jc w:val="center"/>
        <w:rPr>
          <w:b/>
          <w:bCs/>
          <w:sz w:val="28"/>
          <w:szCs w:val="28"/>
        </w:rPr>
      </w:pPr>
    </w:p>
    <w:p w14:paraId="0ED0487A" w14:textId="52500836" w:rsidR="00AC5754" w:rsidRPr="00D63B51" w:rsidRDefault="00AC5754" w:rsidP="00AC5754">
      <w:pPr>
        <w:pStyle w:val="FootnoteText"/>
        <w:jc w:val="center"/>
        <w:rPr>
          <w:b/>
          <w:bCs/>
          <w:sz w:val="28"/>
          <w:szCs w:val="28"/>
        </w:rPr>
      </w:pPr>
      <w:r w:rsidRPr="00D63B51">
        <w:rPr>
          <w:b/>
          <w:bCs/>
          <w:sz w:val="28"/>
          <w:szCs w:val="28"/>
        </w:rPr>
        <w:t>CENTER PATRON FOR 2025</w:t>
      </w:r>
    </w:p>
    <w:p w14:paraId="67793568" w14:textId="77777777" w:rsidR="00AC5754" w:rsidRPr="00D63B51" w:rsidRDefault="00AC5754" w:rsidP="00AC5754">
      <w:pPr>
        <w:pStyle w:val="FootnoteText"/>
        <w:jc w:val="center"/>
        <w:rPr>
          <w:sz w:val="24"/>
          <w:szCs w:val="24"/>
        </w:rPr>
      </w:pPr>
    </w:p>
    <w:p w14:paraId="3002B365" w14:textId="77777777" w:rsidR="00AC5754" w:rsidRPr="00D63B51" w:rsidRDefault="00AC5754" w:rsidP="00AC5754">
      <w:pPr>
        <w:pStyle w:val="FootnoteText"/>
        <w:jc w:val="center"/>
        <w:rPr>
          <w:b/>
          <w:bCs/>
          <w:sz w:val="24"/>
          <w:szCs w:val="24"/>
        </w:rPr>
      </w:pPr>
      <w:r w:rsidRPr="00D63B51">
        <w:rPr>
          <w:b/>
          <w:bCs/>
          <w:sz w:val="24"/>
          <w:szCs w:val="24"/>
        </w:rPr>
        <w:t>Premier Patron</w:t>
      </w:r>
    </w:p>
    <w:p w14:paraId="72A8F0A5" w14:textId="77777777" w:rsidR="00AC5754" w:rsidRPr="00D63B51" w:rsidRDefault="00AC5754" w:rsidP="00AC5754">
      <w:pPr>
        <w:pStyle w:val="FootnoteText"/>
        <w:jc w:val="center"/>
        <w:rPr>
          <w:sz w:val="24"/>
          <w:szCs w:val="24"/>
        </w:rPr>
      </w:pPr>
      <w:r w:rsidRPr="00D63B51">
        <w:rPr>
          <w:sz w:val="24"/>
          <w:szCs w:val="24"/>
        </w:rPr>
        <w:t>Technology Concepts &amp; Design Inc. (TCDI)</w:t>
      </w:r>
    </w:p>
    <w:p w14:paraId="6BEEBD42" w14:textId="77777777" w:rsidR="00AC5754" w:rsidRPr="00D63B51" w:rsidRDefault="00AC5754" w:rsidP="00F62B2D">
      <w:pPr>
        <w:pStyle w:val="FootnoteText"/>
        <w:jc w:val="center"/>
        <w:rPr>
          <w:b/>
          <w:bCs/>
          <w:sz w:val="28"/>
          <w:szCs w:val="28"/>
        </w:rPr>
      </w:pPr>
    </w:p>
    <w:p w14:paraId="579D390C" w14:textId="77777777" w:rsidR="00AC5754" w:rsidRPr="00D63B51" w:rsidRDefault="00AC5754" w:rsidP="00F62B2D">
      <w:pPr>
        <w:pStyle w:val="FootnoteText"/>
        <w:jc w:val="center"/>
        <w:rPr>
          <w:b/>
          <w:bCs/>
          <w:sz w:val="28"/>
          <w:szCs w:val="28"/>
        </w:rPr>
      </w:pPr>
    </w:p>
    <w:p w14:paraId="6534501D" w14:textId="77777777" w:rsidR="00DA2971" w:rsidRPr="00D63B51" w:rsidRDefault="00DA2971" w:rsidP="00F62B2D">
      <w:pPr>
        <w:pStyle w:val="FootnoteText"/>
        <w:jc w:val="center"/>
        <w:rPr>
          <w:b/>
          <w:bCs/>
          <w:sz w:val="28"/>
          <w:szCs w:val="28"/>
        </w:rPr>
      </w:pPr>
    </w:p>
    <w:p w14:paraId="7F9D3030" w14:textId="77777777" w:rsidR="00AC5754" w:rsidRPr="00D63B51" w:rsidRDefault="00AC5754" w:rsidP="00F62B2D">
      <w:pPr>
        <w:pStyle w:val="FootnoteText"/>
        <w:jc w:val="center"/>
        <w:rPr>
          <w:b/>
          <w:bCs/>
          <w:sz w:val="28"/>
          <w:szCs w:val="28"/>
        </w:rPr>
      </w:pPr>
    </w:p>
    <w:p w14:paraId="5CC02F8F" w14:textId="45A254D4" w:rsidR="00F62B2D" w:rsidRPr="00D63B51" w:rsidRDefault="00F62B2D" w:rsidP="00F62B2D">
      <w:pPr>
        <w:pStyle w:val="FootnoteText"/>
        <w:jc w:val="center"/>
        <w:rPr>
          <w:b/>
          <w:bCs/>
          <w:sz w:val="28"/>
          <w:szCs w:val="28"/>
        </w:rPr>
      </w:pPr>
      <w:r w:rsidRPr="00D63B51">
        <w:rPr>
          <w:b/>
          <w:bCs/>
          <w:sz w:val="28"/>
          <w:szCs w:val="28"/>
        </w:rPr>
        <w:lastRenderedPageBreak/>
        <w:t>CENTER PATRONS FOR 2024</w:t>
      </w:r>
    </w:p>
    <w:p w14:paraId="53ED7B02" w14:textId="77777777" w:rsidR="00F62B2D" w:rsidRPr="00D63B51" w:rsidRDefault="00F62B2D" w:rsidP="00F62B2D">
      <w:pPr>
        <w:pStyle w:val="FootnoteText"/>
        <w:jc w:val="center"/>
        <w:rPr>
          <w:sz w:val="24"/>
          <w:szCs w:val="24"/>
        </w:rPr>
      </w:pPr>
    </w:p>
    <w:p w14:paraId="5894D171" w14:textId="77777777" w:rsidR="00F62B2D" w:rsidRPr="00D63B51" w:rsidRDefault="00F62B2D" w:rsidP="00F62B2D">
      <w:pPr>
        <w:pStyle w:val="FootnoteText"/>
        <w:jc w:val="center"/>
        <w:rPr>
          <w:b/>
          <w:bCs/>
          <w:sz w:val="24"/>
          <w:szCs w:val="24"/>
        </w:rPr>
      </w:pPr>
      <w:r w:rsidRPr="00D63B51">
        <w:rPr>
          <w:b/>
          <w:bCs/>
          <w:sz w:val="24"/>
          <w:szCs w:val="24"/>
        </w:rPr>
        <w:t>Premier Patron</w:t>
      </w:r>
    </w:p>
    <w:p w14:paraId="6033D475" w14:textId="77777777" w:rsidR="00F62B2D" w:rsidRPr="00D63B51" w:rsidRDefault="00F62B2D" w:rsidP="00F62B2D">
      <w:pPr>
        <w:pStyle w:val="FootnoteText"/>
        <w:jc w:val="center"/>
        <w:rPr>
          <w:sz w:val="24"/>
          <w:szCs w:val="24"/>
        </w:rPr>
      </w:pPr>
      <w:r w:rsidRPr="00D63B51">
        <w:rPr>
          <w:sz w:val="24"/>
          <w:szCs w:val="24"/>
        </w:rPr>
        <w:t>Technology Concepts &amp; Design Inc. (TCDI)</w:t>
      </w:r>
    </w:p>
    <w:p w14:paraId="3F6A88BC" w14:textId="77777777" w:rsidR="00F62B2D" w:rsidRPr="00D63B51" w:rsidRDefault="00F62B2D" w:rsidP="00F62B2D">
      <w:pPr>
        <w:pStyle w:val="FootnoteText"/>
        <w:jc w:val="center"/>
        <w:rPr>
          <w:b/>
          <w:bCs/>
          <w:sz w:val="28"/>
          <w:szCs w:val="28"/>
        </w:rPr>
      </w:pPr>
    </w:p>
    <w:p w14:paraId="750C7447" w14:textId="77777777" w:rsidR="00F62B2D" w:rsidRPr="00D63B51" w:rsidRDefault="00F62B2D" w:rsidP="00F62B2D">
      <w:pPr>
        <w:pStyle w:val="FootnoteText"/>
        <w:jc w:val="center"/>
        <w:rPr>
          <w:b/>
          <w:bCs/>
          <w:sz w:val="24"/>
          <w:szCs w:val="24"/>
        </w:rPr>
      </w:pPr>
      <w:r w:rsidRPr="00D63B51">
        <w:rPr>
          <w:b/>
          <w:bCs/>
          <w:sz w:val="24"/>
          <w:szCs w:val="24"/>
        </w:rPr>
        <w:t>Gold Patrons</w:t>
      </w:r>
    </w:p>
    <w:p w14:paraId="79D5BBC7" w14:textId="77777777" w:rsidR="00F62B2D" w:rsidRPr="00D63B51" w:rsidRDefault="00F62B2D" w:rsidP="00F62B2D">
      <w:pPr>
        <w:pStyle w:val="FootnoteText"/>
        <w:jc w:val="center"/>
        <w:rPr>
          <w:sz w:val="24"/>
          <w:szCs w:val="24"/>
        </w:rPr>
      </w:pPr>
      <w:r w:rsidRPr="00D63B51">
        <w:rPr>
          <w:sz w:val="24"/>
          <w:szCs w:val="24"/>
        </w:rPr>
        <w:t>Litigation Management, Inc.</w:t>
      </w:r>
    </w:p>
    <w:p w14:paraId="1791C864" w14:textId="77777777" w:rsidR="00F62B2D" w:rsidRPr="00D63B51" w:rsidRDefault="00F62B2D" w:rsidP="00F62B2D">
      <w:pPr>
        <w:pStyle w:val="FootnoteText"/>
        <w:jc w:val="center"/>
        <w:rPr>
          <w:b/>
          <w:bCs/>
          <w:sz w:val="28"/>
          <w:szCs w:val="28"/>
        </w:rPr>
      </w:pPr>
    </w:p>
    <w:p w14:paraId="4EC16AFC" w14:textId="77777777" w:rsidR="00F62B2D" w:rsidRPr="00D63B51" w:rsidRDefault="00F62B2D" w:rsidP="00F62B2D">
      <w:pPr>
        <w:spacing w:before="120"/>
        <w:jc w:val="center"/>
        <w:rPr>
          <w:rFonts w:cs="Times New Roman"/>
          <w:b/>
          <w:smallCaps/>
        </w:rPr>
      </w:pPr>
      <w:r w:rsidRPr="00D63B51">
        <w:rPr>
          <w:rFonts w:cs="Times New Roman"/>
          <w:b/>
          <w:smallCaps/>
        </w:rPr>
        <w:t>* * * * * * * * * * * *</w:t>
      </w:r>
    </w:p>
    <w:p w14:paraId="6D322A66" w14:textId="77777777" w:rsidR="00F62B2D" w:rsidRPr="00D63B51" w:rsidRDefault="00F62B2D" w:rsidP="00F62B2D">
      <w:pPr>
        <w:pStyle w:val="FootnoteText"/>
        <w:jc w:val="center"/>
        <w:rPr>
          <w:b/>
          <w:bCs/>
          <w:sz w:val="28"/>
          <w:szCs w:val="28"/>
        </w:rPr>
      </w:pPr>
    </w:p>
    <w:p w14:paraId="389177A0" w14:textId="77777777" w:rsidR="00F62B2D" w:rsidRPr="00D63B51" w:rsidRDefault="00F62B2D" w:rsidP="00F62B2D">
      <w:pPr>
        <w:pStyle w:val="FootnoteText"/>
        <w:jc w:val="center"/>
        <w:rPr>
          <w:b/>
          <w:bCs/>
          <w:sz w:val="28"/>
          <w:szCs w:val="28"/>
        </w:rPr>
      </w:pPr>
    </w:p>
    <w:p w14:paraId="3FA7169B" w14:textId="77777777" w:rsidR="00F62B2D" w:rsidRPr="00D63B51" w:rsidRDefault="00F62B2D" w:rsidP="00F62B2D">
      <w:pPr>
        <w:pStyle w:val="FootnoteText"/>
        <w:jc w:val="center"/>
        <w:rPr>
          <w:b/>
          <w:bCs/>
          <w:sz w:val="24"/>
          <w:szCs w:val="24"/>
        </w:rPr>
      </w:pPr>
      <w:r w:rsidRPr="00D63B51">
        <w:rPr>
          <w:b/>
          <w:bCs/>
          <w:sz w:val="24"/>
          <w:szCs w:val="24"/>
        </w:rPr>
        <w:t>CENTER PATRONS FOR 2023</w:t>
      </w:r>
    </w:p>
    <w:p w14:paraId="081B1E37" w14:textId="77777777" w:rsidR="00F62B2D" w:rsidRPr="00D63B51" w:rsidRDefault="00F62B2D" w:rsidP="00F62B2D">
      <w:pPr>
        <w:pStyle w:val="FootnoteText"/>
        <w:jc w:val="center"/>
        <w:rPr>
          <w:sz w:val="24"/>
          <w:szCs w:val="24"/>
        </w:rPr>
      </w:pPr>
    </w:p>
    <w:p w14:paraId="1362D8A8" w14:textId="77777777" w:rsidR="00F62B2D" w:rsidRPr="00D63B51" w:rsidRDefault="00F62B2D" w:rsidP="00F62B2D">
      <w:pPr>
        <w:pStyle w:val="FootnoteText"/>
        <w:jc w:val="center"/>
        <w:rPr>
          <w:b/>
          <w:bCs/>
          <w:sz w:val="24"/>
          <w:szCs w:val="24"/>
        </w:rPr>
      </w:pPr>
      <w:r w:rsidRPr="00D63B51">
        <w:rPr>
          <w:b/>
          <w:bCs/>
          <w:sz w:val="24"/>
          <w:szCs w:val="24"/>
        </w:rPr>
        <w:t>Premier Patron</w:t>
      </w:r>
    </w:p>
    <w:p w14:paraId="521E731B" w14:textId="77777777" w:rsidR="00F62B2D" w:rsidRPr="00D63B51" w:rsidRDefault="00F62B2D" w:rsidP="00F62B2D">
      <w:pPr>
        <w:pStyle w:val="FootnoteText"/>
        <w:jc w:val="center"/>
        <w:rPr>
          <w:sz w:val="24"/>
          <w:szCs w:val="24"/>
        </w:rPr>
      </w:pPr>
      <w:r w:rsidRPr="00D63B51">
        <w:rPr>
          <w:sz w:val="24"/>
          <w:szCs w:val="24"/>
        </w:rPr>
        <w:t>Technology Concepts &amp; Design Inc. (TCDI)</w:t>
      </w:r>
    </w:p>
    <w:p w14:paraId="7532B6FC" w14:textId="77777777" w:rsidR="00F62B2D" w:rsidRPr="00D63B51" w:rsidRDefault="00F62B2D" w:rsidP="00F62B2D">
      <w:pPr>
        <w:pStyle w:val="FootnoteText"/>
        <w:jc w:val="center"/>
        <w:rPr>
          <w:sz w:val="24"/>
          <w:szCs w:val="24"/>
        </w:rPr>
      </w:pPr>
    </w:p>
    <w:p w14:paraId="35A2DC21" w14:textId="77777777" w:rsidR="00F62B2D" w:rsidRPr="00D63B51" w:rsidRDefault="00F62B2D" w:rsidP="00F62B2D">
      <w:pPr>
        <w:pStyle w:val="FootnoteText"/>
        <w:jc w:val="center"/>
        <w:rPr>
          <w:b/>
          <w:bCs/>
          <w:sz w:val="24"/>
          <w:szCs w:val="24"/>
        </w:rPr>
      </w:pPr>
      <w:r w:rsidRPr="00D63B51">
        <w:rPr>
          <w:b/>
          <w:bCs/>
          <w:sz w:val="24"/>
          <w:szCs w:val="24"/>
        </w:rPr>
        <w:t>Gold Patrons</w:t>
      </w:r>
    </w:p>
    <w:p w14:paraId="43E3BE1F" w14:textId="77777777" w:rsidR="00F62B2D" w:rsidRPr="00D63B51" w:rsidRDefault="00F62B2D" w:rsidP="00F62B2D">
      <w:pPr>
        <w:pStyle w:val="FootnoteText"/>
        <w:jc w:val="center"/>
        <w:rPr>
          <w:sz w:val="24"/>
          <w:szCs w:val="24"/>
        </w:rPr>
      </w:pPr>
      <w:r w:rsidRPr="00D63B51">
        <w:rPr>
          <w:sz w:val="24"/>
          <w:szCs w:val="24"/>
        </w:rPr>
        <w:t>Alvarez &amp; Marsal</w:t>
      </w:r>
    </w:p>
    <w:p w14:paraId="130186D4" w14:textId="77777777" w:rsidR="00F62B2D" w:rsidRPr="00D63B51" w:rsidRDefault="00F62B2D" w:rsidP="00F62B2D">
      <w:pPr>
        <w:pStyle w:val="FootnoteText"/>
        <w:jc w:val="center"/>
        <w:rPr>
          <w:sz w:val="24"/>
          <w:szCs w:val="24"/>
        </w:rPr>
      </w:pPr>
      <w:r w:rsidRPr="00D63B51">
        <w:rPr>
          <w:sz w:val="24"/>
          <w:szCs w:val="24"/>
        </w:rPr>
        <w:t>Litigation Management, Inc.</w:t>
      </w:r>
    </w:p>
    <w:p w14:paraId="3C9E2525" w14:textId="77777777" w:rsidR="00F62B2D" w:rsidRPr="00D63B51" w:rsidRDefault="00F62B2D" w:rsidP="00F62B2D">
      <w:pPr>
        <w:pStyle w:val="FootnoteText"/>
        <w:jc w:val="center"/>
        <w:rPr>
          <w:sz w:val="24"/>
          <w:szCs w:val="24"/>
        </w:rPr>
      </w:pPr>
      <w:r w:rsidRPr="00D63B51">
        <w:rPr>
          <w:sz w:val="24"/>
          <w:szCs w:val="24"/>
        </w:rPr>
        <w:t>Epiq</w:t>
      </w:r>
    </w:p>
    <w:p w14:paraId="1A03C3C7" w14:textId="77777777" w:rsidR="00F62B2D" w:rsidRPr="00D63B51" w:rsidRDefault="00F62B2D" w:rsidP="00F62B2D">
      <w:pPr>
        <w:pStyle w:val="FootnoteText"/>
        <w:jc w:val="center"/>
        <w:rPr>
          <w:sz w:val="24"/>
          <w:szCs w:val="24"/>
        </w:rPr>
      </w:pPr>
    </w:p>
    <w:p w14:paraId="1D7A59C6" w14:textId="77777777" w:rsidR="00F62B2D" w:rsidRPr="00D63B51" w:rsidRDefault="00F62B2D" w:rsidP="00F62B2D">
      <w:pPr>
        <w:pStyle w:val="FootnoteText"/>
        <w:jc w:val="center"/>
        <w:rPr>
          <w:b/>
          <w:bCs/>
          <w:sz w:val="24"/>
          <w:szCs w:val="24"/>
        </w:rPr>
      </w:pPr>
      <w:r w:rsidRPr="00D63B51">
        <w:rPr>
          <w:b/>
          <w:bCs/>
          <w:sz w:val="24"/>
          <w:szCs w:val="24"/>
        </w:rPr>
        <w:t>Friends of the Center</w:t>
      </w:r>
    </w:p>
    <w:p w14:paraId="79D2C868" w14:textId="77777777" w:rsidR="00F62B2D" w:rsidRDefault="00F62B2D" w:rsidP="00F62B2D">
      <w:pPr>
        <w:pStyle w:val="FootnoteText"/>
        <w:jc w:val="center"/>
        <w:rPr>
          <w:sz w:val="24"/>
          <w:szCs w:val="24"/>
        </w:rPr>
      </w:pPr>
      <w:r w:rsidRPr="00D63B51">
        <w:rPr>
          <w:sz w:val="24"/>
          <w:szCs w:val="24"/>
        </w:rPr>
        <w:t>CDS (Complete Discovery Source)</w:t>
      </w:r>
    </w:p>
    <w:p w14:paraId="265F48ED" w14:textId="77777777" w:rsidR="00F62B2D" w:rsidRDefault="00F62B2D" w:rsidP="00F62B2D">
      <w:pPr>
        <w:pStyle w:val="FootnoteText"/>
        <w:jc w:val="center"/>
        <w:rPr>
          <w:sz w:val="24"/>
          <w:szCs w:val="24"/>
        </w:rPr>
      </w:pPr>
    </w:p>
    <w:p w14:paraId="307D6B6A" w14:textId="77777777" w:rsidR="00F62B2D" w:rsidRDefault="00F62B2D" w:rsidP="00F62B2D">
      <w:pPr>
        <w:pStyle w:val="FootnoteText"/>
        <w:jc w:val="center"/>
        <w:rPr>
          <w:sz w:val="24"/>
          <w:szCs w:val="24"/>
        </w:rPr>
      </w:pPr>
    </w:p>
    <w:p w14:paraId="568E87A4" w14:textId="77777777" w:rsidR="00F62B2D" w:rsidRDefault="00F62B2D" w:rsidP="00F62B2D"/>
    <w:p w14:paraId="34F67904" w14:textId="77777777" w:rsidR="00F62B2D" w:rsidRDefault="00F62B2D" w:rsidP="00F62B2D"/>
    <w:p w14:paraId="749562FC" w14:textId="77777777" w:rsidR="00C624D6" w:rsidRDefault="00C624D6"/>
    <w:sectPr w:rsidR="00C624D6" w:rsidSect="00F62B2D">
      <w:footerReference w:type="default" r:id="rId11"/>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40EB" w14:textId="77777777" w:rsidR="003049C3" w:rsidRDefault="003049C3" w:rsidP="00F62B2D">
      <w:r>
        <w:separator/>
      </w:r>
    </w:p>
  </w:endnote>
  <w:endnote w:type="continuationSeparator" w:id="0">
    <w:p w14:paraId="3E1BCA56" w14:textId="77777777" w:rsidR="003049C3" w:rsidRDefault="003049C3" w:rsidP="00F6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e See Century Schoolbook">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317146"/>
      <w:docPartObj>
        <w:docPartGallery w:val="Page Numbers (Bottom of Page)"/>
        <w:docPartUnique/>
      </w:docPartObj>
    </w:sdtPr>
    <w:sdtEndPr>
      <w:rPr>
        <w:color w:val="7F7F7F" w:themeColor="background1" w:themeShade="7F"/>
        <w:spacing w:val="60"/>
      </w:rPr>
    </w:sdtEndPr>
    <w:sdtContent>
      <w:p w14:paraId="6CDC659D" w14:textId="77777777" w:rsidR="00F62B2D" w:rsidRDefault="00F62B2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E33188B" w14:textId="77777777" w:rsidR="00F62B2D" w:rsidRDefault="00F62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467A" w14:textId="77777777" w:rsidR="003049C3" w:rsidRDefault="003049C3" w:rsidP="00F62B2D">
      <w:r>
        <w:separator/>
      </w:r>
    </w:p>
  </w:footnote>
  <w:footnote w:type="continuationSeparator" w:id="0">
    <w:p w14:paraId="67363D32" w14:textId="77777777" w:rsidR="003049C3" w:rsidRDefault="003049C3" w:rsidP="00F62B2D">
      <w:r>
        <w:continuationSeparator/>
      </w:r>
    </w:p>
  </w:footnote>
  <w:footnote w:id="1">
    <w:p w14:paraId="4BA4AF63" w14:textId="77777777" w:rsidR="00F62B2D" w:rsidRDefault="00F62B2D" w:rsidP="00F62B2D">
      <w:pPr>
        <w:pStyle w:val="FootnoteText"/>
      </w:pPr>
      <w:r>
        <w:rPr>
          <w:rStyle w:val="FootnoteReference"/>
        </w:rPr>
        <w:footnoteRef/>
      </w:r>
      <w:r>
        <w:t xml:space="preserve"> </w:t>
      </w:r>
      <w:r w:rsidRPr="0009710D">
        <w:rPr>
          <w:rFonts w:cs="Times New Roman"/>
        </w:rPr>
        <w:t>Arbitrarily defined as MDLs consisting of more than 1,000 actions.</w:t>
      </w:r>
    </w:p>
  </w:footnote>
  <w:footnote w:id="2">
    <w:p w14:paraId="07E945E1" w14:textId="77777777" w:rsidR="00F62B2D" w:rsidRDefault="00F62B2D" w:rsidP="00F62B2D">
      <w:pPr>
        <w:pStyle w:val="FootnoteText"/>
        <w:jc w:val="both"/>
      </w:pPr>
      <w:r>
        <w:rPr>
          <w:rStyle w:val="FootnoteReference"/>
        </w:rPr>
        <w:footnoteRef/>
      </w:r>
      <w:r>
        <w:t xml:space="preserve"> </w:t>
      </w:r>
      <w:r w:rsidRPr="00F07CCA">
        <w:rPr>
          <w:rFonts w:eastAsia="Times New Roman" w:cs="Times New Roman"/>
          <w:color w:val="222222"/>
        </w:rPr>
        <w:t>28 U.S.C. § 1407(a)</w:t>
      </w:r>
      <w:r>
        <w:rPr>
          <w:rFonts w:eastAsia="Times New Roman" w:cs="Times New Roman"/>
          <w:color w:val="222222"/>
        </w:rPr>
        <w:t xml:space="preserve">; </w:t>
      </w:r>
      <w:r w:rsidRPr="00707623">
        <w:rPr>
          <w:rFonts w:eastAsia="Times New Roman" w:cs="Times New Roman"/>
          <w:i/>
          <w:iCs/>
          <w:color w:val="222222"/>
        </w:rPr>
        <w:t>see</w:t>
      </w:r>
      <w:r>
        <w:rPr>
          <w:rFonts w:eastAsia="Times New Roman" w:cs="Times New Roman"/>
          <w:color w:val="222222"/>
        </w:rPr>
        <w:t xml:space="preserve"> </w:t>
      </w:r>
      <w:r w:rsidRPr="00F07CCA">
        <w:rPr>
          <w:rFonts w:eastAsia="Times New Roman" w:cs="Times New Roman"/>
          <w:color w:val="222222"/>
        </w:rPr>
        <w:t>(</w:t>
      </w:r>
      <w:r w:rsidRPr="00F07CCA">
        <w:rPr>
          <w:rFonts w:eastAsia="Times New Roman" w:cs="Times New Roman"/>
          <w:i/>
          <w:iCs/>
          <w:color w:val="222222"/>
        </w:rPr>
        <w:t>In re Gardasil Prods. Liab. Litig</w:t>
      </w:r>
      <w:r w:rsidRPr="00F07CCA">
        <w:rPr>
          <w:rFonts w:eastAsia="Times New Roman" w:cs="Times New Roman"/>
          <w:color w:val="222222"/>
        </w:rPr>
        <w:t>., 619 F. Supp. 3d 1356, 1358 (J.P.M.L. 2022) (“[T]he questions before us are whether the actions involve common questions of fact and whether centralization of this litigation will serve the convenience of the parties and witnesses and produce efficiencies for the litigants and the judiciary.”); </w:t>
      </w:r>
      <w:r w:rsidRPr="00707623">
        <w:rPr>
          <w:rFonts w:eastAsia="Times New Roman" w:cs="Times New Roman"/>
          <w:i/>
          <w:iCs/>
          <w:color w:val="222222"/>
        </w:rPr>
        <w:t>see also</w:t>
      </w:r>
      <w:r>
        <w:rPr>
          <w:rFonts w:eastAsia="Times New Roman" w:cs="Times New Roman"/>
          <w:color w:val="222222"/>
        </w:rPr>
        <w:t xml:space="preserve"> </w:t>
      </w:r>
      <w:r w:rsidRPr="00F07CCA">
        <w:rPr>
          <w:rFonts w:eastAsia="Times New Roman" w:cs="Times New Roman"/>
          <w:i/>
          <w:iCs/>
          <w:color w:val="222222"/>
        </w:rPr>
        <w:t>In re Mirena IUD Prods. Liab. Litig</w:t>
      </w:r>
      <w:r w:rsidRPr="00F07CCA">
        <w:rPr>
          <w:rFonts w:eastAsia="Times New Roman" w:cs="Times New Roman"/>
          <w:color w:val="222222"/>
        </w:rPr>
        <w:t>., 938 F. Supp. 2d 1355, 1357 (J.P.M.L. 2013) (“Section 1407 centralization will thus enable pretrial proceedings to be conducted in a manner that will lead to the just and expeditious resolution of all related actions, which is to the overall benefit of all parties.”).</w:t>
      </w:r>
    </w:p>
  </w:footnote>
  <w:footnote w:id="3">
    <w:p w14:paraId="1B2A8535" w14:textId="2D59D8E6" w:rsidR="00F62B2D" w:rsidRDefault="00F62B2D" w:rsidP="00F62B2D">
      <w:pPr>
        <w:pStyle w:val="FootnoteText"/>
      </w:pPr>
      <w:r>
        <w:rPr>
          <w:rStyle w:val="FootnoteReference"/>
        </w:rPr>
        <w:footnoteRef/>
      </w:r>
      <w:r>
        <w:t xml:space="preserve"> </w:t>
      </w:r>
      <w:r w:rsidRPr="00ED60EE">
        <w:rPr>
          <w:i/>
          <w:iCs/>
        </w:rPr>
        <w:t xml:space="preserve">See </w:t>
      </w:r>
      <w:r w:rsidR="001B7640">
        <w:rPr>
          <w:smallCaps/>
        </w:rPr>
        <w:t>fed. r. civ. p.</w:t>
      </w:r>
      <w:r w:rsidR="001123B6">
        <w:t xml:space="preserve"> </w:t>
      </w:r>
      <w:r>
        <w:t xml:space="preserve">11, Committee Notes (1983 and 1993); </w:t>
      </w:r>
      <w:r w:rsidRPr="0008701A">
        <w:rPr>
          <w:i/>
          <w:iCs/>
        </w:rPr>
        <w:t>see also</w:t>
      </w:r>
      <w:r>
        <w:t xml:space="preserve"> Best Practice Permanent No. MDL-</w:t>
      </w:r>
      <w:r>
        <w:rPr>
          <w:rFonts w:cs="Times New Roman"/>
        </w:rPr>
        <w:t>§</w:t>
      </w:r>
      <w:r>
        <w:t xml:space="preserve"> 15(b), which explains the Rule 11 legal framework for reasonable prefiling inquiry.</w:t>
      </w:r>
    </w:p>
  </w:footnote>
  <w:footnote w:id="4">
    <w:p w14:paraId="49450C22" w14:textId="77777777" w:rsidR="00F62B2D" w:rsidRDefault="00F62B2D" w:rsidP="00F62B2D">
      <w:pPr>
        <w:pStyle w:val="FootnoteText"/>
      </w:pPr>
      <w:r>
        <w:rPr>
          <w:rStyle w:val="FootnoteReference"/>
        </w:rPr>
        <w:footnoteRef/>
      </w:r>
      <w:r>
        <w:t xml:space="preserve"> </w:t>
      </w:r>
      <w:r w:rsidRPr="0008701A">
        <w:rPr>
          <w:i/>
          <w:iCs/>
        </w:rPr>
        <w:t>See</w:t>
      </w:r>
      <w:r>
        <w:t xml:space="preserve"> Best Practice Permanent No. MDL-</w:t>
      </w:r>
      <w:r>
        <w:rPr>
          <w:rFonts w:cs="Times New Roman"/>
        </w:rPr>
        <w:t>§</w:t>
      </w:r>
      <w:r>
        <w:t xml:space="preserve"> 15(b).</w:t>
      </w:r>
    </w:p>
  </w:footnote>
  <w:footnote w:id="5">
    <w:p w14:paraId="78EF51EF" w14:textId="77777777" w:rsidR="00F62B2D" w:rsidRPr="00FE4830" w:rsidRDefault="00F62B2D" w:rsidP="00F62B2D">
      <w:pPr>
        <w:pStyle w:val="FootnoteText"/>
        <w:jc w:val="both"/>
        <w:rPr>
          <w:rFonts w:cs="Times New Roman"/>
        </w:rPr>
      </w:pPr>
      <w:r>
        <w:rPr>
          <w:rStyle w:val="FootnoteReference"/>
        </w:rPr>
        <w:footnoteRef/>
      </w:r>
      <w:r>
        <w:t xml:space="preserve"> </w:t>
      </w:r>
      <w:r>
        <w:rPr>
          <w:rFonts w:cs="Times New Roman"/>
        </w:rPr>
        <w:t xml:space="preserve">The </w:t>
      </w:r>
      <w:r w:rsidRPr="00FE4830">
        <w:rPr>
          <w:rFonts w:cs="Times New Roman"/>
          <w:i/>
          <w:iCs/>
        </w:rPr>
        <w:t>Daubert</w:t>
      </w:r>
      <w:r>
        <w:rPr>
          <w:rFonts w:cs="Times New Roman"/>
        </w:rPr>
        <w:t xml:space="preserve"> ruling in the </w:t>
      </w:r>
      <w:r w:rsidRPr="00FE4830">
        <w:rPr>
          <w:rFonts w:cs="Times New Roman"/>
          <w:i/>
          <w:iCs/>
        </w:rPr>
        <w:t>Zantac</w:t>
      </w:r>
      <w:r>
        <w:rPr>
          <w:rFonts w:cs="Times New Roman"/>
        </w:rPr>
        <w:t xml:space="preserve"> MDL, now on appeal, effectively terminated hundreds of actions.  A similar </w:t>
      </w:r>
      <w:r w:rsidRPr="00FE4830">
        <w:rPr>
          <w:rFonts w:cs="Times New Roman"/>
          <w:i/>
          <w:iCs/>
        </w:rPr>
        <w:t>Daubert</w:t>
      </w:r>
      <w:r>
        <w:rPr>
          <w:rFonts w:cs="Times New Roman"/>
        </w:rPr>
        <w:t xml:space="preserve"> issue reportedly is being considered in the </w:t>
      </w:r>
      <w:r w:rsidRPr="00FE4830">
        <w:rPr>
          <w:rFonts w:cs="Times New Roman"/>
          <w:i/>
          <w:iCs/>
        </w:rPr>
        <w:t>Acetaminophen</w:t>
      </w:r>
      <w:r>
        <w:rPr>
          <w:rFonts w:cs="Times New Roman"/>
        </w:rPr>
        <w:t xml:space="preserve"> MDL.</w:t>
      </w:r>
    </w:p>
  </w:footnote>
  <w:footnote w:id="6">
    <w:p w14:paraId="10273902" w14:textId="77777777" w:rsidR="00F62B2D" w:rsidRDefault="00F62B2D" w:rsidP="00F62B2D">
      <w:pPr>
        <w:pStyle w:val="FootnoteText"/>
        <w:jc w:val="both"/>
      </w:pPr>
      <w:r>
        <w:rPr>
          <w:rStyle w:val="FootnoteReference"/>
        </w:rPr>
        <w:footnoteRef/>
      </w:r>
      <w:r>
        <w:t xml:space="preserve"> </w:t>
      </w:r>
      <w:r w:rsidRPr="00423805">
        <w:rPr>
          <w:rFonts w:cs="Times New Roman"/>
          <w:i/>
          <w:iCs/>
        </w:rPr>
        <w:t>See Comcast Corp. v. Behrend,</w:t>
      </w:r>
      <w:r>
        <w:rPr>
          <w:rFonts w:cs="Times New Roman"/>
        </w:rPr>
        <w:t xml:space="preserve">133 S. Ct. 1426 (2013) (“And [Judge Godbold in </w:t>
      </w:r>
      <w:r w:rsidRPr="004A47AF">
        <w:rPr>
          <w:rFonts w:cs="Times New Roman"/>
          <w:i/>
          <w:iCs/>
        </w:rPr>
        <w:t>Johnson v. Georgia Highway Express, Inc</w:t>
      </w:r>
      <w:r>
        <w:rPr>
          <w:rFonts w:cs="Times New Roman"/>
        </w:rPr>
        <w:t>.] pointed out the error of the ‘tacit assumption’ underlying the across-the-board rule that ‘all will be well for surely the plaintiff will win and manna will fall on all members of the class.’ [citations omitted] With the same concerns in mind, we reiterate today that a Title VII class action, like any other class action, may only be certified if the trial court is satisfied, after a rigorous analysis, that the prerequisites of Rule 23(a) have been satisfied.”)</w:t>
      </w:r>
    </w:p>
  </w:footnote>
  <w:footnote w:id="7">
    <w:p w14:paraId="4BC2CCE1" w14:textId="77777777" w:rsidR="00F62B2D" w:rsidRDefault="00F62B2D" w:rsidP="00F62B2D">
      <w:pPr>
        <w:pStyle w:val="FootnoteText"/>
        <w:jc w:val="both"/>
      </w:pPr>
      <w:r>
        <w:rPr>
          <w:rStyle w:val="FootnoteReference"/>
        </w:rPr>
        <w:footnoteRef/>
      </w:r>
      <w:r>
        <w:t xml:space="preserve"> </w:t>
      </w:r>
      <w:r w:rsidRPr="001E25C6">
        <w:rPr>
          <w:rFonts w:cs="Times New Roman"/>
          <w:i/>
          <w:iCs/>
        </w:rPr>
        <w:t>See Paragard IUD Prod. Liab. Litig,</w:t>
      </w:r>
      <w:r w:rsidRPr="001E25C6">
        <w:rPr>
          <w:rFonts w:cs="Times New Roman"/>
        </w:rPr>
        <w:t xml:space="preserve"> MDL 2974, JPML Transfer Order, citing other JPML transfer orders </w:t>
      </w:r>
      <w:r>
        <w:rPr>
          <w:rFonts w:cs="Times New Roman"/>
        </w:rPr>
        <w:t>(</w:t>
      </w:r>
      <w:r w:rsidRPr="001E25C6">
        <w:rPr>
          <w:rFonts w:cs="Times New Roman"/>
        </w:rPr>
        <w:t>Dec. 16, 2020</w:t>
      </w:r>
      <w:r>
        <w:rPr>
          <w:rFonts w:cs="Times New Roman"/>
        </w:rPr>
        <w:t xml:space="preserve">) (“The Panel has rejected essentially this same argument on multiple occasions and does so again here. </w:t>
      </w:r>
      <w:r w:rsidRPr="00C41EC5">
        <w:rPr>
          <w:rFonts w:cs="Times New Roman"/>
          <w:i/>
          <w:iCs/>
        </w:rPr>
        <w:t>See</w:t>
      </w:r>
      <w:r>
        <w:rPr>
          <w:rFonts w:cs="Times New Roman"/>
        </w:rPr>
        <w:t xml:space="preserve">, e.g., </w:t>
      </w:r>
      <w:r w:rsidRPr="00C41EC5">
        <w:rPr>
          <w:rFonts w:cs="Times New Roman"/>
          <w:i/>
          <w:iCs/>
        </w:rPr>
        <w:t>In re Xarelto,</w:t>
      </w:r>
      <w:r>
        <w:rPr>
          <w:rFonts w:cs="Times New Roman"/>
        </w:rPr>
        <w:t xml:space="preserve"> 65 F. Supp. 3d at 1405 (“Nor are we persuaded by defendants’ related argument that an MDL will generate the filing of voluminous claims without due diligence by plaintiffs’ counsel.”)</w:t>
      </w:r>
    </w:p>
  </w:footnote>
  <w:footnote w:id="8">
    <w:p w14:paraId="0B3AB4B3" w14:textId="77777777" w:rsidR="00F62B2D" w:rsidRDefault="00F62B2D" w:rsidP="00F62B2D">
      <w:pPr>
        <w:pStyle w:val="FootnoteText"/>
        <w:jc w:val="both"/>
      </w:pPr>
      <w:r>
        <w:rPr>
          <w:rStyle w:val="FootnoteReference"/>
        </w:rPr>
        <w:footnoteRef/>
      </w:r>
      <w:r>
        <w:t xml:space="preserve"> </w:t>
      </w:r>
      <w:r w:rsidRPr="0026348E">
        <w:rPr>
          <w:rFonts w:cs="Times New Roman"/>
          <w:i/>
          <w:iCs/>
        </w:rPr>
        <w:t>A View from the Panel: Part of the Solution</w:t>
      </w:r>
      <w:r w:rsidRPr="00DB3D08">
        <w:rPr>
          <w:rFonts w:cs="Times New Roman"/>
        </w:rPr>
        <w:t>, John G. Heyburn, 82 Tulane L. Rev. 2225, 2237 (2008)</w:t>
      </w:r>
      <w:r>
        <w:rPr>
          <w:rFonts w:cs="Times New Roman"/>
        </w:rPr>
        <w:t xml:space="preserve"> (“The Panel considers only the underlying record on its face and does not attempt to make independent judgments about the state of the record or the reasons for, or the correctness of, a particular transferor court ruling.”)</w:t>
      </w:r>
    </w:p>
  </w:footnote>
  <w:footnote w:id="9">
    <w:p w14:paraId="6632EC26" w14:textId="77777777" w:rsidR="00F62B2D" w:rsidRDefault="00F62B2D" w:rsidP="00F62B2D">
      <w:pPr>
        <w:pStyle w:val="FootnoteText"/>
        <w:jc w:val="both"/>
      </w:pPr>
      <w:r>
        <w:rPr>
          <w:rStyle w:val="FootnoteReference"/>
        </w:rPr>
        <w:footnoteRef/>
      </w:r>
      <w:r>
        <w:t xml:space="preserve"> </w:t>
      </w:r>
      <w:r w:rsidRPr="0025598A">
        <w:rPr>
          <w:rFonts w:cs="Times New Roman"/>
          <w:i/>
          <w:iCs/>
        </w:rPr>
        <w:t>In re Ivy,</w:t>
      </w:r>
      <w:r>
        <w:rPr>
          <w:rFonts w:cs="Times New Roman"/>
        </w:rPr>
        <w:t xml:space="preserve"> 901 F.2d 7, 9 (2d Cir.1990) (court rejected plaintiff’s argument that Panel should vacate its order transferring actions to </w:t>
      </w:r>
      <w:r w:rsidRPr="0026348E">
        <w:rPr>
          <w:rFonts w:cs="Times New Roman"/>
          <w:i/>
          <w:iCs/>
        </w:rPr>
        <w:t xml:space="preserve">Agent </w:t>
      </w:r>
      <w:r>
        <w:rPr>
          <w:rFonts w:cs="Times New Roman"/>
          <w:i/>
          <w:iCs/>
        </w:rPr>
        <w:t>O</w:t>
      </w:r>
      <w:r w:rsidRPr="0026348E">
        <w:rPr>
          <w:rFonts w:cs="Times New Roman"/>
          <w:i/>
          <w:iCs/>
        </w:rPr>
        <w:t>range</w:t>
      </w:r>
      <w:r>
        <w:rPr>
          <w:rFonts w:cs="Times New Roman"/>
        </w:rPr>
        <w:t xml:space="preserve"> MDL on the ground that there is no subject matter jurisdiction).  </w:t>
      </w:r>
    </w:p>
  </w:footnote>
  <w:footnote w:id="10">
    <w:p w14:paraId="4A9A65B1" w14:textId="77777777" w:rsidR="00F62B2D" w:rsidRDefault="00F62B2D" w:rsidP="00F62B2D">
      <w:pPr>
        <w:pStyle w:val="FootnoteText"/>
        <w:jc w:val="both"/>
      </w:pPr>
      <w:r>
        <w:rPr>
          <w:rStyle w:val="FootnoteReference"/>
        </w:rPr>
        <w:footnoteRef/>
      </w:r>
      <w:r>
        <w:t xml:space="preserve"> </w:t>
      </w:r>
      <w:r w:rsidRPr="001231AE">
        <w:rPr>
          <w:rFonts w:cs="Times New Roman"/>
          <w:i/>
          <w:iCs/>
        </w:rPr>
        <w:t>See</w:t>
      </w:r>
      <w:r>
        <w:t xml:space="preserve"> </w:t>
      </w:r>
      <w:r>
        <w:rPr>
          <w:rFonts w:cs="Times New Roman"/>
          <w:i/>
          <w:iCs/>
        </w:rPr>
        <w:t xml:space="preserve">In re Social Media Adolescent Addiction/Personal Injury Prod. Liab. Litig., MDL No. 3047, Transfer Order (October 6, 2022); see also </w:t>
      </w:r>
      <w:r w:rsidRPr="00F07CCA">
        <w:rPr>
          <w:rFonts w:eastAsia="Times New Roman" w:cs="Times New Roman"/>
          <w:i/>
          <w:iCs/>
          <w:color w:val="222222"/>
        </w:rPr>
        <w:t>In re Hyundai &amp; Kia Fuel Econ. Litig.</w:t>
      </w:r>
      <w:r w:rsidRPr="00F07CCA">
        <w:rPr>
          <w:rFonts w:eastAsia="Times New Roman" w:cs="Times New Roman"/>
          <w:color w:val="222222"/>
        </w:rPr>
        <w:t>, 923 F. Supp. 2d 1364, 1365 (J.P.M.L. 2013); </w:t>
      </w:r>
      <w:r w:rsidRPr="00F07CCA">
        <w:rPr>
          <w:rFonts w:eastAsia="Times New Roman" w:cs="Times New Roman"/>
          <w:i/>
          <w:iCs/>
          <w:color w:val="222222"/>
        </w:rPr>
        <w:t>see also,</w:t>
      </w:r>
      <w:r w:rsidRPr="00F07CCA">
        <w:rPr>
          <w:rFonts w:eastAsia="Times New Roman" w:cs="Times New Roman"/>
          <w:color w:val="222222"/>
        </w:rPr>
        <w:t> </w:t>
      </w:r>
      <w:r w:rsidRPr="00F07CCA">
        <w:rPr>
          <w:rFonts w:eastAsia="Times New Roman" w:cs="Times New Roman"/>
          <w:i/>
          <w:iCs/>
          <w:color w:val="222222"/>
        </w:rPr>
        <w:t>In re Xarelto (Rivaroxaban) Prods. Liab. Litig.</w:t>
      </w:r>
      <w:r w:rsidRPr="00F07CCA">
        <w:rPr>
          <w:rFonts w:eastAsia="Times New Roman" w:cs="Times New Roman"/>
          <w:color w:val="222222"/>
        </w:rPr>
        <w:t>, 65 F. Supp. 3d 1402, 1405 (J.P.M.L. 2014); </w:t>
      </w:r>
      <w:r w:rsidRPr="00F07CCA">
        <w:rPr>
          <w:rFonts w:eastAsia="Times New Roman" w:cs="Times New Roman"/>
          <w:i/>
          <w:iCs/>
          <w:color w:val="222222"/>
        </w:rPr>
        <w:t>In re Elmiron (Pentosan Polysulfate Sodium) Prods. Liab. Litig.</w:t>
      </w:r>
      <w:r w:rsidRPr="00F07CCA">
        <w:rPr>
          <w:rFonts w:eastAsia="Times New Roman" w:cs="Times New Roman"/>
          <w:color w:val="222222"/>
        </w:rPr>
        <w:t>, 513 F. Supp. 3d 1406, 1407 (J.P.M.L. 2020).</w:t>
      </w:r>
      <w:r w:rsidRPr="00F07CCA">
        <w:rPr>
          <w:rFonts w:eastAsia="Times New Roman" w:cs="Times New Roman"/>
          <w:color w:val="222222"/>
          <w:sz w:val="24"/>
          <w:szCs w:val="24"/>
        </w:rPr>
        <w:t> </w:t>
      </w:r>
    </w:p>
  </w:footnote>
  <w:footnote w:id="11">
    <w:p w14:paraId="203C02C1" w14:textId="77777777" w:rsidR="00F62B2D" w:rsidRDefault="00F62B2D" w:rsidP="00F62B2D">
      <w:pPr>
        <w:pStyle w:val="FootnoteText"/>
        <w:jc w:val="both"/>
      </w:pPr>
      <w:r>
        <w:rPr>
          <w:rStyle w:val="FootnoteReference"/>
        </w:rPr>
        <w:footnoteRef/>
      </w:r>
      <w:r>
        <w:t xml:space="preserve"> </w:t>
      </w:r>
      <w:r w:rsidRPr="00F07CCA">
        <w:rPr>
          <w:rFonts w:eastAsia="Times New Roman" w:cs="Times New Roman"/>
          <w:i/>
          <w:iCs/>
          <w:color w:val="222222"/>
        </w:rPr>
        <w:t>In re Ford Motor Co. DPS6 PowerShift Transmission Prods. Liab. Litig</w:t>
      </w:r>
      <w:r w:rsidRPr="00F07CCA">
        <w:rPr>
          <w:rFonts w:eastAsia="Times New Roman" w:cs="Times New Roman"/>
          <w:color w:val="222222"/>
        </w:rPr>
        <w:t>., 289 F. Supp. 3d 1350, 1352 (J.P.M.L. 2018) (“Section 1407 does not empower the MDL Panel to decide questions going to the jurisdiction or the merits of a case.”) (quoting </w:t>
      </w:r>
      <w:r w:rsidRPr="00F07CCA">
        <w:rPr>
          <w:rFonts w:eastAsia="Times New Roman" w:cs="Times New Roman"/>
          <w:i/>
          <w:iCs/>
          <w:color w:val="222222"/>
        </w:rPr>
        <w:t>In re Ivy</w:t>
      </w:r>
      <w:r w:rsidRPr="00F07CCA">
        <w:rPr>
          <w:rFonts w:eastAsia="Times New Roman" w:cs="Times New Roman"/>
          <w:color w:val="222222"/>
        </w:rPr>
        <w:t>, 901 F.2d 7, 9 (2d Cir. 1990)); </w:t>
      </w:r>
      <w:r w:rsidRPr="00977EBB">
        <w:rPr>
          <w:rFonts w:eastAsia="Times New Roman" w:cs="Times New Roman"/>
          <w:i/>
          <w:iCs/>
          <w:color w:val="222222"/>
        </w:rPr>
        <w:t>see</w:t>
      </w:r>
      <w:r>
        <w:rPr>
          <w:rFonts w:eastAsia="Times New Roman" w:cs="Times New Roman"/>
          <w:color w:val="222222"/>
        </w:rPr>
        <w:t xml:space="preserve"> </w:t>
      </w:r>
      <w:r w:rsidRPr="00F07CCA">
        <w:rPr>
          <w:rFonts w:eastAsia="Times New Roman" w:cs="Times New Roman"/>
          <w:i/>
          <w:iCs/>
          <w:color w:val="222222"/>
        </w:rPr>
        <w:t>In re: Maxim Integrated Prods., Inc., Patent Litig.</w:t>
      </w:r>
      <w:r w:rsidRPr="00F07CCA">
        <w:rPr>
          <w:rFonts w:eastAsia="Times New Roman" w:cs="Times New Roman"/>
          <w:color w:val="222222"/>
        </w:rPr>
        <w:t>, 867 F. Supp. 2d 1333, 1335 (J.P.M.L. 2012)</w:t>
      </w:r>
      <w:r>
        <w:rPr>
          <w:rFonts w:eastAsia="Times New Roman" w:cs="Times New Roman"/>
          <w:color w:val="222222"/>
        </w:rPr>
        <w:t xml:space="preserve">, which was approvingly cited </w:t>
      </w:r>
      <w:r w:rsidRPr="00F07CCA">
        <w:rPr>
          <w:rFonts w:eastAsia="Times New Roman" w:cs="Times New Roman"/>
          <w:color w:val="222222"/>
        </w:rPr>
        <w:t>in</w:t>
      </w:r>
      <w:r>
        <w:rPr>
          <w:rFonts w:eastAsia="Times New Roman" w:cs="Times New Roman"/>
          <w:color w:val="222222"/>
        </w:rPr>
        <w:t xml:space="preserve"> </w:t>
      </w:r>
      <w:r w:rsidRPr="00977EBB">
        <w:rPr>
          <w:rFonts w:eastAsia="Times New Roman" w:cs="Times New Roman"/>
          <w:i/>
          <w:iCs/>
          <w:color w:val="222222"/>
        </w:rPr>
        <w:t>In Re: Acetam</w:t>
      </w:r>
      <w:r>
        <w:rPr>
          <w:rFonts w:eastAsia="Times New Roman" w:cs="Times New Roman"/>
          <w:i/>
          <w:iCs/>
          <w:color w:val="222222"/>
        </w:rPr>
        <w:t>i</w:t>
      </w:r>
      <w:r w:rsidRPr="00977EBB">
        <w:rPr>
          <w:rFonts w:eastAsia="Times New Roman" w:cs="Times New Roman"/>
          <w:i/>
          <w:iCs/>
          <w:color w:val="222222"/>
        </w:rPr>
        <w:t>nophen – ASD/ADHD Prod. Liab. Litig</w:t>
      </w:r>
      <w:r>
        <w:rPr>
          <w:rFonts w:eastAsia="Times New Roman" w:cs="Times New Roman"/>
          <w:color w:val="222222"/>
        </w:rPr>
        <w:t xml:space="preserve">., JPML Transfer Order (Oct. 10, 2022) </w:t>
      </w:r>
      <w:r w:rsidRPr="00F07CCA">
        <w:rPr>
          <w:rFonts w:eastAsia="Times New Roman" w:cs="Times New Roman"/>
          <w:color w:val="222222"/>
        </w:rPr>
        <w:t>(“The framers of Section 1407 did not contemplate that the Panel would decide the merits of the actions before it and neither the statute nor the implementing Rules of the Panel are drafted to allow for such determinations”) (citation and quotation marks omitted)).</w:t>
      </w:r>
    </w:p>
  </w:footnote>
  <w:footnote w:id="12">
    <w:p w14:paraId="39427C95" w14:textId="19B994D7" w:rsidR="00F62B2D" w:rsidRDefault="00F62B2D" w:rsidP="00F62B2D">
      <w:pPr>
        <w:pStyle w:val="FootnoteText"/>
        <w:jc w:val="both"/>
      </w:pPr>
      <w:r>
        <w:rPr>
          <w:rStyle w:val="FootnoteReference"/>
        </w:rPr>
        <w:footnoteRef/>
      </w:r>
      <w:r>
        <w:t xml:space="preserve"> </w:t>
      </w:r>
      <w:r w:rsidR="001B7640">
        <w:rPr>
          <w:rFonts w:cs="Times New Roman"/>
        </w:rPr>
        <w:t>FED. R. CIV. P.</w:t>
      </w:r>
      <w:r>
        <w:rPr>
          <w:rFonts w:cs="Times New Roman"/>
        </w:rPr>
        <w:t xml:space="preserve"> 23(c)(1) (Committee Note 2003).</w:t>
      </w:r>
    </w:p>
  </w:footnote>
  <w:footnote w:id="13">
    <w:p w14:paraId="46B22B22" w14:textId="77777777" w:rsidR="00F62B2D" w:rsidRDefault="00F62B2D" w:rsidP="00F62B2D">
      <w:pPr>
        <w:pStyle w:val="FootnoteText"/>
        <w:jc w:val="both"/>
      </w:pPr>
      <w:r>
        <w:rPr>
          <w:rStyle w:val="FootnoteReference"/>
        </w:rPr>
        <w:footnoteRef/>
      </w:r>
      <w:r>
        <w:t xml:space="preserve"> </w:t>
      </w:r>
      <w:r w:rsidRPr="00423805">
        <w:rPr>
          <w:rFonts w:cs="Times New Roman"/>
          <w:i/>
          <w:iCs/>
        </w:rPr>
        <w:t>See Comcast Corp. v. Behrend,</w:t>
      </w:r>
      <w:r>
        <w:rPr>
          <w:rFonts w:cs="Times New Roman"/>
        </w:rPr>
        <w:t>133 S. Ct. 1426, 1432 (2013) (“[I]t may be necessary for the court to probe behind the pleadings before coming to rest on the certification question, and that certification is proper only if the trial court is satisfied, after a rigorous analysis, that the prerequisites of analysis will frequently entail overlap with the merits of the plaintiff’s underlying claim.  That is so because the class determination generally involves considerations that are enmeshed in the factual and legal issues comprising the plaintiff’s cause of action.” (Citations omitted)</w:t>
      </w:r>
    </w:p>
  </w:footnote>
  <w:footnote w:id="14">
    <w:p w14:paraId="3C2D8A5F" w14:textId="77777777" w:rsidR="00F62B2D" w:rsidRDefault="00F62B2D" w:rsidP="00F62B2D">
      <w:pPr>
        <w:pStyle w:val="FootnoteText"/>
        <w:jc w:val="both"/>
      </w:pPr>
      <w:r>
        <w:rPr>
          <w:rStyle w:val="FootnoteReference"/>
        </w:rPr>
        <w:footnoteRef/>
      </w:r>
      <w:r>
        <w:t xml:space="preserve"> </w:t>
      </w:r>
      <w:r w:rsidRPr="00603AB7">
        <w:rPr>
          <w:rFonts w:cs="Times New Roman"/>
          <w:i/>
          <w:iCs/>
        </w:rPr>
        <w:t>In Re Propulsid,</w:t>
      </w:r>
      <w:r w:rsidRPr="00603AB7">
        <w:rPr>
          <w:rFonts w:cs="Times New Roman"/>
        </w:rPr>
        <w:t xml:space="preserve"> No. 1355 (JPML Aug.7, 2000)</w:t>
      </w:r>
      <w:r w:rsidRPr="006419F9">
        <w:rPr>
          <w:rFonts w:cs="Times New Roman"/>
          <w:sz w:val="24"/>
          <w:szCs w:val="24"/>
        </w:rPr>
        <w:t xml:space="preserve"> </w:t>
      </w:r>
      <w:r>
        <w:rPr>
          <w:rFonts w:cs="Times New Roman"/>
          <w:sz w:val="24"/>
          <w:szCs w:val="24"/>
        </w:rPr>
        <w:t>(</w:t>
      </w:r>
      <w:r w:rsidRPr="006419F9">
        <w:rPr>
          <w:rFonts w:cs="Times New Roman"/>
        </w:rPr>
        <w:t>“If the Panel was to adopt the defendant’s concept of maturity, many of the judges assigned to the various actions would be required to needlessly replicate other judges’ work on such matters as class action certifications, medical monitoring claims, the structuring of confidentiality and other discovery orders, the scheduling of depositions and other discovery, rulings on motions to dismiss, and so forth.  Only when such common pretrial matters had been repetitiously resolved in an undetermined number of federal actions would defendants concede that section 1407 centralization might then be appropriate.  We conclude that such an approach would defeat the very purpose leading to the enactment of Section 1407.”</w:t>
      </w:r>
      <w:r>
        <w:rPr>
          <w:rFonts w:cs="Times New Roman"/>
        </w:rPr>
        <w:t>)</w:t>
      </w:r>
      <w:r>
        <w:rPr>
          <w:rFonts w:cs="Times New Roman"/>
          <w:sz w:val="24"/>
          <w:szCs w:val="24"/>
        </w:rPr>
        <w:t xml:space="preserve">  </w:t>
      </w:r>
    </w:p>
  </w:footnote>
  <w:footnote w:id="15">
    <w:p w14:paraId="3A22423E" w14:textId="77777777" w:rsidR="00F62B2D" w:rsidRPr="00776AD8" w:rsidRDefault="00F62B2D" w:rsidP="00F62B2D">
      <w:pPr>
        <w:pStyle w:val="FootnoteText"/>
        <w:jc w:val="both"/>
        <w:rPr>
          <w:rFonts w:cs="Times New Roman"/>
        </w:rPr>
      </w:pPr>
      <w:r>
        <w:rPr>
          <w:rStyle w:val="FootnoteReference"/>
        </w:rPr>
        <w:footnoteRef/>
      </w:r>
      <w:r>
        <w:t xml:space="preserve"> </w:t>
      </w:r>
      <w:r w:rsidRPr="00776AD8">
        <w:rPr>
          <w:rFonts w:cs="Times New Roman"/>
          <w:i/>
          <w:iCs/>
        </w:rPr>
        <w:t>See</w:t>
      </w:r>
      <w:r>
        <w:rPr>
          <w:rFonts w:cs="Times New Roman"/>
        </w:rPr>
        <w:t xml:space="preserve"> </w:t>
      </w:r>
      <w:r w:rsidRPr="00776AD8">
        <w:rPr>
          <w:rFonts w:cs="Times New Roman"/>
          <w:i/>
          <w:iCs/>
        </w:rPr>
        <w:t>In re Gardasil Prod. Liab. Litig.,</w:t>
      </w:r>
      <w:r>
        <w:rPr>
          <w:rFonts w:cs="Times New Roman"/>
        </w:rPr>
        <w:t xml:space="preserve"> MDL No. 3036 Transfer Order (Aug. 4, 2022) (“Nor are we convinced by Merck’s argument that creation of an MDL will encourage the filing of meritless claims, as any such are more appropriately brought to the attention of the transferee court; </w:t>
      </w:r>
      <w:r w:rsidRPr="00CA548F">
        <w:rPr>
          <w:rFonts w:cs="Times New Roman"/>
          <w:i/>
          <w:iCs/>
        </w:rPr>
        <w:t>see also</w:t>
      </w:r>
      <w:r w:rsidRPr="00776AD8">
        <w:rPr>
          <w:rFonts w:cs="Times New Roman"/>
          <w:i/>
          <w:iCs/>
        </w:rPr>
        <w:t xml:space="preserve">, e.g., In re Xarelto (Rivaroxaban) </w:t>
      </w:r>
      <w:r>
        <w:rPr>
          <w:rFonts w:cs="Times New Roman"/>
          <w:i/>
          <w:iCs/>
        </w:rPr>
        <w:t>P</w:t>
      </w:r>
      <w:r w:rsidRPr="00776AD8">
        <w:rPr>
          <w:rFonts w:cs="Times New Roman"/>
          <w:i/>
          <w:iCs/>
        </w:rPr>
        <w:t>rod. Liab. Litig.,</w:t>
      </w:r>
      <w:r>
        <w:rPr>
          <w:rFonts w:cs="Times New Roman"/>
        </w:rPr>
        <w:t xml:space="preserve"> 65 F. Supp. 3d 1402, 1405 (JPML 2014).”)</w:t>
      </w:r>
    </w:p>
  </w:footnote>
  <w:footnote w:id="16">
    <w:p w14:paraId="4F54154C" w14:textId="77777777" w:rsidR="00F62B2D" w:rsidRDefault="00F62B2D" w:rsidP="00F62B2D">
      <w:pPr>
        <w:pStyle w:val="FootnoteText"/>
        <w:jc w:val="both"/>
      </w:pPr>
      <w:r>
        <w:rPr>
          <w:rStyle w:val="FootnoteReference"/>
        </w:rPr>
        <w:footnoteRef/>
      </w:r>
      <w:r>
        <w:t xml:space="preserve"> </w:t>
      </w:r>
      <w:r w:rsidRPr="001E25C6">
        <w:rPr>
          <w:rFonts w:cs="Times New Roman"/>
          <w:i/>
          <w:iCs/>
        </w:rPr>
        <w:t>See Paragard IUD Prod. Liab. Litig,</w:t>
      </w:r>
      <w:r w:rsidRPr="001E25C6">
        <w:rPr>
          <w:rFonts w:cs="Times New Roman"/>
        </w:rPr>
        <w:t xml:space="preserve"> MDL 2974, JPML Transfer Order, citing other JPML transfer orders, Dec. 16, 2020)</w:t>
      </w:r>
      <w:r>
        <w:rPr>
          <w:rFonts w:cs="Times New Roman"/>
        </w:rPr>
        <w:t xml:space="preserve"> (“[T]he transferee court handling several cases in an MDL likely is in a better position—and certainly is in no worse position than courts in multiple districts handling individual cases—to properly address meritless claims.”)</w:t>
      </w:r>
    </w:p>
  </w:footnote>
  <w:footnote w:id="17">
    <w:p w14:paraId="67C1D71A" w14:textId="77777777" w:rsidR="00F62B2D" w:rsidRDefault="00F62B2D" w:rsidP="00F62B2D">
      <w:pPr>
        <w:pStyle w:val="FootnoteText"/>
        <w:jc w:val="both"/>
      </w:pPr>
      <w:r>
        <w:rPr>
          <w:rStyle w:val="FootnoteReference"/>
        </w:rPr>
        <w:footnoteRef/>
      </w:r>
      <w:r>
        <w:t xml:space="preserve"> </w:t>
      </w:r>
      <w:r w:rsidRPr="001E25C6">
        <w:rPr>
          <w:rFonts w:cs="Times New Roman"/>
          <w:i/>
          <w:iCs/>
        </w:rPr>
        <w:t>Paragard IUD Prod. Liab. Litig,</w:t>
      </w:r>
      <w:r w:rsidRPr="001E25C6">
        <w:rPr>
          <w:rFonts w:cs="Times New Roman"/>
        </w:rPr>
        <w:t xml:space="preserve"> MDL 2974, JPML Transfer Order, citing other JPML transfer orders, Dec. 16, 2020)</w:t>
      </w:r>
      <w:r>
        <w:rPr>
          <w:rFonts w:cs="Times New Roman"/>
        </w:rPr>
        <w:t xml:space="preserve"> (“The Panel has observed that ‘[t]he response to such concerns more properly adheres in assigning all related actions to one judge committed to disposing of spurious claims quickly.’  The transferee court handling several cases in an MDL likely is in a better position—to properly address meritless claims.”)</w:t>
      </w:r>
    </w:p>
  </w:footnote>
  <w:footnote w:id="18">
    <w:p w14:paraId="12660020" w14:textId="77777777" w:rsidR="00F62B2D" w:rsidRDefault="00F62B2D" w:rsidP="00F62B2D">
      <w:pPr>
        <w:pStyle w:val="FootnoteText"/>
        <w:jc w:val="both"/>
      </w:pPr>
      <w:r>
        <w:rPr>
          <w:rStyle w:val="FootnoteReference"/>
        </w:rPr>
        <w:footnoteRef/>
      </w:r>
      <w:r>
        <w:t xml:space="preserve"> </w:t>
      </w:r>
      <w:r w:rsidRPr="001E25C6">
        <w:rPr>
          <w:rFonts w:cs="Times New Roman"/>
          <w:i/>
          <w:iCs/>
        </w:rPr>
        <w:t>See Paragard IUD Prod. Liab. Litig,</w:t>
      </w:r>
      <w:r w:rsidRPr="001E25C6">
        <w:rPr>
          <w:rFonts w:cs="Times New Roman"/>
        </w:rPr>
        <w:t xml:space="preserve"> MDL 2974, JPML Transfer Order, citing other JPML transfer orders, Dec. 16, 2020) “[I]mportantly, if the defendants believe plaintiffs’ counsel are filing frivolous claims, it is incumbent upon the defense counsel to bring that concern to the attention of the transferee court, and to propose a process to identify and resolve such claims.”</w:t>
      </w:r>
    </w:p>
  </w:footnote>
  <w:footnote w:id="19">
    <w:p w14:paraId="6E1F92E1" w14:textId="77777777" w:rsidR="00F62B2D" w:rsidRDefault="00F62B2D" w:rsidP="00F62B2D">
      <w:pPr>
        <w:pStyle w:val="FootnoteText"/>
        <w:jc w:val="both"/>
      </w:pPr>
      <w:r>
        <w:rPr>
          <w:rStyle w:val="FootnoteReference"/>
        </w:rPr>
        <w:footnoteRef/>
      </w:r>
      <w:r>
        <w:t xml:space="preserve"> </w:t>
      </w:r>
      <w:r w:rsidRPr="00F6012E">
        <w:rPr>
          <w:rFonts w:cs="Times New Roman"/>
          <w:i/>
          <w:iCs/>
        </w:rPr>
        <w:t>Vetting the Wether” One Shepherd’s View,</w:t>
      </w:r>
      <w:r>
        <w:rPr>
          <w:rFonts w:cs="Times New Roman"/>
        </w:rPr>
        <w:t xml:space="preserve"> 89 UMKC Law Review, No. 4, pp. 873-874 (2021).</w:t>
      </w:r>
    </w:p>
  </w:footnote>
  <w:footnote w:id="20">
    <w:p w14:paraId="4C52B7FA" w14:textId="77777777" w:rsidR="00F62B2D" w:rsidRDefault="00F62B2D" w:rsidP="00F62B2D">
      <w:pPr>
        <w:pStyle w:val="FootnoteText"/>
        <w:jc w:val="both"/>
      </w:pPr>
      <w:r>
        <w:rPr>
          <w:rStyle w:val="FootnoteReference"/>
        </w:rPr>
        <w:footnoteRef/>
      </w:r>
      <w:r>
        <w:t xml:space="preserve"> </w:t>
      </w:r>
      <w:r w:rsidRPr="00A10FB3">
        <w:rPr>
          <w:rFonts w:eastAsia="Times New Roman" w:cs="Times New Roman"/>
          <w:color w:val="222222"/>
        </w:rPr>
        <w:t>The effects can be critical.  For example, the defendant in the second LTL Management mass-tort bankruptcy favored judicial estimation of the value of tort claims recommending that the past settlement amounts in tort claims be rejected because the science had changed in the few years since they were awarded.</w:t>
      </w:r>
      <w:r>
        <w:rPr>
          <w:rFonts w:eastAsia="Times New Roman" w:cs="Times New Roman"/>
          <w:color w:val="222222"/>
          <w:sz w:val="24"/>
          <w:szCs w:val="24"/>
        </w:rPr>
        <w:t xml:space="preserve">  </w:t>
      </w:r>
    </w:p>
  </w:footnote>
  <w:footnote w:id="21">
    <w:p w14:paraId="1C68BD93" w14:textId="77777777" w:rsidR="00F62B2D" w:rsidRDefault="00F62B2D" w:rsidP="00F62B2D">
      <w:pPr>
        <w:jc w:val="both"/>
      </w:pPr>
      <w:r>
        <w:rPr>
          <w:rStyle w:val="FootnoteReference"/>
        </w:rPr>
        <w:footnoteRef/>
      </w:r>
      <w:r>
        <w:t xml:space="preserve"> </w:t>
      </w:r>
      <w:r w:rsidRPr="00D00FC1">
        <w:rPr>
          <w:rFonts w:cs="Times New Roman"/>
          <w:sz w:val="20"/>
          <w:szCs w:val="20"/>
        </w:rPr>
        <w:t xml:space="preserve">Judge Rodgers entered a certification order in the </w:t>
      </w:r>
      <w:r w:rsidRPr="00D00FC1">
        <w:rPr>
          <w:rFonts w:cs="Times New Roman"/>
          <w:i/>
          <w:iCs/>
          <w:sz w:val="20"/>
          <w:szCs w:val="20"/>
        </w:rPr>
        <w:t>Abilify</w:t>
      </w:r>
      <w:r w:rsidRPr="00D00FC1">
        <w:rPr>
          <w:rFonts w:cs="Times New Roman"/>
          <w:sz w:val="20"/>
          <w:szCs w:val="20"/>
        </w:rPr>
        <w:t xml:space="preserve"> MDL to help effectuate settlement.  The order required plaintiff’s counsel to make a good faith effort to obtain and review certain records, including records documenting use of Abilify during relevant time periods and proof of harm to participate in the settlement.  Absent this information, the defense could pursue dismissal through a show</w:t>
      </w:r>
      <w:r>
        <w:rPr>
          <w:rFonts w:cs="Times New Roman"/>
          <w:sz w:val="20"/>
          <w:szCs w:val="20"/>
        </w:rPr>
        <w:t>-</w:t>
      </w:r>
      <w:r w:rsidRPr="00D00FC1">
        <w:rPr>
          <w:rFonts w:cs="Times New Roman"/>
          <w:sz w:val="20"/>
          <w:szCs w:val="20"/>
        </w:rPr>
        <w:t>cause process.</w:t>
      </w:r>
      <w:r>
        <w:rPr>
          <w:rFonts w:cs="Times New Roman"/>
          <w:sz w:val="20"/>
          <w:szCs w:val="20"/>
        </w:rPr>
        <w:t xml:space="preserve"> </w:t>
      </w:r>
      <w:r w:rsidRPr="00D00FC1">
        <w:rPr>
          <w:rFonts w:cs="Times New Roman"/>
          <w:sz w:val="20"/>
          <w:szCs w:val="20"/>
        </w:rPr>
        <w:t xml:space="preserve">One quarter of all plaintiffs failed to provide the information required by the judge.  149 plaintiffs disregarded the order.   Judge Rodgers noted that after three years and at the late stage of the MDL, it was not too much to require plaintiffs to produce documents demonstrating </w:t>
      </w:r>
      <w:r>
        <w:rPr>
          <w:rFonts w:cs="Times New Roman"/>
          <w:sz w:val="20"/>
          <w:szCs w:val="20"/>
        </w:rPr>
        <w:t xml:space="preserve">that the </w:t>
      </w:r>
      <w:r w:rsidRPr="00D00FC1">
        <w:rPr>
          <w:rFonts w:cs="Times New Roman"/>
          <w:sz w:val="20"/>
          <w:szCs w:val="20"/>
        </w:rPr>
        <w:t xml:space="preserve">use of </w:t>
      </w:r>
      <w:r w:rsidRPr="00D00FC1">
        <w:rPr>
          <w:rFonts w:cs="Times New Roman"/>
          <w:i/>
          <w:iCs/>
          <w:sz w:val="20"/>
          <w:szCs w:val="20"/>
        </w:rPr>
        <w:t>Abilify</w:t>
      </w:r>
      <w:r w:rsidRPr="00D00FC1">
        <w:rPr>
          <w:rFonts w:cs="Times New Roman"/>
          <w:sz w:val="20"/>
          <w:szCs w:val="20"/>
        </w:rPr>
        <w:t xml:space="preserve"> caused their alleged injury.</w:t>
      </w:r>
    </w:p>
  </w:footnote>
  <w:footnote w:id="22">
    <w:p w14:paraId="793D7C60" w14:textId="77777777" w:rsidR="00F62B2D" w:rsidRDefault="00F62B2D" w:rsidP="00F62B2D">
      <w:pPr>
        <w:pStyle w:val="FootnoteText"/>
        <w:jc w:val="both"/>
      </w:pPr>
      <w:r>
        <w:rPr>
          <w:rStyle w:val="FootnoteReference"/>
        </w:rPr>
        <w:footnoteRef/>
      </w:r>
      <w:r>
        <w:t xml:space="preserve"> </w:t>
      </w:r>
      <w:bookmarkStart w:id="2" w:name="_Hlk150091055"/>
      <w:r w:rsidRPr="00823071">
        <w:rPr>
          <w:rFonts w:cs="Times New Roman"/>
          <w:i/>
          <w:iCs/>
        </w:rPr>
        <w:t>In re Repetitive Stress Injuries,</w:t>
      </w:r>
      <w:r>
        <w:rPr>
          <w:rFonts w:cs="Times New Roman"/>
        </w:rPr>
        <w:t xml:space="preserve"> 11 F.3d 368 (2d Cir. 1993).</w:t>
      </w:r>
      <w:bookmarkEnd w:id="2"/>
    </w:p>
  </w:footnote>
  <w:footnote w:id="23">
    <w:p w14:paraId="46D9761F" w14:textId="77777777" w:rsidR="00F62B2D" w:rsidRDefault="00F62B2D" w:rsidP="00F62B2D">
      <w:pPr>
        <w:pStyle w:val="FootnoteText"/>
        <w:jc w:val="both"/>
      </w:pPr>
      <w:r>
        <w:rPr>
          <w:rStyle w:val="FootnoteReference"/>
        </w:rPr>
        <w:footnoteRef/>
      </w:r>
      <w:r>
        <w:t xml:space="preserve"> </w:t>
      </w:r>
      <w:r w:rsidRPr="00823071">
        <w:rPr>
          <w:rFonts w:cs="Times New Roman"/>
          <w:i/>
          <w:iCs/>
        </w:rPr>
        <w:t>In re Repetitive Stress Injuries,</w:t>
      </w:r>
      <w:r>
        <w:rPr>
          <w:rFonts w:cs="Times New Roman"/>
        </w:rPr>
        <w:t xml:space="preserve"> 11 F.3d 368 (2d Cir. 1993).</w:t>
      </w:r>
    </w:p>
  </w:footnote>
  <w:footnote w:id="24">
    <w:p w14:paraId="1F9557DC" w14:textId="77777777" w:rsidR="00F62B2D" w:rsidRPr="000230AD" w:rsidRDefault="00F62B2D" w:rsidP="00F62B2D">
      <w:pPr>
        <w:jc w:val="both"/>
        <w:rPr>
          <w:rFonts w:cs="Times New Roman"/>
        </w:rPr>
      </w:pPr>
      <w:r w:rsidRPr="00105144">
        <w:rPr>
          <w:rStyle w:val="FootnoteReference"/>
          <w:rFonts w:cs="Times New Roman"/>
          <w:sz w:val="20"/>
          <w:szCs w:val="20"/>
        </w:rPr>
        <w:footnoteRef/>
      </w:r>
      <w:r w:rsidRPr="00105144">
        <w:rPr>
          <w:rFonts w:cs="Times New Roman"/>
          <w:sz w:val="20"/>
          <w:szCs w:val="20"/>
        </w:rPr>
        <w:t xml:space="preserve"> </w:t>
      </w:r>
      <w:r w:rsidRPr="00105144">
        <w:rPr>
          <w:rFonts w:cs="Times New Roman"/>
          <w:i/>
          <w:iCs/>
          <w:sz w:val="20"/>
          <w:szCs w:val="20"/>
        </w:rPr>
        <w:t xml:space="preserve">See </w:t>
      </w:r>
      <w:r w:rsidRPr="00105144">
        <w:rPr>
          <w:rFonts w:cs="Times New Roman"/>
          <w:sz w:val="20"/>
          <w:szCs w:val="20"/>
        </w:rPr>
        <w:t xml:space="preserve">endnote 6, </w:t>
      </w:r>
      <w:r w:rsidRPr="00105144">
        <w:rPr>
          <w:rFonts w:cs="Times New Roman"/>
          <w:i/>
          <w:iCs/>
          <w:sz w:val="20"/>
          <w:szCs w:val="20"/>
        </w:rPr>
        <w:t>supra</w:t>
      </w:r>
      <w:r w:rsidRPr="00105144">
        <w:rPr>
          <w:rFonts w:cs="Times New Roman"/>
          <w:sz w:val="20"/>
          <w:szCs w:val="20"/>
        </w:rPr>
        <w:t>. The issue is problematic for both defense and plaintiff counsel alike.  Plaintiffs’ counsel who have meritorious cases in which they can demonstrate that use of the drug (or product) is clearly tied to a plaintiff’s injury are met with resistance from companies and defense counsel who are often skeptical of all the cases.  Plaintiffs’ counsel who have meritorious cases may be required to jump through procedural hoops that may not have been required previously due to the volume of cases that are shown to lack merit during the discovery process.  This results in an inordinate amount of time spent on case</w:t>
      </w:r>
      <w:r>
        <w:rPr>
          <w:rFonts w:cs="Times New Roman"/>
          <w:sz w:val="20"/>
          <w:szCs w:val="20"/>
        </w:rPr>
        <w:t>-</w:t>
      </w:r>
      <w:r w:rsidRPr="00105144">
        <w:rPr>
          <w:rFonts w:cs="Times New Roman"/>
          <w:sz w:val="20"/>
          <w:szCs w:val="20"/>
        </w:rPr>
        <w:t>specific discovery in cases that may be susceptible to preliminary challenges, e.g. statute of limitations.  (</w:t>
      </w:r>
      <w:r>
        <w:rPr>
          <w:rFonts w:cs="Times New Roman"/>
          <w:sz w:val="20"/>
          <w:szCs w:val="20"/>
        </w:rPr>
        <w:t>N</w:t>
      </w:r>
      <w:r w:rsidRPr="00105144">
        <w:rPr>
          <w:rFonts w:cs="Times New Roman"/>
          <w:sz w:val="20"/>
          <w:szCs w:val="20"/>
        </w:rPr>
        <w:t>ot all jurisdictions have the discovery rule). Additionally, the pace of MDLs has slowed to a crawl.  Plaintiffs’ counsel with solid cases often cannot move their cases to the “front of the line” and ring the bell at trial, thereby prompting the defendant to consider settling cases sooner.</w:t>
      </w:r>
    </w:p>
  </w:footnote>
  <w:footnote w:id="25">
    <w:p w14:paraId="3F58492C" w14:textId="77777777" w:rsidR="00F62B2D" w:rsidRPr="004C3D16" w:rsidRDefault="00F62B2D" w:rsidP="00F62B2D">
      <w:pPr>
        <w:pStyle w:val="FootnoteText"/>
        <w:jc w:val="both"/>
        <w:rPr>
          <w:rFonts w:cs="Times New Roman"/>
        </w:rPr>
      </w:pPr>
      <w:r>
        <w:rPr>
          <w:rStyle w:val="FootnoteReference"/>
        </w:rPr>
        <w:footnoteRef/>
      </w:r>
      <w:r>
        <w:t xml:space="preserve"> </w:t>
      </w:r>
      <w:r w:rsidRPr="004C3D16">
        <w:rPr>
          <w:rFonts w:cs="Times New Roman"/>
        </w:rPr>
        <w:t>Manual for Complex Litigation</w:t>
      </w:r>
      <w:r w:rsidRPr="004C3D16">
        <w:rPr>
          <w:rFonts w:cs="Times New Roman"/>
          <w:i/>
          <w:iCs/>
        </w:rPr>
        <w:t>,</w:t>
      </w:r>
      <w:r>
        <w:rPr>
          <w:rFonts w:cs="Times New Roman"/>
        </w:rPr>
        <w:t xml:space="preserve"> </w:t>
      </w:r>
      <w:r w:rsidRPr="00F07CCA">
        <w:rPr>
          <w:rFonts w:eastAsia="Times New Roman" w:cs="Times New Roman"/>
          <w:color w:val="222222"/>
        </w:rPr>
        <w:t>§</w:t>
      </w:r>
      <w:r>
        <w:rPr>
          <w:rFonts w:eastAsia="Times New Roman" w:cs="Times New Roman"/>
          <w:color w:val="222222"/>
        </w:rPr>
        <w:t xml:space="preserve"> 22.2, Federal Judicial Center (4</w:t>
      </w:r>
      <w:r w:rsidRPr="004C3D16">
        <w:rPr>
          <w:rFonts w:eastAsia="Times New Roman" w:cs="Times New Roman"/>
          <w:color w:val="222222"/>
          <w:vertAlign w:val="superscript"/>
        </w:rPr>
        <w:t>th</w:t>
      </w:r>
      <w:r>
        <w:rPr>
          <w:rFonts w:eastAsia="Times New Roman" w:cs="Times New Roman"/>
          <w:color w:val="222222"/>
        </w:rPr>
        <w:t xml:space="preserve"> Edition 2004).</w:t>
      </w:r>
    </w:p>
  </w:footnote>
  <w:footnote w:id="26">
    <w:p w14:paraId="38FBE3F1" w14:textId="77777777" w:rsidR="00F62B2D" w:rsidRDefault="00F62B2D" w:rsidP="00F62B2D">
      <w:pPr>
        <w:pStyle w:val="FootnoteText"/>
        <w:jc w:val="both"/>
      </w:pPr>
      <w:r>
        <w:rPr>
          <w:rStyle w:val="FootnoteReference"/>
        </w:rPr>
        <w:footnoteRef/>
      </w:r>
      <w:r>
        <w:t xml:space="preserve"> </w:t>
      </w:r>
      <w:r w:rsidRPr="004C3D16">
        <w:rPr>
          <w:rFonts w:cs="Times New Roman"/>
        </w:rPr>
        <w:t>Manual for Complex Litigation</w:t>
      </w:r>
      <w:r w:rsidRPr="004C3D16">
        <w:rPr>
          <w:rFonts w:cs="Times New Roman"/>
          <w:i/>
          <w:iCs/>
        </w:rPr>
        <w:t>,</w:t>
      </w:r>
      <w:r>
        <w:rPr>
          <w:rFonts w:cs="Times New Roman"/>
        </w:rPr>
        <w:t xml:space="preserve"> </w:t>
      </w:r>
      <w:r w:rsidRPr="00F07CCA">
        <w:rPr>
          <w:rFonts w:eastAsia="Times New Roman" w:cs="Times New Roman"/>
          <w:color w:val="222222"/>
        </w:rPr>
        <w:t>§</w:t>
      </w:r>
      <w:r>
        <w:rPr>
          <w:rFonts w:eastAsia="Times New Roman" w:cs="Times New Roman"/>
          <w:color w:val="222222"/>
        </w:rPr>
        <w:t xml:space="preserve"> 22.314, Federal Judicial Center (4</w:t>
      </w:r>
      <w:r w:rsidRPr="004C3D16">
        <w:rPr>
          <w:rFonts w:eastAsia="Times New Roman" w:cs="Times New Roman"/>
          <w:color w:val="222222"/>
          <w:vertAlign w:val="superscript"/>
        </w:rPr>
        <w:t>th</w:t>
      </w:r>
      <w:r>
        <w:rPr>
          <w:rFonts w:eastAsia="Times New Roman" w:cs="Times New Roman"/>
          <w:color w:val="222222"/>
        </w:rPr>
        <w:t xml:space="preserve"> Edition 2004).</w:t>
      </w:r>
    </w:p>
  </w:footnote>
  <w:footnote w:id="27">
    <w:p w14:paraId="32646EEA" w14:textId="77777777" w:rsidR="00F62B2D" w:rsidRPr="00FE4830" w:rsidRDefault="00F62B2D" w:rsidP="00F62B2D">
      <w:pPr>
        <w:pStyle w:val="FootnoteText"/>
        <w:jc w:val="both"/>
        <w:rPr>
          <w:rFonts w:cs="Times New Roman"/>
        </w:rPr>
      </w:pPr>
      <w:r>
        <w:rPr>
          <w:rStyle w:val="FootnoteReference"/>
        </w:rPr>
        <w:footnoteRef/>
      </w:r>
      <w:r>
        <w:t xml:space="preserve"> </w:t>
      </w:r>
      <w:r w:rsidRPr="007218AE">
        <w:rPr>
          <w:rFonts w:cs="Times New Roman"/>
        </w:rPr>
        <w:t xml:space="preserve">The nature of the putative MDL usually is a good indicator of whether a putative MDL will become a mega-mass tort MDL. </w:t>
      </w:r>
      <w:r>
        <w:rPr>
          <w:rFonts w:cs="Times New Roman"/>
        </w:rPr>
        <w:t>Typically, products liability actions are good candidates for more rigorous examination, especially those involving an alleged defective medical device or an alleged harmful drug.</w:t>
      </w:r>
    </w:p>
  </w:footnote>
  <w:footnote w:id="28">
    <w:p w14:paraId="51FFE318" w14:textId="77777777" w:rsidR="00F62B2D" w:rsidRPr="00506AE7" w:rsidRDefault="00F62B2D" w:rsidP="00F62B2D">
      <w:pPr>
        <w:pStyle w:val="FootnoteText"/>
        <w:jc w:val="both"/>
        <w:rPr>
          <w:rFonts w:cs="Times New Roman"/>
        </w:rPr>
      </w:pPr>
      <w:r>
        <w:rPr>
          <w:rStyle w:val="FootnoteReference"/>
        </w:rPr>
        <w:footnoteRef/>
      </w:r>
      <w:r>
        <w:t xml:space="preserve"> </w:t>
      </w:r>
      <w:r>
        <w:rPr>
          <w:rFonts w:cs="Times New Roman"/>
        </w:rPr>
        <w:t xml:space="preserve">The more rigorous examination would be limited to situations when one of the parties objects and there is a likelihood of large number of unsupportable later filings. </w:t>
      </w:r>
      <w:r w:rsidRPr="00506AE7">
        <w:rPr>
          <w:rFonts w:cs="Times New Roman"/>
        </w:rPr>
        <w:t xml:space="preserve">Based </w:t>
      </w:r>
      <w:r>
        <w:rPr>
          <w:rFonts w:cs="Times New Roman"/>
        </w:rPr>
        <w:t xml:space="preserve">on </w:t>
      </w:r>
      <w:r w:rsidRPr="00506AE7">
        <w:rPr>
          <w:rFonts w:cs="Times New Roman"/>
        </w:rPr>
        <w:t>the JPML’s data for 2022,</w:t>
      </w:r>
      <w:r>
        <w:rPr>
          <w:rFonts w:cs="Times New Roman"/>
        </w:rPr>
        <w:t xml:space="preserve"> the Panel considered a total of 33 motions to centralize at its six bimonthly hearings.  It granted 22 motions to centralize. The criteria for a more rigorous examination would typically exclude antitrust, securities, sales practices, contract, employment practices, and common disaster MDLs, which consist of 60% of pending MDLs.  The remaining 40% attributable to products liability actions would be candidates for a more rigorous examination.  Of the 22 motions for centralization granted in 2022, 40% would equal 8.8 actions considered at six Panel hearings.  The number would likely be lower because in some of the actions, the parties may all seek centralization and in others there is little likelihood of drawing unsupportable claims, </w:t>
      </w:r>
      <w:r w:rsidRPr="00CA548F">
        <w:rPr>
          <w:rFonts w:cs="Times New Roman"/>
          <w:i/>
          <w:iCs/>
        </w:rPr>
        <w:t>e.g</w:t>
      </w:r>
      <w:r>
        <w:rPr>
          <w:rFonts w:cs="Times New Roman"/>
        </w:rPr>
        <w:t xml:space="preserve">., medical-device products liability actions or when a signature injury is evident. </w:t>
      </w:r>
    </w:p>
  </w:footnote>
  <w:footnote w:id="29">
    <w:p w14:paraId="60B7F29F" w14:textId="77777777" w:rsidR="00F62B2D" w:rsidRPr="00432B5C" w:rsidRDefault="00F62B2D" w:rsidP="00F62B2D">
      <w:pPr>
        <w:pStyle w:val="FootnoteText"/>
        <w:jc w:val="both"/>
        <w:rPr>
          <w:rFonts w:cs="Times New Roman"/>
        </w:rPr>
      </w:pPr>
      <w:r>
        <w:rPr>
          <w:rStyle w:val="FootnoteReference"/>
        </w:rPr>
        <w:footnoteRef/>
      </w:r>
      <w:r>
        <w:t xml:space="preserve"> </w:t>
      </w:r>
      <w:r w:rsidRPr="00550167">
        <w:rPr>
          <w:rFonts w:cs="Times New Roman"/>
          <w:i/>
          <w:iCs/>
        </w:rPr>
        <w:t>In Re Bard Implanted Port Catheter Prod. Liab. Litig.</w:t>
      </w:r>
      <w:r w:rsidRPr="00432B5C">
        <w:rPr>
          <w:rFonts w:cs="Times New Roman"/>
        </w:rPr>
        <w:t xml:space="preserve"> MDL No. 3081</w:t>
      </w:r>
      <w:r>
        <w:rPr>
          <w:rFonts w:cs="Times New Roman"/>
        </w:rPr>
        <w:t xml:space="preserve"> (2023) may offer an example of the value of a more rigorous examination.  In one of its motions, the defendant stated that the alleged defective devices had been on the market since the late 1980’s and used by millions of patients to receive chemotherapy. He further stated that that there had been no landmark scientific study questioning the overall safety profile of the devices, nor any FDA recall or other regulatory action against the device’s safety.  Also, prior to the formation of the MDL only eleven actions had been filed in the five years preceding the motion to centralize.  In September 2023, there were 50 actions pending and in October 2023, there were 62 actions. </w:t>
      </w:r>
    </w:p>
  </w:footnote>
  <w:footnote w:id="30">
    <w:p w14:paraId="0BE3B4FA" w14:textId="77777777" w:rsidR="00F62B2D" w:rsidRPr="002528E3" w:rsidRDefault="00F62B2D" w:rsidP="00F62B2D">
      <w:pPr>
        <w:pStyle w:val="FootnoteText"/>
        <w:jc w:val="both"/>
        <w:rPr>
          <w:rFonts w:cs="Times New Roman"/>
        </w:rPr>
      </w:pPr>
      <w:r>
        <w:rPr>
          <w:rStyle w:val="FootnoteReference"/>
        </w:rPr>
        <w:footnoteRef/>
      </w:r>
      <w:r>
        <w:t xml:space="preserve"> </w:t>
      </w:r>
      <w:r w:rsidRPr="002528E3">
        <w:rPr>
          <w:rFonts w:cs="Times New Roman"/>
          <w:i/>
          <w:iCs/>
        </w:rPr>
        <w:t>See</w:t>
      </w:r>
      <w:r>
        <w:rPr>
          <w:rFonts w:cs="Times New Roman"/>
        </w:rPr>
        <w:t xml:space="preserve"> endnote 10, </w:t>
      </w:r>
      <w:r w:rsidRPr="002528E3">
        <w:rPr>
          <w:rFonts w:cs="Times New Roman"/>
          <w:i/>
          <w:iCs/>
        </w:rPr>
        <w:t>supra</w:t>
      </w:r>
      <w:r>
        <w:rPr>
          <w:rFonts w:cs="Times New Roman"/>
        </w:rPr>
        <w:t xml:space="preserve">, </w:t>
      </w:r>
      <w:r w:rsidRPr="00603AB7">
        <w:rPr>
          <w:rFonts w:cs="Times New Roman"/>
          <w:i/>
          <w:iCs/>
        </w:rPr>
        <w:t>In Re Propulsid,</w:t>
      </w:r>
      <w:r w:rsidRPr="00603AB7">
        <w:rPr>
          <w:rFonts w:cs="Times New Roman"/>
        </w:rPr>
        <w:t xml:space="preserve"> No. 1355 (JPML Aug.7, 2000)</w:t>
      </w:r>
      <w:r w:rsidRPr="006419F9">
        <w:rPr>
          <w:rFonts w:cs="Times New Roman"/>
          <w:sz w:val="24"/>
          <w:szCs w:val="24"/>
        </w:rPr>
        <w:t xml:space="preserve"> </w:t>
      </w:r>
      <w:r>
        <w:rPr>
          <w:rFonts w:cs="Times New Roman"/>
          <w:sz w:val="24"/>
          <w:szCs w:val="24"/>
        </w:rPr>
        <w:t>(</w:t>
      </w:r>
      <w:r w:rsidRPr="006419F9">
        <w:rPr>
          <w:rFonts w:cs="Times New Roman"/>
        </w:rPr>
        <w:t>“If the Panel was to adopt the defendant’s concept of maturity, many of the judges assigned to the various actions would be required to needlessly replicate other judges’ work on such matters as class action certifications, medical monitoring claims, the structuring of confidentiality and other discovery orders, the scheduling of depositions and other discovery, rulings on motions to dismiss, and so forth.  Only when such common pretrial matters had been repetitiously resolved in an undetermined number of federal actions would defendants concede that section 1407 centralization might then be appropriate.  We conclude that such an approach would defeat the very purpose leading to the enactment of Section 1407.”</w:t>
      </w:r>
      <w:r>
        <w:rPr>
          <w:rFonts w:cs="Times New Roman"/>
        </w:rPr>
        <w:t>)</w:t>
      </w:r>
      <w:r>
        <w:rPr>
          <w:rFonts w:cs="Times New Roman"/>
          <w:sz w:val="24"/>
          <w:szCs w:val="24"/>
        </w:rPr>
        <w:t xml:space="preserve">  </w:t>
      </w:r>
    </w:p>
  </w:footnote>
  <w:footnote w:id="31">
    <w:p w14:paraId="39A28DEC" w14:textId="77777777" w:rsidR="00F62B2D" w:rsidRPr="00AC10E0" w:rsidRDefault="00F62B2D" w:rsidP="00F62B2D">
      <w:pPr>
        <w:pStyle w:val="FootnoteText"/>
        <w:jc w:val="both"/>
        <w:rPr>
          <w:rFonts w:cs="Times New Roman"/>
        </w:rPr>
      </w:pPr>
      <w:r>
        <w:rPr>
          <w:rStyle w:val="FootnoteReference"/>
        </w:rPr>
        <w:footnoteRef/>
      </w:r>
      <w:r>
        <w:t xml:space="preserve"> </w:t>
      </w:r>
      <w:r>
        <w:rPr>
          <w:rFonts w:cs="Times New Roman"/>
        </w:rPr>
        <w:t>Although a few MDLs start with large numbers of filings, in many of them the large influx of tag-along actions occurs three or four years later. Consequently, the additional burden of handling individual actions involving repetitious matters imposed on the courts is limited during the first few years.</w:t>
      </w:r>
    </w:p>
  </w:footnote>
  <w:footnote w:id="32">
    <w:p w14:paraId="2C2B6BEE" w14:textId="77777777" w:rsidR="00F62B2D" w:rsidRDefault="00F62B2D" w:rsidP="00F62B2D">
      <w:pPr>
        <w:pStyle w:val="FootnoteText"/>
        <w:jc w:val="both"/>
      </w:pPr>
      <w:r>
        <w:rPr>
          <w:rStyle w:val="FootnoteReference"/>
        </w:rPr>
        <w:footnoteRef/>
      </w:r>
      <w:r>
        <w:t xml:space="preserve"> </w:t>
      </w:r>
      <w:r w:rsidRPr="00353023">
        <w:rPr>
          <w:rFonts w:eastAsia="Times New Roman" w:cs="Times New Roman"/>
          <w:color w:val="000000"/>
        </w:rPr>
        <w:t>Manual for Complex Litig. § 22.35</w:t>
      </w:r>
      <w:r>
        <w:rPr>
          <w:rFonts w:eastAsia="Times New Roman" w:cs="Times New Roman"/>
          <w:color w:val="000000"/>
        </w:rPr>
        <w:t xml:space="preserve">, Fourth Edition </w:t>
      </w:r>
      <w:r w:rsidRPr="00353023">
        <w:rPr>
          <w:rFonts w:eastAsia="Times New Roman" w:cs="Times New Roman"/>
          <w:color w:val="000000"/>
        </w:rPr>
        <w:t>(2004).</w:t>
      </w:r>
    </w:p>
  </w:footnote>
  <w:footnote w:id="33">
    <w:p w14:paraId="18D85118" w14:textId="77777777" w:rsidR="00F62B2D" w:rsidRDefault="00F62B2D" w:rsidP="00F62B2D">
      <w:pPr>
        <w:pStyle w:val="FootnoteText"/>
        <w:jc w:val="both"/>
      </w:pPr>
      <w:r>
        <w:rPr>
          <w:rStyle w:val="FootnoteReference"/>
        </w:rPr>
        <w:footnoteRef/>
      </w:r>
      <w:r>
        <w:t xml:space="preserve"> </w:t>
      </w:r>
      <w:r w:rsidRPr="00353023">
        <w:rPr>
          <w:rFonts w:cs="Times New Roman"/>
        </w:rPr>
        <w:t>Id.</w:t>
      </w:r>
    </w:p>
  </w:footnote>
  <w:footnote w:id="34">
    <w:p w14:paraId="3DABD212" w14:textId="77777777" w:rsidR="00F62B2D" w:rsidRDefault="00F62B2D" w:rsidP="00F62B2D">
      <w:pPr>
        <w:pStyle w:val="FootnoteText"/>
      </w:pPr>
      <w:r>
        <w:rPr>
          <w:rStyle w:val="FootnoteReference"/>
        </w:rPr>
        <w:footnoteRef/>
      </w:r>
      <w:r>
        <w:t xml:space="preserve"> </w:t>
      </w:r>
      <w:r w:rsidRPr="0009710D">
        <w:rPr>
          <w:rFonts w:cs="Times New Roman"/>
        </w:rPr>
        <w:t>Arbitrarily defined as MDLs consisting of more than 1,000 actions.</w:t>
      </w:r>
    </w:p>
  </w:footnote>
  <w:footnote w:id="35">
    <w:p w14:paraId="03A6D9E7" w14:textId="47A2E98A" w:rsidR="00F62B2D" w:rsidRPr="00EF7935"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sidRPr="00EF7935">
        <w:rPr>
          <w:rFonts w:cs="Times New Roman"/>
        </w:rPr>
        <w:t xml:space="preserve"> 16(c)(2)(L).</w:t>
      </w:r>
      <w:r>
        <w:rPr>
          <w:rFonts w:cs="Times New Roman"/>
        </w:rPr>
        <w:t xml:space="preserve"> </w:t>
      </w:r>
      <w:r w:rsidRPr="003609E3">
        <w:rPr>
          <w:rFonts w:eastAsia="Times New Roman" w:cs="Times New Roman"/>
        </w:rPr>
        <w:t xml:space="preserve">In 1983, Rule 16(c)(2)(L) was added to authorize a court to </w:t>
      </w:r>
      <w:r w:rsidRPr="003609E3">
        <w:rPr>
          <w:rFonts w:cs="Times New Roman"/>
        </w:rPr>
        <w:t>“adopt [] special procedures for managing potentially difficult or protracted actions that may involve complex issues, multiple parties, difficult legal questions, or unusual proof problems.”  The provision was added to address among other complex litigation, mass-tort MDLs centralized under 28 U.S.C. § 1407.  At that time, t</w:t>
      </w:r>
      <w:r w:rsidRPr="003609E3">
        <w:rPr>
          <w:rFonts w:eastAsia="Times New Roman" w:cs="Times New Roman"/>
        </w:rPr>
        <w:t>here was a total of</w:t>
      </w:r>
      <w:r>
        <w:rPr>
          <w:rFonts w:eastAsia="Times New Roman" w:cs="Times New Roman"/>
        </w:rPr>
        <w:t xml:space="preserve"> only</w:t>
      </w:r>
      <w:r w:rsidRPr="003609E3">
        <w:rPr>
          <w:rFonts w:eastAsia="Times New Roman" w:cs="Times New Roman"/>
        </w:rPr>
        <w:t xml:space="preserve"> 2,731 </w:t>
      </w:r>
      <w:r>
        <w:rPr>
          <w:rFonts w:eastAsia="Times New Roman" w:cs="Times New Roman"/>
        </w:rPr>
        <w:t xml:space="preserve">individual </w:t>
      </w:r>
      <w:r w:rsidRPr="003609E3">
        <w:rPr>
          <w:rFonts w:eastAsia="Times New Roman" w:cs="Times New Roman"/>
        </w:rPr>
        <w:t>actions pending in all MDLs.</w:t>
      </w:r>
      <w:r w:rsidRPr="00C50E28">
        <w:rPr>
          <w:rFonts w:ascii="Century Schoolbook" w:eastAsia="Times New Roman" w:hAnsi="Century Schoolbook" w:cs="Times New Roman"/>
          <w:sz w:val="24"/>
          <w:szCs w:val="24"/>
        </w:rPr>
        <w:t xml:space="preserve">  </w:t>
      </w:r>
    </w:p>
  </w:footnote>
  <w:footnote w:id="36">
    <w:p w14:paraId="330232D5" w14:textId="77777777" w:rsidR="00F62B2D" w:rsidRPr="00C835B2" w:rsidRDefault="00F62B2D" w:rsidP="00F62B2D">
      <w:pPr>
        <w:pStyle w:val="FootnoteText"/>
        <w:jc w:val="both"/>
        <w:rPr>
          <w:rFonts w:cs="Times New Roman"/>
        </w:rPr>
      </w:pPr>
      <w:r w:rsidRPr="00C835B2">
        <w:rPr>
          <w:rStyle w:val="FootnoteReference"/>
          <w:rFonts w:cs="Times New Roman"/>
        </w:rPr>
        <w:footnoteRef/>
      </w:r>
      <w:r w:rsidRPr="00C835B2">
        <w:rPr>
          <w:rFonts w:cs="Times New Roman"/>
        </w:rPr>
        <w:t xml:space="preserve"> </w:t>
      </w:r>
      <w:r w:rsidRPr="00C835B2">
        <w:rPr>
          <w:rFonts w:cs="Times New Roman"/>
          <w:smallCaps/>
        </w:rPr>
        <w:t>Manual for Complex Litigation</w:t>
      </w:r>
      <w:r w:rsidRPr="00C835B2">
        <w:rPr>
          <w:rFonts w:cs="Times New Roman"/>
        </w:rPr>
        <w:t xml:space="preserve">, </w:t>
      </w:r>
      <w:r w:rsidRPr="00C835B2">
        <w:rPr>
          <w:rFonts w:cs="Times New Roman"/>
          <w:smallCaps/>
        </w:rPr>
        <w:t xml:space="preserve">§ 11.21; </w:t>
      </w:r>
      <w:r w:rsidRPr="00C835B2">
        <w:rPr>
          <w:rFonts w:cs="Times New Roman"/>
          <w:i/>
          <w:iCs/>
        </w:rPr>
        <w:t>see also,</w:t>
      </w:r>
      <w:r w:rsidRPr="00C835B2">
        <w:rPr>
          <w:rFonts w:cs="Times New Roman"/>
        </w:rPr>
        <w:t xml:space="preserve"> </w:t>
      </w:r>
      <w:r w:rsidRPr="00C835B2">
        <w:rPr>
          <w:rFonts w:cs="Times New Roman"/>
          <w:smallCaps/>
        </w:rPr>
        <w:t>MCL,</w:t>
      </w:r>
      <w:r w:rsidRPr="00C835B2">
        <w:rPr>
          <w:rFonts w:cs="Times New Roman"/>
        </w:rPr>
        <w:t xml:space="preserve"> § 11.21, page 36 (Fourth Edition 2004), “Federal Rule of Civil Procedure 16 authorizes the court to hold pretrial conferences in civil cases…. The initial conference launches the process of managing the litigation…. The conference is not a perfunctory exercise, and its success depends on establishing effective communication and coordination among counsel and between counsel and the court.”</w:t>
      </w:r>
      <w:r w:rsidRPr="00C835B2">
        <w:rPr>
          <w:rFonts w:cs="Times New Roman"/>
          <w:smallCaps/>
        </w:rPr>
        <w:t xml:space="preserve"> </w:t>
      </w:r>
      <w:r w:rsidRPr="00C835B2">
        <w:rPr>
          <w:rFonts w:cs="Times New Roman"/>
        </w:rPr>
        <w:t xml:space="preserve">Every mass-tort MDL court “must promptly develop case management plans and orders, updating and modifying them as the litigation unfolds…. The [pretrial] order should also take into account the proposals of counsel and encourage continuing collaboration among the counsel and the parties in the cases pending in different courts.” </w:t>
      </w:r>
      <w:r w:rsidRPr="00C835B2">
        <w:rPr>
          <w:rFonts w:cs="Times New Roman"/>
          <w:i/>
          <w:iCs/>
        </w:rPr>
        <w:t>Id</w:t>
      </w:r>
      <w:r w:rsidRPr="00C835B2">
        <w:rPr>
          <w:rFonts w:cs="Times New Roman"/>
        </w:rPr>
        <w:t>. at page 402.</w:t>
      </w:r>
    </w:p>
  </w:footnote>
  <w:footnote w:id="37">
    <w:p w14:paraId="7664ECE4"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smallCaps/>
        </w:rPr>
        <w:t>MCL,</w:t>
      </w:r>
      <w:r w:rsidRPr="00EF7935">
        <w:rPr>
          <w:rFonts w:cs="Times New Roman"/>
        </w:rPr>
        <w:t xml:space="preserve"> </w:t>
      </w:r>
      <w:r w:rsidRPr="00EF7935">
        <w:rPr>
          <w:rFonts w:cs="Times New Roman"/>
          <w:smallCaps/>
        </w:rPr>
        <w:t>§ 11.21.</w:t>
      </w:r>
      <w:r w:rsidRPr="00EF7935">
        <w:rPr>
          <w:rFonts w:cs="Times New Roman"/>
        </w:rPr>
        <w:t xml:space="preserve"> Transferee judges hold an initial pretrial conference to begin developing the case-management plan by consulting with the lawyers on an outline of case-management topics to better inform themselves about: (i) the nature and potential dimensions of the litigation; (ii) the major procedural and substantive problems likely to be encountered; and (iii) the procedures for efficient management.  </w:t>
      </w:r>
      <w:r>
        <w:rPr>
          <w:rFonts w:cs="Times New Roman"/>
        </w:rPr>
        <w:t>Rule 16.1, effective December 1, 2025, formalizes procedures at the initial-management conference.</w:t>
      </w:r>
    </w:p>
  </w:footnote>
  <w:footnote w:id="38">
    <w:p w14:paraId="18E0ED07"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MCL, </w:t>
      </w:r>
      <w:r w:rsidRPr="00EF7935">
        <w:rPr>
          <w:rFonts w:cs="Times New Roman"/>
          <w:smallCaps/>
        </w:rPr>
        <w:t xml:space="preserve">§ 11.211 </w:t>
      </w:r>
      <w:r w:rsidRPr="00EF7935">
        <w:rPr>
          <w:rFonts w:cs="Times New Roman"/>
        </w:rPr>
        <w:t>and</w:t>
      </w:r>
      <w:r w:rsidRPr="00EF7935">
        <w:rPr>
          <w:rFonts w:cs="Times New Roman"/>
          <w:smallCaps/>
        </w:rPr>
        <w:t xml:space="preserve"> § 22.61.</w:t>
      </w:r>
    </w:p>
  </w:footnote>
  <w:footnote w:id="39">
    <w:p w14:paraId="07F1E550" w14:textId="4E240970" w:rsidR="00F62B2D" w:rsidRDefault="00F62B2D" w:rsidP="00F62B2D">
      <w:pPr>
        <w:pStyle w:val="FootnoteText"/>
        <w:jc w:val="both"/>
      </w:pPr>
      <w:r>
        <w:rPr>
          <w:rStyle w:val="FootnoteReference"/>
        </w:rPr>
        <w:footnoteRef/>
      </w:r>
      <w:r>
        <w:t xml:space="preserve"> </w:t>
      </w:r>
      <w:r w:rsidR="001B7640">
        <w:rPr>
          <w:rFonts w:cs="Times New Roman"/>
        </w:rPr>
        <w:t>FED. R. CIV. P.</w:t>
      </w:r>
      <w:r w:rsidRPr="00650CCA">
        <w:rPr>
          <w:rFonts w:cs="Times New Roman"/>
        </w:rPr>
        <w:t xml:space="preserve"> 16.1, Committee Note (</w:t>
      </w:r>
      <w:r>
        <w:rPr>
          <w:rFonts w:cs="Times New Roman"/>
        </w:rPr>
        <w:t xml:space="preserve">December 1, </w:t>
      </w:r>
      <w:r w:rsidRPr="00650CCA">
        <w:rPr>
          <w:rFonts w:cs="Times New Roman"/>
        </w:rPr>
        <w:t>2025)</w:t>
      </w:r>
      <w:r>
        <w:rPr>
          <w:rFonts w:cs="Times New Roman"/>
        </w:rPr>
        <w:t xml:space="preserve">; </w:t>
      </w:r>
      <w:r w:rsidRPr="00100102">
        <w:rPr>
          <w:rFonts w:cs="Times New Roman"/>
          <w:i/>
          <w:iCs/>
        </w:rPr>
        <w:t>see also</w:t>
      </w:r>
      <w:r w:rsidRPr="00100102">
        <w:rPr>
          <w:rFonts w:cs="Times New Roman"/>
        </w:rPr>
        <w:t>. MCL, § 11.21, p</w:t>
      </w:r>
      <w:r>
        <w:rPr>
          <w:rFonts w:cs="Times New Roman"/>
        </w:rPr>
        <w:t>.</w:t>
      </w:r>
      <w:r w:rsidRPr="00100102">
        <w:rPr>
          <w:rFonts w:cs="Times New Roman"/>
        </w:rPr>
        <w:t xml:space="preserve"> 36 (Fourth Edition 2004)</w:t>
      </w:r>
      <w:r>
        <w:rPr>
          <w:rFonts w:cs="Times New Roman"/>
        </w:rPr>
        <w:t>:</w:t>
      </w:r>
      <w:r w:rsidRPr="00100102">
        <w:rPr>
          <w:rFonts w:cs="Times New Roman"/>
        </w:rPr>
        <w:t xml:space="preserve"> “The initial conference generally provides the first opportunity to meet counsel, hear their views of the factual and legal issues, and begin to structure the litigation and establish a management plan.”  </w:t>
      </w:r>
    </w:p>
  </w:footnote>
  <w:footnote w:id="40">
    <w:p w14:paraId="65F6D147" w14:textId="77777777" w:rsidR="00F62B2D" w:rsidRPr="001A28F8" w:rsidRDefault="00F62B2D" w:rsidP="00F62B2D">
      <w:pPr>
        <w:pStyle w:val="FootnoteText"/>
        <w:jc w:val="both"/>
        <w:rPr>
          <w:rFonts w:cs="Times New Roman"/>
        </w:rPr>
      </w:pPr>
      <w:r>
        <w:rPr>
          <w:rStyle w:val="FootnoteReference"/>
        </w:rPr>
        <w:footnoteRef/>
      </w:r>
      <w:r>
        <w:t xml:space="preserve"> </w:t>
      </w:r>
      <w:r>
        <w:rPr>
          <w:rFonts w:cs="Times New Roman"/>
        </w:rPr>
        <w:t xml:space="preserve">As of May 1, 2024, there were 120 MDLs out of a total of 170 </w:t>
      </w:r>
      <w:r w:rsidRPr="001A1FAF">
        <w:rPr>
          <w:rFonts w:cs="Times New Roman"/>
        </w:rPr>
        <w:t xml:space="preserve">pending </w:t>
      </w:r>
      <w:r>
        <w:rPr>
          <w:rFonts w:cs="Times New Roman"/>
        </w:rPr>
        <w:t>MDLs with 100 or fewer actions, including 46 pending MDLs with fewer than 10 actions.</w:t>
      </w:r>
    </w:p>
  </w:footnote>
  <w:footnote w:id="41">
    <w:p w14:paraId="48C778DE" w14:textId="05BBC4E9" w:rsidR="00F62B2D" w:rsidRDefault="00F62B2D" w:rsidP="00F62B2D">
      <w:pPr>
        <w:pStyle w:val="FootnoteText"/>
        <w:jc w:val="both"/>
      </w:pPr>
      <w:r>
        <w:rPr>
          <w:rStyle w:val="FootnoteReference"/>
        </w:rPr>
        <w:footnoteRef/>
      </w:r>
      <w:r>
        <w:t xml:space="preserve"> </w:t>
      </w:r>
      <w:r w:rsidR="001B7640">
        <w:rPr>
          <w:rFonts w:cs="Times New Roman"/>
        </w:rPr>
        <w:t>FED. R. CIV. P.</w:t>
      </w:r>
      <w:r w:rsidRPr="00650CCA">
        <w:rPr>
          <w:rFonts w:cs="Times New Roman"/>
        </w:rPr>
        <w:t xml:space="preserve"> 16.1, Committee Note (</w:t>
      </w:r>
      <w:r>
        <w:rPr>
          <w:rFonts w:cs="Times New Roman"/>
        </w:rPr>
        <w:t xml:space="preserve">December 1, </w:t>
      </w:r>
      <w:r w:rsidRPr="00650CCA">
        <w:rPr>
          <w:rFonts w:cs="Times New Roman"/>
        </w:rPr>
        <w:t>2025).</w:t>
      </w:r>
    </w:p>
  </w:footnote>
  <w:footnote w:id="42">
    <w:p w14:paraId="2774C1F4" w14:textId="77777777" w:rsidR="00F62B2D" w:rsidRDefault="00F62B2D" w:rsidP="00F62B2D">
      <w:pPr>
        <w:pStyle w:val="FootnoteText"/>
        <w:jc w:val="both"/>
      </w:pPr>
      <w:r>
        <w:rPr>
          <w:rStyle w:val="FootnoteReference"/>
        </w:rPr>
        <w:footnoteRef/>
      </w:r>
      <w:r>
        <w:t xml:space="preserve"> </w:t>
      </w:r>
      <w:r w:rsidRPr="001D517A">
        <w:rPr>
          <w:rFonts w:cs="Times New Roman"/>
        </w:rPr>
        <w:t>Committee Note to proposed Rule 16.1 published for public comment</w:t>
      </w:r>
      <w:r>
        <w:rPr>
          <w:rFonts w:cs="Times New Roman"/>
        </w:rPr>
        <w:t xml:space="preserve"> in</w:t>
      </w:r>
      <w:r w:rsidRPr="001D517A">
        <w:rPr>
          <w:rFonts w:cs="Times New Roman"/>
        </w:rPr>
        <w:t xml:space="preserve"> August 2023</w:t>
      </w:r>
      <w:r>
        <w:rPr>
          <w:rFonts w:cs="Times New Roman"/>
        </w:rPr>
        <w:t xml:space="preserve"> but withdrawn from the final version</w:t>
      </w:r>
      <w:r w:rsidRPr="001D517A">
        <w:rPr>
          <w:rFonts w:cs="Times New Roman"/>
        </w:rPr>
        <w:t>.</w:t>
      </w:r>
    </w:p>
  </w:footnote>
  <w:footnote w:id="43">
    <w:p w14:paraId="4541774C" w14:textId="68A2448D" w:rsidR="00F62B2D" w:rsidRPr="00EF7935" w:rsidRDefault="00F62B2D" w:rsidP="00F62B2D">
      <w:pPr>
        <w:pStyle w:val="FootnoteText"/>
        <w:rPr>
          <w:rFonts w:cs="Times New Roman"/>
        </w:rPr>
      </w:pPr>
      <w:r w:rsidRPr="00EF7935">
        <w:rPr>
          <w:rStyle w:val="FootnoteReference"/>
          <w:rFonts w:cs="Times New Roman"/>
        </w:rPr>
        <w:footnoteRef/>
      </w:r>
      <w:r w:rsidRPr="00EF7935">
        <w:rPr>
          <w:rFonts w:cs="Times New Roman"/>
        </w:rPr>
        <w:t xml:space="preserve"> </w:t>
      </w:r>
      <w:r w:rsidR="001B7640">
        <w:rPr>
          <w:rFonts w:cs="Times New Roman"/>
        </w:rPr>
        <w:t>FED. R. CIV. P.</w:t>
      </w:r>
      <w:r w:rsidRPr="00EF7935">
        <w:rPr>
          <w:rFonts w:cs="Times New Roman"/>
        </w:rPr>
        <w:t xml:space="preserve"> 16.1(a) </w:t>
      </w:r>
      <w:r>
        <w:rPr>
          <w:rFonts w:cs="Times New Roman"/>
        </w:rPr>
        <w:t>(December 1, 2025).</w:t>
      </w:r>
    </w:p>
  </w:footnote>
  <w:footnote w:id="44">
    <w:p w14:paraId="7B8A6749" w14:textId="36FEC88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001B7640">
        <w:rPr>
          <w:rFonts w:cs="Times New Roman"/>
        </w:rPr>
        <w:t>FED. R. CIV. P.</w:t>
      </w:r>
      <w:r w:rsidRPr="00EF7935">
        <w:rPr>
          <w:rFonts w:cs="Times New Roman"/>
        </w:rPr>
        <w:t xml:space="preserve"> 16.1(</w:t>
      </w:r>
      <w:r>
        <w:rPr>
          <w:rFonts w:cs="Times New Roman"/>
        </w:rPr>
        <w:t>c</w:t>
      </w:r>
      <w:r w:rsidRPr="00EF7935">
        <w:rPr>
          <w:rFonts w:cs="Times New Roman"/>
        </w:rPr>
        <w:t xml:space="preserve">) </w:t>
      </w:r>
      <w:r>
        <w:rPr>
          <w:rFonts w:cs="Times New Roman"/>
        </w:rPr>
        <w:t>(December 1, 2025).</w:t>
      </w:r>
    </w:p>
  </w:footnote>
  <w:footnote w:id="45">
    <w:p w14:paraId="07A96312" w14:textId="6008EE52" w:rsidR="00F62B2D" w:rsidRPr="00426ABF"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sidRPr="00650CCA">
        <w:rPr>
          <w:rFonts w:cs="Times New Roman"/>
        </w:rPr>
        <w:t xml:space="preserve"> 16.1, Committee Note (</w:t>
      </w:r>
      <w:r>
        <w:rPr>
          <w:rFonts w:cs="Times New Roman"/>
        </w:rPr>
        <w:t xml:space="preserve">December 1, </w:t>
      </w:r>
      <w:r w:rsidRPr="00650CCA">
        <w:rPr>
          <w:rFonts w:cs="Times New Roman"/>
        </w:rPr>
        <w:t>2025)</w:t>
      </w:r>
      <w:r>
        <w:rPr>
          <w:rFonts w:cs="Times New Roman"/>
        </w:rPr>
        <w:t xml:space="preserve"> (“Rule 16.1 (a) recognizes that the transferee judge regularly schedules an initial management conference </w:t>
      </w:r>
      <w:r w:rsidRPr="00BA21F8">
        <w:rPr>
          <w:rFonts w:cs="Times New Roman"/>
          <w:i/>
          <w:iCs/>
        </w:rPr>
        <w:t>soon</w:t>
      </w:r>
      <w:r>
        <w:rPr>
          <w:rFonts w:cs="Times New Roman"/>
        </w:rPr>
        <w:t xml:space="preserve"> after the Judicial Panel transfer occurs” (emphasis added).)</w:t>
      </w:r>
    </w:p>
  </w:footnote>
  <w:footnote w:id="46">
    <w:p w14:paraId="084A4D49" w14:textId="77777777" w:rsidR="00F62B2D" w:rsidRDefault="00F62B2D" w:rsidP="00F62B2D">
      <w:pPr>
        <w:pStyle w:val="FootnoteText"/>
        <w:jc w:val="both"/>
      </w:pPr>
      <w:r>
        <w:rPr>
          <w:rStyle w:val="FootnoteReference"/>
        </w:rPr>
        <w:footnoteRef/>
      </w:r>
      <w:r>
        <w:t xml:space="preserve"> </w:t>
      </w:r>
      <w:r w:rsidRPr="00B06EA5">
        <w:rPr>
          <w:rFonts w:cs="Times New Roman"/>
          <w:i/>
          <w:iCs/>
        </w:rPr>
        <w:t>See</w:t>
      </w:r>
      <w:r>
        <w:t xml:space="preserve">, </w:t>
      </w:r>
      <w:r w:rsidRPr="00B06EA5">
        <w:rPr>
          <w:rFonts w:cs="Times New Roman"/>
          <w:i/>
          <w:iCs/>
        </w:rPr>
        <w:t>Vioxx</w:t>
      </w:r>
      <w:r w:rsidRPr="00B06EA5">
        <w:rPr>
          <w:rFonts w:cs="Times New Roman"/>
        </w:rPr>
        <w:t xml:space="preserve">, MDL No. 1657; </w:t>
      </w:r>
      <w:r w:rsidRPr="00B06EA5">
        <w:rPr>
          <w:rFonts w:cs="Times New Roman"/>
          <w:i/>
          <w:iCs/>
        </w:rPr>
        <w:t>Avandia</w:t>
      </w:r>
      <w:r w:rsidRPr="00B06EA5">
        <w:rPr>
          <w:rFonts w:cs="Times New Roman"/>
        </w:rPr>
        <w:t xml:space="preserve">, MDL No. 1871; </w:t>
      </w:r>
      <w:r w:rsidRPr="00B06EA5">
        <w:rPr>
          <w:rFonts w:cs="Times New Roman"/>
          <w:i/>
          <w:iCs/>
        </w:rPr>
        <w:t>Zoloft</w:t>
      </w:r>
      <w:r w:rsidRPr="00B06EA5">
        <w:rPr>
          <w:rFonts w:cs="Times New Roman"/>
        </w:rPr>
        <w:t xml:space="preserve">, MDL No. 2342; </w:t>
      </w:r>
      <w:r w:rsidRPr="00B06EA5">
        <w:rPr>
          <w:rFonts w:cs="Times New Roman"/>
          <w:i/>
          <w:iCs/>
        </w:rPr>
        <w:t>Syngenta</w:t>
      </w:r>
      <w:r w:rsidRPr="00B06EA5">
        <w:rPr>
          <w:rFonts w:cs="Times New Roman"/>
        </w:rPr>
        <w:t xml:space="preserve">, MDL No. 2591 (referring other sections of the MCL); </w:t>
      </w:r>
      <w:r w:rsidRPr="00B06EA5">
        <w:rPr>
          <w:rFonts w:cs="Times New Roman"/>
          <w:i/>
          <w:iCs/>
        </w:rPr>
        <w:t>Xarelto</w:t>
      </w:r>
      <w:r w:rsidRPr="00B06EA5">
        <w:rPr>
          <w:rFonts w:cs="Times New Roman"/>
        </w:rPr>
        <w:t>, MDL No. 2592</w:t>
      </w:r>
      <w:r w:rsidRPr="00B06EA5">
        <w:rPr>
          <w:rFonts w:cs="Times New Roman"/>
          <w:i/>
          <w:iCs/>
        </w:rPr>
        <w:t>; Proton Pump</w:t>
      </w:r>
      <w:r w:rsidRPr="00B06EA5">
        <w:rPr>
          <w:rFonts w:cs="Times New Roman"/>
        </w:rPr>
        <w:t xml:space="preserve">, MDL No. 2789; </w:t>
      </w:r>
      <w:r w:rsidRPr="00B06EA5">
        <w:rPr>
          <w:rFonts w:cs="Times New Roman"/>
          <w:i/>
          <w:iCs/>
        </w:rPr>
        <w:t>Zantac</w:t>
      </w:r>
      <w:r w:rsidRPr="00B06EA5">
        <w:rPr>
          <w:rFonts w:cs="Times New Roman"/>
        </w:rPr>
        <w:t xml:space="preserve">, MDL No. 2924; </w:t>
      </w:r>
      <w:r w:rsidRPr="00B06EA5">
        <w:rPr>
          <w:rFonts w:cs="Times New Roman"/>
          <w:i/>
          <w:iCs/>
        </w:rPr>
        <w:t>Elmiron</w:t>
      </w:r>
      <w:r w:rsidRPr="00B06EA5">
        <w:rPr>
          <w:rFonts w:cs="Times New Roman"/>
        </w:rPr>
        <w:t xml:space="preserve">, MDL No. 2973; </w:t>
      </w:r>
      <w:r w:rsidRPr="00B06EA5">
        <w:rPr>
          <w:rFonts w:cs="Times New Roman"/>
          <w:i/>
          <w:iCs/>
        </w:rPr>
        <w:t>Paraquat</w:t>
      </w:r>
      <w:r w:rsidRPr="00B06EA5">
        <w:rPr>
          <w:rFonts w:cs="Times New Roman"/>
        </w:rPr>
        <w:t xml:space="preserve">, MDL No. 3004; </w:t>
      </w:r>
      <w:r w:rsidRPr="00B06EA5">
        <w:rPr>
          <w:rFonts w:cs="Times New Roman"/>
          <w:i/>
          <w:iCs/>
        </w:rPr>
        <w:t>Tasignia</w:t>
      </w:r>
      <w:r w:rsidRPr="00B06EA5">
        <w:rPr>
          <w:rFonts w:cs="Times New Roman"/>
        </w:rPr>
        <w:t xml:space="preserve">, MDL No. 3006; and </w:t>
      </w:r>
      <w:r w:rsidRPr="00B06EA5">
        <w:rPr>
          <w:rFonts w:cs="Times New Roman"/>
          <w:i/>
          <w:iCs/>
        </w:rPr>
        <w:t>Taxotere</w:t>
      </w:r>
      <w:r w:rsidRPr="00B06EA5">
        <w:rPr>
          <w:rFonts w:cs="Times New Roman"/>
        </w:rPr>
        <w:t>, MDL No. 3023.</w:t>
      </w:r>
    </w:p>
  </w:footnote>
  <w:footnote w:id="47">
    <w:p w14:paraId="25838F49" w14:textId="77777777" w:rsidR="00F62B2D" w:rsidRPr="00373723" w:rsidRDefault="00F62B2D" w:rsidP="00F62B2D">
      <w:pPr>
        <w:pStyle w:val="FootnoteText"/>
        <w:jc w:val="both"/>
        <w:rPr>
          <w:rFonts w:cs="Times New Roman"/>
        </w:rPr>
      </w:pPr>
      <w:r w:rsidRPr="00DA5D62">
        <w:rPr>
          <w:rStyle w:val="FootnoteReference"/>
          <w:rFonts w:ascii="Century Schoolbook" w:hAnsi="Century Schoolbook"/>
        </w:rPr>
        <w:footnoteRef/>
      </w:r>
      <w:r w:rsidRPr="00DA5D62">
        <w:rPr>
          <w:rFonts w:ascii="Century Schoolbook" w:hAnsi="Century Schoolbook"/>
        </w:rPr>
        <w:t xml:space="preserve"> “</w:t>
      </w:r>
      <w:r w:rsidRPr="00373723">
        <w:rPr>
          <w:rFonts w:cs="Times New Roman"/>
        </w:rPr>
        <w:t xml:space="preserve">The initial conference generally provides the first opportunity to meet counsel, hear their views of the factual and legal issues, and begin to structure the litigation and establish a management plan.”  MCL, </w:t>
      </w:r>
      <w:bookmarkStart w:id="6" w:name="_Hlk111878337"/>
      <w:r w:rsidRPr="00373723">
        <w:rPr>
          <w:rFonts w:cs="Times New Roman"/>
        </w:rPr>
        <w:t xml:space="preserve">§ 11.21, </w:t>
      </w:r>
      <w:bookmarkEnd w:id="6"/>
      <w:r w:rsidRPr="00373723">
        <w:rPr>
          <w:rFonts w:cs="Times New Roman"/>
        </w:rPr>
        <w:t>page 36 (Fourth Edition 2004).</w:t>
      </w:r>
    </w:p>
  </w:footnote>
  <w:footnote w:id="48">
    <w:p w14:paraId="431CABFA" w14:textId="77777777" w:rsidR="00F62B2D" w:rsidRPr="0046328A" w:rsidRDefault="00F62B2D" w:rsidP="00F62B2D">
      <w:pPr>
        <w:jc w:val="both"/>
        <w:rPr>
          <w:rFonts w:cs="Times New Roman"/>
        </w:rPr>
      </w:pPr>
      <w:r w:rsidRPr="00373723">
        <w:rPr>
          <w:rStyle w:val="FootnoteReference"/>
          <w:rFonts w:cs="Times New Roman"/>
          <w:sz w:val="20"/>
          <w:szCs w:val="20"/>
        </w:rPr>
        <w:footnoteRef/>
      </w:r>
      <w:r w:rsidRPr="00373723">
        <w:rPr>
          <w:rFonts w:cs="Times New Roman"/>
          <w:sz w:val="20"/>
          <w:szCs w:val="20"/>
        </w:rPr>
        <w:t xml:space="preserve"> </w:t>
      </w:r>
      <w:r w:rsidRPr="00373723">
        <w:rPr>
          <w:rFonts w:cs="Times New Roman"/>
          <w:i/>
          <w:iCs/>
          <w:sz w:val="20"/>
          <w:szCs w:val="20"/>
        </w:rPr>
        <w:t>See</w:t>
      </w:r>
      <w:r w:rsidRPr="00373723">
        <w:rPr>
          <w:rFonts w:cs="Times New Roman"/>
          <w:sz w:val="20"/>
          <w:szCs w:val="20"/>
        </w:rPr>
        <w:t xml:space="preserve">, for example, Pretrial Order # 1, </w:t>
      </w:r>
      <w:r w:rsidRPr="00373723">
        <w:rPr>
          <w:rFonts w:cs="Times New Roman"/>
          <w:i/>
          <w:iCs/>
          <w:sz w:val="20"/>
          <w:szCs w:val="20"/>
        </w:rPr>
        <w:t>In re: Juuls Labs. Inc</w:t>
      </w:r>
      <w:r w:rsidRPr="00373723">
        <w:rPr>
          <w:rFonts w:cs="Times New Roman"/>
          <w:sz w:val="20"/>
          <w:szCs w:val="20"/>
        </w:rPr>
        <w:t xml:space="preserve">., MDL No. 2913 (October 2, 2019), </w:t>
      </w:r>
      <w:r w:rsidRPr="00373723">
        <w:rPr>
          <w:rFonts w:cs="Times New Roman"/>
          <w:i/>
          <w:iCs/>
          <w:sz w:val="20"/>
          <w:szCs w:val="20"/>
        </w:rPr>
        <w:t>see also</w:t>
      </w:r>
      <w:r w:rsidRPr="00373723">
        <w:rPr>
          <w:rFonts w:cs="Times New Roman"/>
          <w:sz w:val="20"/>
          <w:szCs w:val="20"/>
        </w:rPr>
        <w:t xml:space="preserve"> t</w:t>
      </w:r>
      <w:r w:rsidRPr="00373723">
        <w:rPr>
          <w:rFonts w:eastAsia="Times New Roman" w:cs="Times New Roman"/>
          <w:sz w:val="20"/>
          <w:szCs w:val="20"/>
        </w:rPr>
        <w:t xml:space="preserve">he original </w:t>
      </w:r>
      <w:r w:rsidRPr="00373723">
        <w:rPr>
          <w:rFonts w:eastAsia="Times New Roman" w:cs="Times New Roman"/>
          <w:smallCaps/>
          <w:sz w:val="20"/>
          <w:szCs w:val="20"/>
        </w:rPr>
        <w:t>Manual for Complex Litigation</w:t>
      </w:r>
      <w:r w:rsidRPr="00373723">
        <w:rPr>
          <w:rFonts w:eastAsia="Times New Roman" w:cs="Times New Roman"/>
          <w:sz w:val="20"/>
          <w:szCs w:val="20"/>
        </w:rPr>
        <w:t xml:space="preserve"> (1969), which included a section providing “extensive guidance” (referred to in the 1983 Committee Note to Rule 16(c)(2)(L)) on special procedures to be considered at an initial conference in all</w:t>
      </w:r>
      <w:r w:rsidRPr="00B06EA5">
        <w:rPr>
          <w:rFonts w:eastAsia="Times New Roman" w:cs="Times New Roman"/>
          <w:sz w:val="20"/>
          <w:szCs w:val="20"/>
        </w:rPr>
        <w:t xml:space="preserve"> complex litigation (§ 21.2 in the Third Edition (1995) and §11.2 in the Fourth Edition (2004)).  The Third Edition (1995) added a new § 33.2 (27 pages) specifically addressing mass torts, which described an extensive list of topics that was discussed at the initial conference in the </w:t>
      </w:r>
      <w:r w:rsidRPr="00B06EA5">
        <w:rPr>
          <w:rFonts w:eastAsia="Times New Roman" w:cs="Times New Roman"/>
          <w:i/>
          <w:iCs/>
          <w:sz w:val="20"/>
          <w:szCs w:val="20"/>
        </w:rPr>
        <w:t>Breast Silicone Gel</w:t>
      </w:r>
      <w:r w:rsidRPr="00B06EA5">
        <w:rPr>
          <w:rFonts w:eastAsia="Times New Roman" w:cs="Times New Roman"/>
          <w:sz w:val="20"/>
          <w:szCs w:val="20"/>
        </w:rPr>
        <w:t xml:space="preserve"> MDL, No. 926 (1992). The </w:t>
      </w:r>
      <w:r w:rsidRPr="00B06EA5">
        <w:rPr>
          <w:rFonts w:eastAsia="Times New Roman" w:cs="Times New Roman"/>
          <w:i/>
          <w:iCs/>
          <w:sz w:val="20"/>
          <w:szCs w:val="20"/>
        </w:rPr>
        <w:t xml:space="preserve">MCL </w:t>
      </w:r>
      <w:r w:rsidRPr="00B06EA5">
        <w:rPr>
          <w:rFonts w:eastAsia="Times New Roman" w:cs="Times New Roman"/>
          <w:sz w:val="20"/>
          <w:szCs w:val="20"/>
        </w:rPr>
        <w:t xml:space="preserve">Fourth Edition expanded the mass-tort sections to 128 pages, but in so doing, the Fourth Edition substantially truncated and renumbered the section dealing with agenda topics for the initial conference (currently § 22.6).  The pretrial orders in most mass-tort MDLs from at least 2002 have used the same language scheduling an initial conference at which the parties are to address an agenda of topics based on sections in the </w:t>
      </w:r>
      <w:r w:rsidRPr="00B06EA5">
        <w:rPr>
          <w:rFonts w:eastAsia="Times New Roman" w:cs="Times New Roman"/>
          <w:i/>
          <w:iCs/>
          <w:sz w:val="20"/>
          <w:szCs w:val="20"/>
        </w:rPr>
        <w:t>MCL</w:t>
      </w:r>
      <w:r w:rsidRPr="00B06EA5">
        <w:rPr>
          <w:rFonts w:eastAsia="Times New Roman" w:cs="Times New Roman"/>
          <w:sz w:val="20"/>
          <w:szCs w:val="20"/>
        </w:rPr>
        <w:t xml:space="preserve">.  Pretrial orders in mass-tort MDLs before 2005 referred to agenda topics described in § 21.2 of the Third Edition, which addressed all complex litigation.  </w:t>
      </w:r>
      <w:r w:rsidRPr="00B06EA5">
        <w:rPr>
          <w:rFonts w:eastAsia="Times New Roman" w:cs="Times New Roman"/>
          <w:i/>
          <w:iCs/>
          <w:sz w:val="20"/>
          <w:szCs w:val="20"/>
        </w:rPr>
        <w:t>See</w:t>
      </w:r>
      <w:r w:rsidRPr="00B06EA5">
        <w:rPr>
          <w:rFonts w:eastAsia="Times New Roman" w:cs="Times New Roman"/>
          <w:sz w:val="20"/>
          <w:szCs w:val="20"/>
        </w:rPr>
        <w:t xml:space="preserve">, </w:t>
      </w:r>
      <w:r w:rsidRPr="000F7489">
        <w:rPr>
          <w:rFonts w:eastAsia="Times New Roman" w:cs="Times New Roman"/>
          <w:i/>
          <w:iCs/>
          <w:sz w:val="20"/>
          <w:szCs w:val="20"/>
        </w:rPr>
        <w:t>e.g</w:t>
      </w:r>
      <w:r w:rsidRPr="00B06EA5">
        <w:rPr>
          <w:rFonts w:eastAsia="Times New Roman" w:cs="Times New Roman"/>
          <w:sz w:val="20"/>
          <w:szCs w:val="20"/>
        </w:rPr>
        <w:t xml:space="preserve">., </w:t>
      </w:r>
      <w:r w:rsidRPr="00B06EA5">
        <w:rPr>
          <w:rFonts w:eastAsia="Times New Roman" w:cs="Times New Roman"/>
          <w:i/>
          <w:iCs/>
          <w:sz w:val="20"/>
          <w:szCs w:val="20"/>
        </w:rPr>
        <w:t>Baycol</w:t>
      </w:r>
      <w:r w:rsidRPr="00B06EA5">
        <w:rPr>
          <w:rFonts w:eastAsia="Times New Roman" w:cs="Times New Roman"/>
          <w:sz w:val="20"/>
          <w:szCs w:val="20"/>
        </w:rPr>
        <w:t xml:space="preserve"> MDL No. 1431 (2002); </w:t>
      </w:r>
      <w:r w:rsidRPr="00B06EA5">
        <w:rPr>
          <w:rFonts w:eastAsia="Times New Roman" w:cs="Times New Roman"/>
          <w:i/>
          <w:iCs/>
          <w:sz w:val="20"/>
          <w:szCs w:val="20"/>
        </w:rPr>
        <w:t>see also</w:t>
      </w:r>
      <w:r w:rsidRPr="00B06EA5">
        <w:rPr>
          <w:rFonts w:eastAsia="Times New Roman" w:cs="Times New Roman"/>
          <w:sz w:val="20"/>
          <w:szCs w:val="20"/>
        </w:rPr>
        <w:t xml:space="preserve"> </w:t>
      </w:r>
      <w:r w:rsidRPr="00B06EA5">
        <w:rPr>
          <w:rFonts w:eastAsia="Times New Roman" w:cs="Times New Roman"/>
          <w:i/>
          <w:iCs/>
          <w:sz w:val="20"/>
          <w:szCs w:val="20"/>
        </w:rPr>
        <w:t>In Re Propulsid</w:t>
      </w:r>
      <w:r w:rsidRPr="00B06EA5">
        <w:rPr>
          <w:rFonts w:eastAsia="Times New Roman" w:cs="Times New Roman"/>
          <w:sz w:val="20"/>
          <w:szCs w:val="20"/>
        </w:rPr>
        <w:t xml:space="preserve"> MDL No. 1355 (2000). After 2004, mass-tort MDL pretrial orders began referring to agenda topics described in § 26.2 in the Fourth Edition, which addressed mass torts.   The pretrial order in </w:t>
      </w:r>
      <w:r w:rsidRPr="00B06EA5">
        <w:rPr>
          <w:rFonts w:eastAsia="Times New Roman" w:cs="Times New Roman"/>
          <w:i/>
          <w:iCs/>
          <w:sz w:val="20"/>
          <w:szCs w:val="20"/>
        </w:rPr>
        <w:t>Syngenta</w:t>
      </w:r>
      <w:r w:rsidRPr="00B06EA5">
        <w:rPr>
          <w:rFonts w:eastAsia="Times New Roman" w:cs="Times New Roman"/>
          <w:sz w:val="20"/>
          <w:szCs w:val="20"/>
        </w:rPr>
        <w:t xml:space="preserve"> (MDL No. 2591) is an exception.  It cites the § 11.2 section, which applies to all complex litigation, instead of § 22.6, which applies to mass-torts.   The </w:t>
      </w:r>
      <w:r w:rsidRPr="00B06EA5">
        <w:rPr>
          <w:rFonts w:eastAsia="Times New Roman" w:cs="Times New Roman"/>
          <w:i/>
          <w:iCs/>
          <w:sz w:val="20"/>
          <w:szCs w:val="20"/>
        </w:rPr>
        <w:t>Syngenta</w:t>
      </w:r>
      <w:r w:rsidRPr="00B06EA5">
        <w:rPr>
          <w:rFonts w:eastAsia="Times New Roman" w:cs="Times New Roman"/>
          <w:sz w:val="20"/>
          <w:szCs w:val="20"/>
        </w:rPr>
        <w:t xml:space="preserve"> exception raises the question whether the appropriate </w:t>
      </w:r>
      <w:r w:rsidRPr="00B06EA5">
        <w:rPr>
          <w:rFonts w:eastAsia="Times New Roman" w:cs="Times New Roman"/>
          <w:i/>
          <w:iCs/>
          <w:sz w:val="20"/>
          <w:szCs w:val="20"/>
        </w:rPr>
        <w:t xml:space="preserve">MCL </w:t>
      </w:r>
      <w:r w:rsidRPr="00B06EA5">
        <w:rPr>
          <w:rFonts w:eastAsia="Times New Roman" w:cs="Times New Roman"/>
          <w:sz w:val="20"/>
          <w:szCs w:val="20"/>
        </w:rPr>
        <w:t xml:space="preserve">sections describing the initial conference agenda topics should be those sections applying to all complex litigation (§11.2 Fourth Edition) or to mass torts (§ 26.2 Fourth Edition) or to some hybrid alternative. At the time that the mass-tort MDL pretrial orders first began to switch their references from the </w:t>
      </w:r>
      <w:r w:rsidRPr="00B06EA5">
        <w:rPr>
          <w:rFonts w:eastAsia="Times New Roman" w:cs="Times New Roman"/>
          <w:i/>
          <w:iCs/>
          <w:sz w:val="20"/>
          <w:szCs w:val="20"/>
        </w:rPr>
        <w:t xml:space="preserve">MCL </w:t>
      </w:r>
      <w:r w:rsidRPr="00B06EA5">
        <w:rPr>
          <w:rFonts w:eastAsia="Times New Roman" w:cs="Times New Roman"/>
          <w:sz w:val="20"/>
          <w:szCs w:val="20"/>
        </w:rPr>
        <w:t>general complex litigation sections to the mass-tort sections (</w:t>
      </w:r>
      <w:r w:rsidRPr="00B06EA5">
        <w:rPr>
          <w:rFonts w:eastAsia="Times New Roman" w:cs="Times New Roman"/>
          <w:i/>
          <w:iCs/>
          <w:sz w:val="20"/>
          <w:szCs w:val="20"/>
        </w:rPr>
        <w:t>see</w:t>
      </w:r>
      <w:r w:rsidRPr="00B06EA5">
        <w:rPr>
          <w:rFonts w:eastAsia="Times New Roman" w:cs="Times New Roman"/>
          <w:sz w:val="20"/>
          <w:szCs w:val="20"/>
        </w:rPr>
        <w:t xml:space="preserve"> </w:t>
      </w:r>
      <w:r w:rsidRPr="00B06EA5">
        <w:rPr>
          <w:rFonts w:eastAsia="Times New Roman" w:cs="Times New Roman"/>
          <w:i/>
          <w:iCs/>
          <w:sz w:val="20"/>
          <w:szCs w:val="20"/>
        </w:rPr>
        <w:t>Vioxx</w:t>
      </w:r>
      <w:r w:rsidRPr="00B06EA5">
        <w:rPr>
          <w:rFonts w:eastAsia="Times New Roman" w:cs="Times New Roman"/>
          <w:sz w:val="20"/>
          <w:szCs w:val="20"/>
        </w:rPr>
        <w:t xml:space="preserve"> MDL pretrial order MDL No. 1657 (2005)), the bench and bar was just becoming aware of the Fourth Edition.  There may have been confusion with those pretrial mass-tort MDL orders, which may have based their agenda of topics on an assumption that the extensive list of agenda topics described in the </w:t>
      </w:r>
      <w:r w:rsidRPr="00B06EA5">
        <w:rPr>
          <w:rFonts w:eastAsia="Times New Roman" w:cs="Times New Roman"/>
          <w:i/>
          <w:iCs/>
          <w:sz w:val="20"/>
          <w:szCs w:val="20"/>
        </w:rPr>
        <w:t>Breast Silicone Gel MDL</w:t>
      </w:r>
      <w:r w:rsidRPr="00B06EA5">
        <w:rPr>
          <w:rFonts w:eastAsia="Times New Roman" w:cs="Times New Roman"/>
          <w:sz w:val="20"/>
          <w:szCs w:val="20"/>
        </w:rPr>
        <w:t xml:space="preserve"> had been retained, and not truncated, in the revised Fourth Edition mass-tort sections. </w:t>
      </w:r>
      <w:r w:rsidRPr="00B06EA5">
        <w:rPr>
          <w:rFonts w:eastAsia="Times New Roman" w:cs="Times New Roman"/>
          <w:i/>
          <w:iCs/>
          <w:sz w:val="20"/>
          <w:szCs w:val="20"/>
        </w:rPr>
        <w:t>See also Phillips Recalled CPAP, Bi-Level PAP, and Mechanical Ventilator Prod. Liab</w:t>
      </w:r>
      <w:r w:rsidRPr="00B06EA5">
        <w:rPr>
          <w:rFonts w:eastAsia="Times New Roman" w:cs="Times New Roman"/>
          <w:sz w:val="20"/>
          <w:szCs w:val="20"/>
        </w:rPr>
        <w:t xml:space="preserve">. MDL No. 3014 (2021), which listed the specific topics to be addressed at the initial conference without reference to the sections in the </w:t>
      </w:r>
      <w:r w:rsidRPr="00A202CF">
        <w:rPr>
          <w:rFonts w:eastAsia="Times New Roman" w:cs="Times New Roman"/>
          <w:smallCaps/>
          <w:sz w:val="20"/>
          <w:szCs w:val="20"/>
        </w:rPr>
        <w:t>Manual for Complex Litigation</w:t>
      </w:r>
      <w:r w:rsidRPr="00B06EA5">
        <w:rPr>
          <w:rFonts w:eastAsia="Times New Roman" w:cs="Times New Roman"/>
          <w:sz w:val="20"/>
          <w:szCs w:val="20"/>
        </w:rPr>
        <w:t xml:space="preserve">. </w:t>
      </w:r>
    </w:p>
  </w:footnote>
  <w:footnote w:id="49">
    <w:p w14:paraId="3DFE6219" w14:textId="43E3111A" w:rsidR="00F62B2D" w:rsidRDefault="00F62B2D" w:rsidP="00F62B2D">
      <w:pPr>
        <w:pStyle w:val="FootnoteText"/>
        <w:jc w:val="both"/>
      </w:pPr>
      <w:r>
        <w:rPr>
          <w:rStyle w:val="FootnoteReference"/>
        </w:rPr>
        <w:footnoteRef/>
      </w:r>
      <w:r>
        <w:t xml:space="preserve"> </w:t>
      </w:r>
      <w:r w:rsidR="001B7640">
        <w:rPr>
          <w:rFonts w:cs="Times New Roman"/>
        </w:rPr>
        <w:t>FED. R. CIV. P.</w:t>
      </w:r>
      <w:r w:rsidRPr="00EF7935">
        <w:rPr>
          <w:rFonts w:cs="Times New Roman"/>
        </w:rPr>
        <w:t xml:space="preserve"> 16.1(c)</w:t>
      </w:r>
      <w:r>
        <w:rPr>
          <w:rFonts w:cs="Times New Roman"/>
        </w:rPr>
        <w:t xml:space="preserve"> (December 1, 2025).</w:t>
      </w:r>
    </w:p>
  </w:footnote>
  <w:footnote w:id="50">
    <w:p w14:paraId="63062F79" w14:textId="0CDAF881" w:rsidR="00F62B2D" w:rsidRPr="00FB0283" w:rsidRDefault="00F62B2D" w:rsidP="00F62B2D">
      <w:pPr>
        <w:pStyle w:val="FootnoteText"/>
        <w:jc w:val="both"/>
        <w:rPr>
          <w:rFonts w:cs="Times New Roman"/>
        </w:rPr>
      </w:pPr>
      <w:r w:rsidRPr="00FB0283">
        <w:rPr>
          <w:rStyle w:val="FootnoteReference"/>
          <w:rFonts w:cs="Times New Roman"/>
        </w:rPr>
        <w:footnoteRef/>
      </w:r>
      <w:r w:rsidRPr="00FB0283">
        <w:rPr>
          <w:rFonts w:cs="Times New Roman"/>
        </w:rPr>
        <w:t xml:space="preserve"> </w:t>
      </w:r>
      <w:r w:rsidR="001B7640">
        <w:rPr>
          <w:rFonts w:cs="Times New Roman"/>
        </w:rPr>
        <w:t>FED. R. CIV. P.</w:t>
      </w:r>
      <w:r w:rsidRPr="00FB0283">
        <w:rPr>
          <w:rFonts w:cs="Times New Roman"/>
        </w:rPr>
        <w:t xml:space="preserve"> 16.1</w:t>
      </w:r>
      <w:r>
        <w:rPr>
          <w:rFonts w:cs="Times New Roman"/>
        </w:rPr>
        <w:t>(c) (December 1, 2025).</w:t>
      </w:r>
    </w:p>
  </w:footnote>
  <w:footnote w:id="51">
    <w:p w14:paraId="7F581F5A" w14:textId="77777777" w:rsidR="00F62B2D" w:rsidRDefault="00F62B2D" w:rsidP="00F62B2D">
      <w:pPr>
        <w:jc w:val="both"/>
      </w:pPr>
      <w:r>
        <w:rPr>
          <w:rStyle w:val="FootnoteReference"/>
        </w:rPr>
        <w:footnoteRef/>
      </w:r>
      <w:r>
        <w:t xml:space="preserve"> </w:t>
      </w:r>
      <w:r w:rsidRPr="001A52BA">
        <w:rPr>
          <w:rFonts w:cs="Times New Roman"/>
          <w:sz w:val="20"/>
          <w:szCs w:val="20"/>
        </w:rPr>
        <w:t>MDL courts have used various methods</w:t>
      </w:r>
      <w:r>
        <w:rPr>
          <w:rFonts w:cs="Times New Roman"/>
          <w:sz w:val="20"/>
          <w:szCs w:val="20"/>
        </w:rPr>
        <w:t>.</w:t>
      </w:r>
      <w:r w:rsidRPr="001A52BA">
        <w:rPr>
          <w:rFonts w:cs="Times New Roman"/>
          <w:sz w:val="20"/>
          <w:szCs w:val="20"/>
        </w:rPr>
        <w:t xml:space="preserve">  Each method has advantages and drawbacks. Each has its proponents and detractors. Reserving this decision for the MDL court, preserves the overall preference against a one-size-fits-all solution.  Although </w:t>
      </w:r>
      <w:r>
        <w:rPr>
          <w:rFonts w:cs="Times New Roman"/>
          <w:sz w:val="20"/>
          <w:szCs w:val="20"/>
        </w:rPr>
        <w:t>the rule</w:t>
      </w:r>
      <w:r w:rsidRPr="001A52BA">
        <w:rPr>
          <w:rFonts w:cs="Times New Roman"/>
          <w:sz w:val="20"/>
          <w:szCs w:val="20"/>
        </w:rPr>
        <w:t xml:space="preserve"> takes no position on which method is best, </w:t>
      </w:r>
      <w:r>
        <w:rPr>
          <w:rFonts w:cs="Times New Roman"/>
          <w:sz w:val="20"/>
          <w:szCs w:val="20"/>
        </w:rPr>
        <w:t>there is a</w:t>
      </w:r>
      <w:r w:rsidRPr="001A52BA">
        <w:rPr>
          <w:rFonts w:cs="Times New Roman"/>
          <w:sz w:val="20"/>
          <w:szCs w:val="20"/>
        </w:rPr>
        <w:t xml:space="preserve"> strong reluctance of many plaintiff lawyers to the appointment of coordinating or interim counsel, which is seen as providing an advantage to an individual lawyer who is also vying for a leadership appointment, notwithstanding </w:t>
      </w:r>
      <w:r>
        <w:rPr>
          <w:rFonts w:cs="Times New Roman"/>
          <w:sz w:val="20"/>
          <w:szCs w:val="20"/>
        </w:rPr>
        <w:t>any</w:t>
      </w:r>
      <w:r w:rsidRPr="001A52BA">
        <w:rPr>
          <w:rFonts w:cs="Times New Roman"/>
          <w:sz w:val="20"/>
          <w:szCs w:val="20"/>
        </w:rPr>
        <w:t xml:space="preserve"> disclaimer</w:t>
      </w:r>
      <w:r>
        <w:rPr>
          <w:rFonts w:cs="Times New Roman"/>
          <w:sz w:val="20"/>
          <w:szCs w:val="20"/>
        </w:rPr>
        <w:t>.</w:t>
      </w:r>
    </w:p>
  </w:footnote>
  <w:footnote w:id="52">
    <w:p w14:paraId="72B7BD33" w14:textId="017869B1"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001B7640">
        <w:rPr>
          <w:rFonts w:cs="Times New Roman"/>
        </w:rPr>
        <w:t>FED. R. CIV. P.</w:t>
      </w:r>
      <w:r w:rsidRPr="00EF7935">
        <w:rPr>
          <w:rFonts w:cs="Times New Roman"/>
        </w:rPr>
        <w:t xml:space="preserve"> 16.1(</w:t>
      </w:r>
      <w:r>
        <w:rPr>
          <w:rFonts w:cs="Times New Roman"/>
        </w:rPr>
        <w:t>b</w:t>
      </w:r>
      <w:r w:rsidRPr="00EF7935">
        <w:rPr>
          <w:rFonts w:cs="Times New Roman"/>
        </w:rPr>
        <w:t>)</w:t>
      </w:r>
      <w:r>
        <w:rPr>
          <w:rFonts w:cs="Times New Roman"/>
        </w:rPr>
        <w:t>(1)</w:t>
      </w:r>
      <w:r w:rsidRPr="00EF7935">
        <w:rPr>
          <w:rFonts w:cs="Times New Roman"/>
        </w:rPr>
        <w:t>, Committee Note (</w:t>
      </w:r>
      <w:r>
        <w:rPr>
          <w:rFonts w:cs="Times New Roman"/>
        </w:rPr>
        <w:t>December 1, 2025</w:t>
      </w:r>
      <w:r w:rsidRPr="00EF7935">
        <w:rPr>
          <w:rFonts w:cs="Times New Roman"/>
        </w:rPr>
        <w:t>).</w:t>
      </w:r>
    </w:p>
  </w:footnote>
  <w:footnote w:id="53">
    <w:p w14:paraId="0DE230F6"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i/>
          <w:iCs/>
        </w:rPr>
        <w:t>In re: Proton-Pump Inhibitor Products Liability Litigation</w:t>
      </w:r>
      <w:r w:rsidRPr="00EF7935">
        <w:rPr>
          <w:rFonts w:cs="Times New Roman"/>
        </w:rPr>
        <w:t xml:space="preserve"> (No. II) (MDL No. 2789); </w:t>
      </w:r>
      <w:r w:rsidRPr="00EF7935">
        <w:rPr>
          <w:rFonts w:cs="Times New Roman"/>
          <w:i/>
          <w:iCs/>
        </w:rPr>
        <w:t>see also</w:t>
      </w:r>
      <w:r w:rsidRPr="00EF7935">
        <w:rPr>
          <w:rFonts w:cs="Times New Roman"/>
        </w:rPr>
        <w:t xml:space="preserve"> </w:t>
      </w:r>
      <w:r w:rsidRPr="00EF7935">
        <w:rPr>
          <w:rFonts w:cs="Times New Roman"/>
          <w:i/>
          <w:iCs/>
        </w:rPr>
        <w:t>In re: Philips Recalled CPAP, Bi-Level PAP, and Mechanical Ventilator Products Liability Litigation</w:t>
      </w:r>
      <w:r w:rsidRPr="00EF7935">
        <w:rPr>
          <w:rFonts w:cs="Times New Roman"/>
        </w:rPr>
        <w:t xml:space="preserve"> (MDL No. 3014); </w:t>
      </w:r>
      <w:r w:rsidRPr="00EF7935">
        <w:rPr>
          <w:rFonts w:cs="Times New Roman"/>
          <w:i/>
          <w:iCs/>
        </w:rPr>
        <w:t xml:space="preserve">In re: Bard IVC Filters Products Liability Litigation </w:t>
      </w:r>
      <w:r w:rsidRPr="00EF7935">
        <w:rPr>
          <w:rFonts w:cs="Times New Roman"/>
        </w:rPr>
        <w:t xml:space="preserve">(MDL No. 2641); </w:t>
      </w:r>
      <w:r w:rsidRPr="00EF7935">
        <w:rPr>
          <w:rFonts w:cs="Times New Roman"/>
          <w:i/>
          <w:iCs/>
        </w:rPr>
        <w:t>In re: Social Media Adolescent Addiction/Personal Injury Products Liability Litigation</w:t>
      </w:r>
      <w:r w:rsidRPr="00EF7935">
        <w:rPr>
          <w:rFonts w:cs="Times New Roman"/>
        </w:rPr>
        <w:t xml:space="preserve"> (MDL No. 3047).</w:t>
      </w:r>
    </w:p>
  </w:footnote>
  <w:footnote w:id="54">
    <w:p w14:paraId="397D0258" w14:textId="77777777" w:rsidR="00F62B2D" w:rsidRPr="00025029" w:rsidRDefault="00F62B2D" w:rsidP="00F62B2D">
      <w:pPr>
        <w:pStyle w:val="FootnoteText"/>
        <w:jc w:val="both"/>
        <w:rPr>
          <w:rFonts w:cs="Times New Roman"/>
        </w:rPr>
      </w:pPr>
      <w:r>
        <w:rPr>
          <w:rStyle w:val="FootnoteReference"/>
        </w:rPr>
        <w:footnoteRef/>
      </w:r>
      <w:r>
        <w:t xml:space="preserve"> </w:t>
      </w:r>
      <w:r>
        <w:rPr>
          <w:rFonts w:cs="Times New Roman"/>
        </w:rPr>
        <w:t xml:space="preserve">An earlier version of Rule 16.1(b) contained a separate provision that authorized a judge to “designate coordinating counsel to assist the court with the conference; and work with plaintiffs or with defendants to prepare for the conference and prepare any report ordered [by the court].”   The advisory committee withdrew the provision in response to the plaintiff bar’s nearly unanimous objection. </w:t>
      </w:r>
    </w:p>
  </w:footnote>
  <w:footnote w:id="55">
    <w:p w14:paraId="0BCFAD8F" w14:textId="77777777" w:rsidR="00F62B2D" w:rsidRPr="00EF7935" w:rsidRDefault="00F62B2D" w:rsidP="00F62B2D">
      <w:pPr>
        <w:pStyle w:val="FootnoteText"/>
        <w:jc w:val="both"/>
        <w:rPr>
          <w:rFonts w:cs="Times New Roman"/>
        </w:rPr>
      </w:pPr>
      <w:r>
        <w:rPr>
          <w:rStyle w:val="FootnoteReference"/>
        </w:rPr>
        <w:footnoteRef/>
      </w:r>
      <w:r>
        <w:rPr>
          <w:rFonts w:cs="Times New Roman"/>
        </w:rPr>
        <w:t xml:space="preserve"> </w:t>
      </w:r>
      <w:r w:rsidRPr="00146CDE">
        <w:rPr>
          <w:rFonts w:cs="Times New Roman"/>
          <w:i/>
          <w:iCs/>
        </w:rPr>
        <w:t>In re: Juul Labs, Inc. Marketing, Sales Practices &amp; Products Liability</w:t>
      </w:r>
      <w:r w:rsidRPr="00146CDE">
        <w:rPr>
          <w:rFonts w:cs="Times New Roman"/>
        </w:rPr>
        <w:t xml:space="preserve"> </w:t>
      </w:r>
      <w:r w:rsidRPr="00146CDE">
        <w:rPr>
          <w:rFonts w:cs="Times New Roman"/>
          <w:i/>
          <w:iCs/>
        </w:rPr>
        <w:t>Litigation</w:t>
      </w:r>
      <w:r w:rsidRPr="00146CDE">
        <w:rPr>
          <w:rFonts w:cs="Times New Roman"/>
        </w:rPr>
        <w:t xml:space="preserve"> (MDL No. 2913. </w:t>
      </w:r>
      <w:r w:rsidRPr="00146CDE">
        <w:rPr>
          <w:rFonts w:cs="Times New Roman"/>
          <w:i/>
          <w:iCs/>
        </w:rPr>
        <w:t>In re: Zantac (Ranitidine) Products Liability Litigation</w:t>
      </w:r>
      <w:r w:rsidRPr="00146CDE">
        <w:rPr>
          <w:rFonts w:cs="Times New Roman"/>
        </w:rPr>
        <w:t xml:space="preserve"> (MDL No. 2924). The </w:t>
      </w:r>
      <w:r w:rsidRPr="00146CDE">
        <w:rPr>
          <w:rFonts w:cs="Times New Roman"/>
          <w:i/>
          <w:iCs/>
        </w:rPr>
        <w:t>Juul Labs</w:t>
      </w:r>
      <w:r w:rsidRPr="00146CDE">
        <w:rPr>
          <w:rFonts w:cs="Times New Roman"/>
        </w:rPr>
        <w:t xml:space="preserve"> MDL and </w:t>
      </w:r>
      <w:r w:rsidRPr="00146CDE">
        <w:rPr>
          <w:rFonts w:cs="Times New Roman"/>
          <w:i/>
          <w:iCs/>
        </w:rPr>
        <w:t>Zantac (Ranitidine)</w:t>
      </w:r>
      <w:r w:rsidRPr="00146CDE">
        <w:rPr>
          <w:rFonts w:cs="Times New Roman"/>
        </w:rPr>
        <w:t xml:space="preserve"> MDL are </w:t>
      </w:r>
      <w:r w:rsidRPr="00EF7935">
        <w:rPr>
          <w:rFonts w:cs="Times New Roman"/>
        </w:rPr>
        <w:t xml:space="preserve">two recent examples of transferee courts utilizing the third-party method. In both MDLs, the court designated a law professor. </w:t>
      </w:r>
    </w:p>
  </w:footnote>
  <w:footnote w:id="56">
    <w:p w14:paraId="3941F448"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MCL, </w:t>
      </w:r>
      <w:r w:rsidRPr="00EF7935">
        <w:rPr>
          <w:rFonts w:cs="Times New Roman"/>
          <w:smallCaps/>
        </w:rPr>
        <w:t>§ 11.211.</w:t>
      </w:r>
    </w:p>
  </w:footnote>
  <w:footnote w:id="57">
    <w:p w14:paraId="324543E0" w14:textId="311D70E1" w:rsidR="00F62B2D" w:rsidRPr="00C0757D" w:rsidRDefault="00F62B2D" w:rsidP="00F62B2D">
      <w:pPr>
        <w:pStyle w:val="FootnoteText"/>
        <w:jc w:val="both"/>
        <w:rPr>
          <w:rFonts w:cs="Times New Roman"/>
        </w:rPr>
      </w:pPr>
      <w:r>
        <w:rPr>
          <w:rStyle w:val="FootnoteReference"/>
        </w:rPr>
        <w:footnoteRef/>
      </w:r>
      <w:r>
        <w:t xml:space="preserve"> </w:t>
      </w:r>
      <w:r w:rsidRPr="00C0757D">
        <w:rPr>
          <w:rFonts w:cs="Times New Roman"/>
          <w:i/>
          <w:iCs/>
        </w:rPr>
        <w:t>See</w:t>
      </w:r>
      <w:r>
        <w:rPr>
          <w:rFonts w:cs="Times New Roman"/>
        </w:rPr>
        <w:t xml:space="preserve"> Guideline CA-§ 2, </w:t>
      </w:r>
      <w:r w:rsidRPr="00A202CF">
        <w:rPr>
          <w:rFonts w:cs="Times New Roman"/>
          <w:smallCaps/>
        </w:rPr>
        <w:t>Compendium of Class Action Guidelines and Best Practices</w:t>
      </w:r>
      <w:r>
        <w:rPr>
          <w:rFonts w:cs="Times New Roman"/>
        </w:rPr>
        <w:t xml:space="preserve">, Rabiej Litigation Law Center (2023) (discussion of purpose of amendment to </w:t>
      </w:r>
      <w:r w:rsidR="001B7640">
        <w:rPr>
          <w:rFonts w:cs="Times New Roman"/>
        </w:rPr>
        <w:t>FED. R. CIV. P.</w:t>
      </w:r>
      <w:r>
        <w:rPr>
          <w:rFonts w:cs="Times New Roman"/>
        </w:rPr>
        <w:t xml:space="preserve"> 23(e)(2), which collapsed the number of factors addressed in approving a proposed settlement that otherwise parties felt obliged to address in much detail because they were listed as factors in circuit-court opinions even though not pertinent to the circumstances of the action).  </w:t>
      </w:r>
    </w:p>
  </w:footnote>
  <w:footnote w:id="58">
    <w:p w14:paraId="2649BA6C" w14:textId="77777777" w:rsidR="00F62B2D" w:rsidRPr="00C0757D" w:rsidRDefault="00F62B2D" w:rsidP="00F62B2D">
      <w:pPr>
        <w:pStyle w:val="FootnoteText"/>
        <w:jc w:val="both"/>
        <w:rPr>
          <w:rFonts w:cs="Times New Roman"/>
        </w:rPr>
      </w:pPr>
      <w:r w:rsidRPr="00C0757D">
        <w:rPr>
          <w:rStyle w:val="FootnoteReference"/>
          <w:rFonts w:cs="Times New Roman"/>
        </w:rPr>
        <w:footnoteRef/>
      </w:r>
      <w:r w:rsidRPr="00C0757D">
        <w:rPr>
          <w:rFonts w:cs="Times New Roman"/>
        </w:rPr>
        <w:t xml:space="preserve"> The median time when an initial conference was held in 11 mass-tort MDLs was 41 days after the JPML order.  In several of these mass-tort MDLs, the first pretrial order scheduling the initial conference was issued after 1, 3, and 5 days of the JPML order.  The initial conference was held 16 days after the JPML order in one and 23 and 30 days after the order in two other mass-tort MDLs.</w:t>
      </w:r>
    </w:p>
  </w:footnote>
  <w:footnote w:id="59">
    <w:p w14:paraId="75819719" w14:textId="77777777" w:rsidR="00F62B2D" w:rsidRPr="00C0757D" w:rsidRDefault="00F62B2D" w:rsidP="00F62B2D">
      <w:pPr>
        <w:pStyle w:val="FootnoteText"/>
        <w:jc w:val="both"/>
        <w:rPr>
          <w:rFonts w:cs="Times New Roman"/>
        </w:rPr>
      </w:pPr>
      <w:r w:rsidRPr="00C0757D">
        <w:rPr>
          <w:rStyle w:val="FootnoteReference"/>
          <w:rFonts w:cs="Times New Roman"/>
        </w:rPr>
        <w:footnoteRef/>
      </w:r>
      <w:r w:rsidRPr="00C0757D">
        <w:rPr>
          <w:rFonts w:cs="Times New Roman"/>
        </w:rPr>
        <w:t xml:space="preserve"> </w:t>
      </w:r>
      <w:r w:rsidRPr="00C0757D">
        <w:rPr>
          <w:rFonts w:cs="Times New Roman"/>
          <w:i/>
          <w:iCs/>
        </w:rPr>
        <w:t>Zantac</w:t>
      </w:r>
      <w:r w:rsidRPr="00C0757D">
        <w:rPr>
          <w:rFonts w:cs="Times New Roman"/>
        </w:rPr>
        <w:t xml:space="preserve"> MDL 2924, Pretrial Order # 1 (Feb. 14, 2020). The identical or very similar language is contained in the case-management orders in the following large MDLs; (i) </w:t>
      </w:r>
      <w:r w:rsidRPr="00C0757D">
        <w:rPr>
          <w:rFonts w:cs="Times New Roman"/>
          <w:i/>
          <w:iCs/>
        </w:rPr>
        <w:t>Vioxx</w:t>
      </w:r>
      <w:r w:rsidRPr="00C0757D">
        <w:rPr>
          <w:rFonts w:cs="Times New Roman"/>
        </w:rPr>
        <w:t xml:space="preserve">, MDL 1657 – Pretrial Order # 1; (ii) </w:t>
      </w:r>
      <w:r w:rsidRPr="00C0757D">
        <w:rPr>
          <w:rFonts w:cs="Times New Roman"/>
          <w:i/>
          <w:iCs/>
        </w:rPr>
        <w:t xml:space="preserve">Propulsid </w:t>
      </w:r>
      <w:r w:rsidRPr="00C0757D">
        <w:rPr>
          <w:rFonts w:cs="Times New Roman"/>
        </w:rPr>
        <w:t xml:space="preserve">MDL 1355 – Pretrial Order # 1 (Aug. 22, 2000); (iii) </w:t>
      </w:r>
      <w:r w:rsidRPr="00C0757D">
        <w:rPr>
          <w:rFonts w:cs="Times New Roman"/>
          <w:i/>
          <w:iCs/>
        </w:rPr>
        <w:t>Xarelto</w:t>
      </w:r>
      <w:r w:rsidRPr="00C0757D">
        <w:rPr>
          <w:rFonts w:cs="Times New Roman"/>
        </w:rPr>
        <w:t xml:space="preserve">, MDL 2592 – Pretrial Order # 1 (Dec. 17, 2014); (iv) </w:t>
      </w:r>
      <w:r w:rsidRPr="00C0757D">
        <w:rPr>
          <w:rFonts w:cs="Times New Roman"/>
          <w:i/>
          <w:iCs/>
        </w:rPr>
        <w:t>Elmiron</w:t>
      </w:r>
      <w:r w:rsidRPr="00C0757D">
        <w:rPr>
          <w:rFonts w:cs="Times New Roman"/>
        </w:rPr>
        <w:t xml:space="preserve"> MDL 2973 – Case Management Order No. 1 (Dec. 18, 2020); (v) </w:t>
      </w:r>
      <w:r w:rsidRPr="00C0757D">
        <w:rPr>
          <w:rFonts w:cs="Times New Roman"/>
          <w:i/>
          <w:iCs/>
        </w:rPr>
        <w:t>Taxotere</w:t>
      </w:r>
      <w:r w:rsidRPr="00C0757D">
        <w:rPr>
          <w:rFonts w:cs="Times New Roman"/>
        </w:rPr>
        <w:t xml:space="preserve"> MDL 3023, Pretrial Order # 1 (Feb. 25, 2022); (vi) </w:t>
      </w:r>
      <w:r w:rsidRPr="00C0757D">
        <w:rPr>
          <w:rFonts w:cs="Times New Roman"/>
          <w:i/>
          <w:iCs/>
        </w:rPr>
        <w:t>Avandia</w:t>
      </w:r>
      <w:r w:rsidRPr="00C0757D">
        <w:rPr>
          <w:rFonts w:cs="Times New Roman"/>
        </w:rPr>
        <w:t xml:space="preserve"> MDL Case</w:t>
      </w:r>
      <w:r>
        <w:rPr>
          <w:rFonts w:ascii="Century Schoolbook" w:hAnsi="Century Schoolbook"/>
        </w:rPr>
        <w:t xml:space="preserve"> Management Order No.1, Feb. 28, 2008); (vii) </w:t>
      </w:r>
      <w:r w:rsidRPr="009C3C7F">
        <w:rPr>
          <w:rFonts w:ascii="Century Schoolbook" w:hAnsi="Century Schoolbook"/>
          <w:i/>
          <w:iCs/>
        </w:rPr>
        <w:t>Zoloft</w:t>
      </w:r>
      <w:r>
        <w:rPr>
          <w:rFonts w:ascii="Century Schoolbook" w:hAnsi="Century Schoolbook"/>
        </w:rPr>
        <w:t xml:space="preserve">, MDL 2342 – Pretrial Order No. 1 (May 4, 2012); (viii) </w:t>
      </w:r>
      <w:r w:rsidRPr="007A6707">
        <w:rPr>
          <w:rFonts w:ascii="Century Schoolbook" w:hAnsi="Century Schoolbook"/>
          <w:i/>
          <w:iCs/>
        </w:rPr>
        <w:t>Syngenta</w:t>
      </w:r>
      <w:r>
        <w:rPr>
          <w:rFonts w:ascii="Century Schoolbook" w:hAnsi="Century Schoolbook"/>
        </w:rPr>
        <w:t xml:space="preserve">, MDL 2591 – Preliminary Practice and Procedure Order </w:t>
      </w:r>
      <w:r w:rsidRPr="00C0757D">
        <w:rPr>
          <w:rFonts w:cs="Times New Roman"/>
        </w:rPr>
        <w:t xml:space="preserve">(Dec. 22, 2014); (ix) </w:t>
      </w:r>
      <w:r w:rsidRPr="00C0757D">
        <w:rPr>
          <w:rFonts w:cs="Times New Roman"/>
          <w:i/>
          <w:iCs/>
        </w:rPr>
        <w:t>3M Combat Arms Earplug</w:t>
      </w:r>
      <w:r w:rsidRPr="00C0757D">
        <w:rPr>
          <w:rFonts w:cs="Times New Roman"/>
        </w:rPr>
        <w:t xml:space="preserve">, MDL 2885—Pretrial Order No. 2 (April 5, 2019); (x) </w:t>
      </w:r>
      <w:r w:rsidRPr="00C0757D">
        <w:rPr>
          <w:rFonts w:cs="Times New Roman"/>
          <w:i/>
          <w:iCs/>
        </w:rPr>
        <w:t xml:space="preserve">Acetaminophen-ASD-ADHD, </w:t>
      </w:r>
      <w:r w:rsidRPr="00C0757D">
        <w:rPr>
          <w:rFonts w:cs="Times New Roman"/>
        </w:rPr>
        <w:t xml:space="preserve">MDL 3043 – pretrial: preconference submissions (Oct. 10, 2022); (xi) </w:t>
      </w:r>
      <w:r w:rsidRPr="00C0757D">
        <w:rPr>
          <w:rFonts w:cs="Times New Roman"/>
          <w:i/>
          <w:iCs/>
        </w:rPr>
        <w:t>Paraquat</w:t>
      </w:r>
      <w:r w:rsidRPr="00C0757D">
        <w:rPr>
          <w:rFonts w:cs="Times New Roman"/>
        </w:rPr>
        <w:t xml:space="preserve"> MDL 3004 – Case-Management  Order No. 1 (June 10, 2021); and (xii) </w:t>
      </w:r>
      <w:r w:rsidRPr="00C0757D">
        <w:rPr>
          <w:rFonts w:cs="Times New Roman"/>
          <w:i/>
          <w:iCs/>
        </w:rPr>
        <w:t>Baycol</w:t>
      </w:r>
      <w:r w:rsidRPr="00C0757D">
        <w:rPr>
          <w:rFonts w:cs="Times New Roman"/>
        </w:rPr>
        <w:t xml:space="preserve"> MDL 1431 – Pretrial Order (Jan. 16, 2002).</w:t>
      </w:r>
    </w:p>
  </w:footnote>
  <w:footnote w:id="60">
    <w:p w14:paraId="078EA06F" w14:textId="3D3462F7" w:rsidR="00F62B2D" w:rsidRPr="00C0757D" w:rsidRDefault="00F62B2D" w:rsidP="00F62B2D">
      <w:pPr>
        <w:pStyle w:val="FootnoteText"/>
        <w:jc w:val="both"/>
        <w:rPr>
          <w:rFonts w:cs="Times New Roman"/>
        </w:rPr>
      </w:pPr>
      <w:r w:rsidRPr="00C0757D">
        <w:rPr>
          <w:rStyle w:val="FootnoteReference"/>
          <w:rFonts w:cs="Times New Roman"/>
        </w:rPr>
        <w:footnoteRef/>
      </w:r>
      <w:r w:rsidRPr="00C0757D">
        <w:rPr>
          <w:rFonts w:cs="Times New Roman"/>
        </w:rPr>
        <w:t xml:space="preserve"> </w:t>
      </w:r>
      <w:bookmarkStart w:id="10" w:name="_Hlk143949749"/>
      <w:bookmarkStart w:id="11" w:name="_Hlk143842352"/>
      <w:r w:rsidRPr="00C0757D">
        <w:rPr>
          <w:rFonts w:cs="Times New Roman"/>
        </w:rPr>
        <w:t xml:space="preserve">MCL, </w:t>
      </w:r>
      <w:r w:rsidRPr="00C0757D">
        <w:rPr>
          <w:rFonts w:cs="Times New Roman"/>
          <w:smallCaps/>
        </w:rPr>
        <w:t xml:space="preserve">§ </w:t>
      </w:r>
      <w:bookmarkEnd w:id="10"/>
      <w:r w:rsidRPr="00C0757D">
        <w:rPr>
          <w:rFonts w:cs="Times New Roman"/>
          <w:smallCaps/>
        </w:rPr>
        <w:t xml:space="preserve">22.6 </w:t>
      </w:r>
      <w:bookmarkEnd w:id="11"/>
      <w:r w:rsidRPr="00C0757D">
        <w:rPr>
          <w:rFonts w:cs="Times New Roman"/>
        </w:rPr>
        <w:t xml:space="preserve">addresses Case-Management Orders, including Initial Orders Regarding Mass Torts; MCL, </w:t>
      </w:r>
      <w:r w:rsidRPr="00C0757D">
        <w:rPr>
          <w:rFonts w:cs="Times New Roman"/>
          <w:smallCaps/>
        </w:rPr>
        <w:t xml:space="preserve">§ 11.2 </w:t>
      </w:r>
      <w:r w:rsidRPr="00C0757D">
        <w:rPr>
          <w:rFonts w:cs="Times New Roman"/>
        </w:rPr>
        <w:t>addresses Conferences regarding Pretrial Procedure in Complex Litigation generally</w:t>
      </w:r>
      <w:r w:rsidRPr="00C0757D">
        <w:rPr>
          <w:rFonts w:cs="Times New Roman"/>
          <w:smallCaps/>
        </w:rPr>
        <w:t xml:space="preserve">; </w:t>
      </w:r>
      <w:r w:rsidRPr="00C0757D">
        <w:rPr>
          <w:rFonts w:cs="Times New Roman"/>
        </w:rPr>
        <w:t>and</w:t>
      </w:r>
      <w:r w:rsidRPr="00C0757D">
        <w:rPr>
          <w:rFonts w:cs="Times New Roman"/>
          <w:smallCaps/>
        </w:rPr>
        <w:t xml:space="preserve"> </w:t>
      </w:r>
      <w:r w:rsidR="001B7640">
        <w:rPr>
          <w:rFonts w:cs="Times New Roman"/>
          <w:smallCaps/>
        </w:rPr>
        <w:t>FED. R. CIV. P.</w:t>
      </w:r>
      <w:r w:rsidRPr="00C0757D">
        <w:rPr>
          <w:rFonts w:cs="Times New Roman"/>
          <w:smallCaps/>
        </w:rPr>
        <w:t xml:space="preserve"> 16 </w:t>
      </w:r>
      <w:r w:rsidRPr="00C0757D">
        <w:rPr>
          <w:rFonts w:cs="Times New Roman"/>
        </w:rPr>
        <w:t>addresses Pretrial Conferences; Scheduling; Management regarding all civil actions.</w:t>
      </w:r>
    </w:p>
  </w:footnote>
  <w:footnote w:id="61">
    <w:p w14:paraId="05AD69AA" w14:textId="3D4C3968" w:rsidR="00F62B2D" w:rsidRPr="00543EB5" w:rsidRDefault="00F62B2D" w:rsidP="00F62B2D">
      <w:pPr>
        <w:pStyle w:val="NoSpacing"/>
        <w:jc w:val="both"/>
        <w:rPr>
          <w:rFonts w:cs="Times New Roman"/>
          <w:sz w:val="20"/>
          <w:szCs w:val="20"/>
        </w:rPr>
      </w:pPr>
      <w:r w:rsidRPr="00C0757D">
        <w:rPr>
          <w:rStyle w:val="FootnoteReference"/>
          <w:rFonts w:cs="Times New Roman"/>
          <w:sz w:val="20"/>
          <w:szCs w:val="20"/>
        </w:rPr>
        <w:footnoteRef/>
      </w:r>
      <w:r w:rsidRPr="00C0757D">
        <w:rPr>
          <w:rFonts w:cs="Times New Roman"/>
          <w:sz w:val="20"/>
          <w:szCs w:val="20"/>
        </w:rPr>
        <w:t xml:space="preserve"> </w:t>
      </w:r>
      <w:r w:rsidRPr="00C0757D">
        <w:rPr>
          <w:rFonts w:cs="Times New Roman"/>
          <w:i/>
          <w:iCs/>
          <w:sz w:val="20"/>
          <w:szCs w:val="20"/>
        </w:rPr>
        <w:t>See</w:t>
      </w:r>
      <w:r w:rsidRPr="00C0757D">
        <w:rPr>
          <w:rFonts w:cs="Times New Roman"/>
          <w:sz w:val="20"/>
          <w:szCs w:val="20"/>
        </w:rPr>
        <w:t xml:space="preserve"> </w:t>
      </w:r>
      <w:r w:rsidRPr="00C0757D">
        <w:rPr>
          <w:rFonts w:cs="Times New Roman"/>
          <w:i/>
          <w:iCs/>
          <w:sz w:val="20"/>
          <w:szCs w:val="20"/>
        </w:rPr>
        <w:t>Philips Recalled CPAP</w:t>
      </w:r>
      <w:r w:rsidRPr="00C0757D">
        <w:rPr>
          <w:rFonts w:cs="Times New Roman"/>
          <w:sz w:val="20"/>
          <w:szCs w:val="20"/>
        </w:rPr>
        <w:t xml:space="preserve">, MDL 3014 – Pretrial Order # 1, enumerating 12 topics: </w:t>
      </w:r>
      <w:r w:rsidRPr="00C0757D">
        <w:rPr>
          <w:rFonts w:cs="Times New Roman"/>
          <w:i/>
          <w:iCs/>
          <w:sz w:val="20"/>
          <w:szCs w:val="20"/>
        </w:rPr>
        <w:t>BARD Implanted Port Catheter</w:t>
      </w:r>
      <w:r w:rsidRPr="00C0757D">
        <w:rPr>
          <w:rFonts w:cs="Times New Roman"/>
          <w:sz w:val="20"/>
          <w:szCs w:val="20"/>
        </w:rPr>
        <w:t>, MDL 3081, pretrial order regarding initial</w:t>
      </w:r>
      <w:r>
        <w:rPr>
          <w:rFonts w:cs="Times New Roman"/>
          <w:sz w:val="20"/>
          <w:szCs w:val="20"/>
        </w:rPr>
        <w:t>-</w:t>
      </w:r>
      <w:r w:rsidRPr="00C0757D">
        <w:rPr>
          <w:rFonts w:cs="Times New Roman"/>
          <w:sz w:val="20"/>
          <w:szCs w:val="20"/>
        </w:rPr>
        <w:t>case management conference, enumerating 21 topics with many subtopics issued by Hon. David Campbell, former Advisory Committee on Civil Rules Committee chair (Aug.</w:t>
      </w:r>
      <w:r w:rsidRPr="00543EB5">
        <w:rPr>
          <w:sz w:val="20"/>
          <w:szCs w:val="20"/>
        </w:rPr>
        <w:t xml:space="preserve"> 22, 2023)</w:t>
      </w:r>
      <w:r>
        <w:rPr>
          <w:sz w:val="20"/>
          <w:szCs w:val="20"/>
        </w:rPr>
        <w:t xml:space="preserve">; </w:t>
      </w:r>
      <w:r w:rsidRPr="00EF3FDD">
        <w:rPr>
          <w:i/>
          <w:iCs/>
          <w:sz w:val="20"/>
          <w:szCs w:val="20"/>
        </w:rPr>
        <w:t>see also</w:t>
      </w:r>
      <w:r>
        <w:rPr>
          <w:sz w:val="20"/>
          <w:szCs w:val="20"/>
        </w:rPr>
        <w:t xml:space="preserve"> </w:t>
      </w:r>
      <w:r w:rsidRPr="00543EB5">
        <w:rPr>
          <w:sz w:val="20"/>
          <w:szCs w:val="20"/>
        </w:rPr>
        <w:t>MCL</w:t>
      </w:r>
      <w:r w:rsidRPr="00EF3FDD">
        <w:rPr>
          <w:rFonts w:cs="Times New Roman"/>
          <w:sz w:val="20"/>
          <w:szCs w:val="20"/>
        </w:rPr>
        <w:t xml:space="preserve">, </w:t>
      </w:r>
      <w:r w:rsidRPr="00EF3FDD">
        <w:rPr>
          <w:rFonts w:cs="Times New Roman"/>
          <w:smallCaps/>
          <w:sz w:val="20"/>
          <w:szCs w:val="20"/>
        </w:rPr>
        <w:t xml:space="preserve">§ </w:t>
      </w:r>
      <w:r>
        <w:rPr>
          <w:rFonts w:cs="Times New Roman"/>
          <w:smallCaps/>
          <w:sz w:val="20"/>
          <w:szCs w:val="20"/>
        </w:rPr>
        <w:t xml:space="preserve">11.211, </w:t>
      </w:r>
      <w:r w:rsidRPr="00EF3FDD">
        <w:rPr>
          <w:rFonts w:cs="Times New Roman"/>
          <w:smallCaps/>
          <w:sz w:val="20"/>
          <w:szCs w:val="20"/>
        </w:rPr>
        <w:t>§</w:t>
      </w:r>
      <w:r>
        <w:rPr>
          <w:rFonts w:cs="Times New Roman"/>
          <w:smallCaps/>
          <w:sz w:val="20"/>
          <w:szCs w:val="20"/>
        </w:rPr>
        <w:t xml:space="preserve"> 22.61, </w:t>
      </w:r>
      <w:r w:rsidR="001B7640">
        <w:rPr>
          <w:rFonts w:cs="Times New Roman"/>
          <w:smallCaps/>
          <w:sz w:val="20"/>
          <w:szCs w:val="20"/>
        </w:rPr>
        <w:t>FED. R. CIV. P.</w:t>
      </w:r>
      <w:r>
        <w:rPr>
          <w:rFonts w:cs="Times New Roman"/>
          <w:smallCaps/>
          <w:sz w:val="20"/>
          <w:szCs w:val="20"/>
        </w:rPr>
        <w:t xml:space="preserve"> 16(</w:t>
      </w:r>
      <w:r>
        <w:rPr>
          <w:rFonts w:cs="Times New Roman"/>
          <w:sz w:val="20"/>
          <w:szCs w:val="20"/>
        </w:rPr>
        <w:t>a</w:t>
      </w:r>
      <w:r>
        <w:rPr>
          <w:rFonts w:cs="Times New Roman"/>
          <w:smallCaps/>
          <w:sz w:val="20"/>
          <w:szCs w:val="20"/>
        </w:rPr>
        <w:t>), (</w:t>
      </w:r>
      <w:r>
        <w:rPr>
          <w:rFonts w:cs="Times New Roman"/>
          <w:sz w:val="20"/>
          <w:szCs w:val="20"/>
        </w:rPr>
        <w:t>b</w:t>
      </w:r>
      <w:r>
        <w:rPr>
          <w:rFonts w:cs="Times New Roman"/>
          <w:smallCaps/>
          <w:sz w:val="20"/>
          <w:szCs w:val="20"/>
        </w:rPr>
        <w:t xml:space="preserve">), </w:t>
      </w:r>
      <w:r>
        <w:rPr>
          <w:rFonts w:cs="Times New Roman"/>
          <w:sz w:val="20"/>
          <w:szCs w:val="20"/>
        </w:rPr>
        <w:t>and</w:t>
      </w:r>
      <w:r>
        <w:rPr>
          <w:rFonts w:cs="Times New Roman"/>
          <w:smallCaps/>
          <w:sz w:val="20"/>
          <w:szCs w:val="20"/>
        </w:rPr>
        <w:t xml:space="preserve"> (</w:t>
      </w:r>
      <w:r>
        <w:rPr>
          <w:rFonts w:cs="Times New Roman"/>
          <w:sz w:val="20"/>
          <w:szCs w:val="20"/>
        </w:rPr>
        <w:t>c</w:t>
      </w:r>
      <w:r>
        <w:rPr>
          <w:rFonts w:cs="Times New Roman"/>
          <w:smallCaps/>
          <w:sz w:val="20"/>
          <w:szCs w:val="20"/>
        </w:rPr>
        <w:t>).</w:t>
      </w:r>
    </w:p>
  </w:footnote>
  <w:footnote w:id="62">
    <w:p w14:paraId="68BB6018" w14:textId="1B95D14A" w:rsidR="00F62B2D" w:rsidRPr="008D6539" w:rsidRDefault="00F62B2D" w:rsidP="00F62B2D">
      <w:pPr>
        <w:pStyle w:val="NoSpacing"/>
        <w:jc w:val="both"/>
        <w:rPr>
          <w:rFonts w:cs="Times New Roman"/>
        </w:rPr>
      </w:pPr>
      <w:r w:rsidRPr="00543EB5">
        <w:rPr>
          <w:rStyle w:val="FootnoteReference"/>
          <w:rFonts w:cs="Times New Roman"/>
          <w:sz w:val="20"/>
          <w:szCs w:val="20"/>
        </w:rPr>
        <w:footnoteRef/>
      </w:r>
      <w:r w:rsidRPr="00543EB5">
        <w:rPr>
          <w:rFonts w:cs="Times New Roman"/>
          <w:sz w:val="20"/>
          <w:szCs w:val="20"/>
        </w:rPr>
        <w:t xml:space="preserve"> </w:t>
      </w:r>
      <w:r w:rsidR="001B7640">
        <w:rPr>
          <w:rFonts w:cs="Times New Roman"/>
          <w:sz w:val="20"/>
          <w:szCs w:val="20"/>
        </w:rPr>
        <w:t>FED. R. CIV. P.</w:t>
      </w:r>
      <w:r w:rsidRPr="00543EB5">
        <w:rPr>
          <w:rFonts w:cs="Times New Roman"/>
          <w:sz w:val="20"/>
          <w:szCs w:val="20"/>
        </w:rPr>
        <w:t xml:space="preserve"> 16.1(b)(2)(A) (December 1, 2025).</w:t>
      </w:r>
    </w:p>
  </w:footnote>
  <w:footnote w:id="63">
    <w:p w14:paraId="7762618A" w14:textId="2EEDE77B" w:rsidR="00F62B2D" w:rsidRPr="00C94124" w:rsidRDefault="00F62B2D" w:rsidP="00F62B2D">
      <w:pPr>
        <w:pStyle w:val="FootnoteText"/>
        <w:rPr>
          <w:rFonts w:cs="Times New Roman"/>
        </w:rPr>
      </w:pPr>
      <w:r w:rsidRPr="00C94124">
        <w:rPr>
          <w:rStyle w:val="FootnoteReference"/>
          <w:rFonts w:cs="Times New Roman"/>
        </w:rPr>
        <w:footnoteRef/>
      </w:r>
      <w:r w:rsidRPr="00C94124">
        <w:rPr>
          <w:rFonts w:cs="Times New Roman"/>
        </w:rPr>
        <w:t xml:space="preserve"> </w:t>
      </w:r>
      <w:r w:rsidR="001B7640">
        <w:rPr>
          <w:rFonts w:cs="Times New Roman"/>
        </w:rPr>
        <w:t>FED. R. CIV. P.</w:t>
      </w:r>
      <w:r w:rsidRPr="00C94124">
        <w:rPr>
          <w:rFonts w:cs="Times New Roman"/>
        </w:rPr>
        <w:t xml:space="preserve"> 16.1</w:t>
      </w:r>
      <w:r>
        <w:rPr>
          <w:rFonts w:cs="Times New Roman"/>
        </w:rPr>
        <w:t>(b)(2)(A)</w:t>
      </w:r>
      <w:r w:rsidRPr="00C94124">
        <w:rPr>
          <w:rFonts w:cs="Times New Roman"/>
        </w:rPr>
        <w:t>, Committee Note (December 1, 2025)</w:t>
      </w:r>
      <w:r>
        <w:rPr>
          <w:rFonts w:cs="Times New Roman"/>
        </w:rPr>
        <w:t>.</w:t>
      </w:r>
      <w:r w:rsidRPr="00C94124">
        <w:rPr>
          <w:rFonts w:cs="Times New Roman"/>
        </w:rPr>
        <w:t xml:space="preserve"> </w:t>
      </w:r>
    </w:p>
  </w:footnote>
  <w:footnote w:id="64">
    <w:p w14:paraId="1444EFC2" w14:textId="77777777" w:rsidR="00F62B2D" w:rsidRPr="00EF7935" w:rsidRDefault="00F62B2D" w:rsidP="00F62B2D">
      <w:pPr>
        <w:pStyle w:val="FootnoteText"/>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smallCaps/>
        </w:rPr>
        <w:t>Guidelines and Best Practices for Large and Mass-Tort MDLs</w:t>
      </w:r>
      <w:r w:rsidRPr="00EF7935">
        <w:rPr>
          <w:rFonts w:cs="Times New Roman"/>
        </w:rPr>
        <w:t>, Second Edition, Bolch Judicial Institute, Duke Law School</w:t>
      </w:r>
      <w:r>
        <w:rPr>
          <w:rFonts w:cs="Times New Roman"/>
        </w:rPr>
        <w:t>, John Rabiej, principal editor</w:t>
      </w:r>
      <w:r w:rsidRPr="00EF7935">
        <w:rPr>
          <w:rFonts w:cs="Times New Roman"/>
        </w:rPr>
        <w:t xml:space="preserve"> (September 2018)</w:t>
      </w:r>
      <w:r>
        <w:rPr>
          <w:rFonts w:cs="Times New Roman"/>
        </w:rPr>
        <w:t>.</w:t>
      </w:r>
      <w:r w:rsidRPr="00EF7935">
        <w:rPr>
          <w:rFonts w:cs="Times New Roman"/>
        </w:rPr>
        <w:t xml:space="preserve">   https://scholarship.law.duke.edu/cgi/viewcontent.cgi?article=1004&amp;context=bolch</w:t>
      </w:r>
    </w:p>
  </w:footnote>
  <w:footnote w:id="65">
    <w:p w14:paraId="33AEAC6F" w14:textId="77777777" w:rsidR="00F62B2D" w:rsidRPr="00EF7935" w:rsidRDefault="00F62B2D" w:rsidP="00F62B2D">
      <w:pPr>
        <w:rPr>
          <w:rFonts w:cs="Times New Roman"/>
          <w:sz w:val="20"/>
          <w:szCs w:val="20"/>
        </w:rPr>
      </w:pPr>
      <w:r w:rsidRPr="00EF7935">
        <w:rPr>
          <w:rStyle w:val="FootnoteReference"/>
          <w:rFonts w:cs="Times New Roman"/>
          <w:sz w:val="20"/>
          <w:szCs w:val="20"/>
        </w:rPr>
        <w:footnoteRef/>
      </w:r>
      <w:r w:rsidRPr="00EF7935">
        <w:rPr>
          <w:rFonts w:cs="Times New Roman"/>
          <w:sz w:val="20"/>
          <w:szCs w:val="20"/>
        </w:rPr>
        <w:t xml:space="preserve"> </w:t>
      </w:r>
      <w:r w:rsidRPr="00EF7935">
        <w:rPr>
          <w:rFonts w:cs="Times New Roman"/>
          <w:smallCaps/>
          <w:kern w:val="2"/>
          <w:sz w:val="20"/>
          <w:szCs w:val="20"/>
          <w14:ligatures w14:val="standardContextual"/>
        </w:rPr>
        <w:t>inclusivity and excellence: guidelines and best practices for judges appointing lawyers to leadership positions in mdl and class-action litigation</w:t>
      </w:r>
      <w:r w:rsidRPr="00EF7935">
        <w:rPr>
          <w:rFonts w:cs="Times New Roman"/>
          <w:kern w:val="2"/>
          <w:sz w:val="20"/>
          <w:szCs w:val="20"/>
          <w14:ligatures w14:val="standardContextual"/>
        </w:rPr>
        <w:t xml:space="preserve">, James F. Humphreys Complex Litigation Center George Washington Law </w:t>
      </w:r>
      <w:r w:rsidRPr="00EB0DF4">
        <w:rPr>
          <w:rFonts w:cs="Times New Roman"/>
          <w:kern w:val="2"/>
          <w:sz w:val="20"/>
          <w:szCs w:val="20"/>
          <w14:ligatures w14:val="standardContextual"/>
        </w:rPr>
        <w:t>School</w:t>
      </w:r>
      <w:r w:rsidRPr="00EB0DF4">
        <w:rPr>
          <w:rFonts w:cs="Times New Roman"/>
          <w:sz w:val="20"/>
          <w:szCs w:val="20"/>
        </w:rPr>
        <w:t>, John Rabiej, principal editor</w:t>
      </w:r>
      <w:r w:rsidRPr="00EF7935">
        <w:rPr>
          <w:rFonts w:cs="Times New Roman"/>
          <w:kern w:val="2"/>
          <w:sz w:val="20"/>
          <w:szCs w:val="20"/>
          <w14:ligatures w14:val="standardContextual"/>
        </w:rPr>
        <w:t xml:space="preserve"> (March 15, 2021). </w:t>
      </w:r>
      <w:r w:rsidRPr="00EF7935">
        <w:rPr>
          <w:rFonts w:cs="Times New Roman"/>
          <w:sz w:val="20"/>
          <w:szCs w:val="20"/>
        </w:rPr>
        <w:t>https://www.law.gwu.edu/sites/g/files/zaxdzs5421/files/downloads/Inclusivity_and_Excellence_Master_Draft.pdf</w:t>
      </w:r>
    </w:p>
  </w:footnote>
  <w:footnote w:id="66">
    <w:p w14:paraId="4F19F8B0" w14:textId="77777777" w:rsidR="00F62B2D" w:rsidRPr="00EF3FDD" w:rsidRDefault="00F62B2D" w:rsidP="00F62B2D">
      <w:pPr>
        <w:pStyle w:val="FootnoteText"/>
        <w:rPr>
          <w:rFonts w:cs="Times New Roman"/>
        </w:rPr>
      </w:pPr>
      <w:r>
        <w:rPr>
          <w:rStyle w:val="FootnoteReference"/>
        </w:rPr>
        <w:footnoteRef/>
      </w:r>
      <w:r>
        <w:t xml:space="preserve"> T</w:t>
      </w:r>
      <w:r>
        <w:rPr>
          <w:rFonts w:cs="Times New Roman"/>
        </w:rPr>
        <w:t>ransferee judges in some MDLs approve the establishment of committees and leave the selection of members to lead counsel.  In other MDLs, lead counsel has discretion to form committees and select members.</w:t>
      </w:r>
    </w:p>
  </w:footnote>
  <w:footnote w:id="67">
    <w:p w14:paraId="32665407" w14:textId="77777777" w:rsidR="00F62B2D" w:rsidRDefault="00F62B2D" w:rsidP="00F62B2D">
      <w:pPr>
        <w:pStyle w:val="FootnoteText"/>
      </w:pPr>
      <w:r>
        <w:rPr>
          <w:rStyle w:val="FootnoteReference"/>
        </w:rPr>
        <w:footnoteRef/>
      </w:r>
      <w:r>
        <w:t xml:space="preserve"> </w:t>
      </w:r>
      <w:r w:rsidRPr="008733CE">
        <w:rPr>
          <w:rFonts w:cs="Times New Roman"/>
        </w:rPr>
        <w:t>The demands on lead</w:t>
      </w:r>
      <w:r>
        <w:rPr>
          <w:rFonts w:cs="Times New Roman"/>
        </w:rPr>
        <w:t>ership</w:t>
      </w:r>
      <w:r w:rsidRPr="008733CE">
        <w:rPr>
          <w:rFonts w:cs="Times New Roman"/>
        </w:rPr>
        <w:t xml:space="preserve"> may be particularly intensive during th</w:t>
      </w:r>
      <w:r>
        <w:rPr>
          <w:rFonts w:cs="Times New Roman"/>
        </w:rPr>
        <w:t xml:space="preserve">e first </w:t>
      </w:r>
      <w:r w:rsidRPr="008733CE">
        <w:rPr>
          <w:rFonts w:cs="Times New Roman"/>
        </w:rPr>
        <w:t>12 t</w:t>
      </w:r>
      <w:r>
        <w:rPr>
          <w:rFonts w:cs="Times New Roman"/>
        </w:rPr>
        <w:t xml:space="preserve">o </w:t>
      </w:r>
      <w:r w:rsidRPr="008733CE">
        <w:rPr>
          <w:rFonts w:cs="Times New Roman"/>
        </w:rPr>
        <w:t xml:space="preserve">18 months </w:t>
      </w:r>
      <w:r>
        <w:rPr>
          <w:rFonts w:cs="Times New Roman"/>
        </w:rPr>
        <w:t xml:space="preserve">after appointments are completed and the structure and operation of the MDL begins. The court should ensure that leadership understands and can handle such time-consuming demands. </w:t>
      </w:r>
      <w:r>
        <w:t xml:space="preserve"> </w:t>
      </w:r>
    </w:p>
  </w:footnote>
  <w:footnote w:id="68">
    <w:p w14:paraId="1AB24D16" w14:textId="77777777" w:rsidR="00F62B2D" w:rsidRPr="00EF7935" w:rsidRDefault="00F62B2D" w:rsidP="00F62B2D">
      <w:pPr>
        <w:pStyle w:val="FootnoteText"/>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i/>
          <w:iCs/>
        </w:rPr>
        <w:t>In re: Bard IVC Filters Products Liability Litigation</w:t>
      </w:r>
      <w:r w:rsidRPr="00EF7935">
        <w:rPr>
          <w:rFonts w:cs="Times New Roman"/>
        </w:rPr>
        <w:t xml:space="preserve"> (MDL No. 2641).</w:t>
      </w:r>
    </w:p>
  </w:footnote>
  <w:footnote w:id="69">
    <w:p w14:paraId="454415D7"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i/>
          <w:iCs/>
        </w:rPr>
        <w:t>In re: 3M Combat Arms Earplug Products Liability Litigation</w:t>
      </w:r>
      <w:r w:rsidRPr="00EF7935">
        <w:rPr>
          <w:rFonts w:cs="Times New Roman"/>
        </w:rPr>
        <w:t xml:space="preserve"> (MDL No. 2885).</w:t>
      </w:r>
    </w:p>
  </w:footnote>
  <w:footnote w:id="70">
    <w:p w14:paraId="6006B291"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i/>
          <w:iCs/>
        </w:rPr>
        <w:t xml:space="preserve">In re: Bair Hugger Forced Air Warming Devices Products Liability Litigation </w:t>
      </w:r>
      <w:r w:rsidRPr="00EF7935">
        <w:rPr>
          <w:rFonts w:cs="Times New Roman"/>
        </w:rPr>
        <w:t>(MDL No. 2666).</w:t>
      </w:r>
    </w:p>
  </w:footnote>
  <w:footnote w:id="71">
    <w:p w14:paraId="7BFD603B" w14:textId="77777777" w:rsidR="00F62B2D" w:rsidRPr="00927CCC" w:rsidRDefault="00F62B2D" w:rsidP="00F62B2D">
      <w:pPr>
        <w:pStyle w:val="FootnoteText"/>
        <w:jc w:val="both"/>
        <w:rPr>
          <w:rFonts w:cs="Times New Roman"/>
        </w:rPr>
      </w:pPr>
      <w:r w:rsidRPr="00927CCC">
        <w:rPr>
          <w:rStyle w:val="FootnoteReference"/>
          <w:rFonts w:cs="Times New Roman"/>
        </w:rPr>
        <w:footnoteRef/>
      </w:r>
      <w:r w:rsidRPr="00927CCC">
        <w:rPr>
          <w:rFonts w:cs="Times New Roman"/>
        </w:rPr>
        <w:t xml:space="preserve"> </w:t>
      </w:r>
      <w:r w:rsidRPr="00927CCC">
        <w:rPr>
          <w:rFonts w:cs="Times New Roman"/>
          <w:i/>
          <w:iCs/>
        </w:rPr>
        <w:t>See</w:t>
      </w:r>
      <w:r>
        <w:rPr>
          <w:rFonts w:cs="Times New Roman"/>
          <w:i/>
          <w:iCs/>
        </w:rPr>
        <w:t xml:space="preserve">, </w:t>
      </w:r>
      <w:r>
        <w:rPr>
          <w:rFonts w:cs="Times New Roman"/>
        </w:rPr>
        <w:t xml:space="preserve">for example, </w:t>
      </w:r>
      <w:r w:rsidRPr="00927CCC">
        <w:rPr>
          <w:rFonts w:cs="Times New Roman"/>
        </w:rPr>
        <w:t>District of Arizona website under C</w:t>
      </w:r>
      <w:r>
        <w:rPr>
          <w:rFonts w:cs="Times New Roman"/>
        </w:rPr>
        <w:t>ases</w:t>
      </w:r>
      <w:r w:rsidRPr="00927CCC">
        <w:rPr>
          <w:rFonts w:cs="Times New Roman"/>
        </w:rPr>
        <w:t xml:space="preserve"> of Interest at </w:t>
      </w:r>
      <w:hyperlink r:id="rId1" w:history="1">
        <w:r w:rsidRPr="00B55A13">
          <w:rPr>
            <w:rStyle w:val="Hyperlink"/>
            <w:rFonts w:cs="Times New Roman"/>
          </w:rPr>
          <w:t>https://www.azd.uscourts.gov/</w:t>
        </w:r>
      </w:hyperlink>
      <w:r>
        <w:rPr>
          <w:rFonts w:cs="Times New Roman"/>
        </w:rPr>
        <w:t xml:space="preserve">. </w:t>
      </w:r>
    </w:p>
  </w:footnote>
  <w:footnote w:id="72">
    <w:p w14:paraId="4261A56E" w14:textId="77777777" w:rsidR="00F62B2D" w:rsidRPr="007358B6" w:rsidRDefault="00F62B2D" w:rsidP="00F62B2D">
      <w:pPr>
        <w:pStyle w:val="FootnoteText"/>
        <w:jc w:val="both"/>
        <w:rPr>
          <w:rFonts w:cs="Times New Roman"/>
        </w:rPr>
      </w:pPr>
      <w:r>
        <w:rPr>
          <w:rStyle w:val="FootnoteReference"/>
        </w:rPr>
        <w:footnoteRef/>
      </w:r>
      <w:r>
        <w:t xml:space="preserve"> </w:t>
      </w:r>
      <w:r w:rsidRPr="00356A5C">
        <w:rPr>
          <w:rFonts w:cs="Times New Roman"/>
        </w:rPr>
        <w:t>Many individual plaintiffs</w:t>
      </w:r>
      <w:r>
        <w:rPr>
          <w:rFonts w:cs="Times New Roman"/>
        </w:rPr>
        <w:t xml:space="preserve"> find court websites with such information invaluable in monitoring the status of their case, which often can take many years to resolve.</w:t>
      </w:r>
    </w:p>
  </w:footnote>
  <w:footnote w:id="73">
    <w:p w14:paraId="37143950" w14:textId="77777777" w:rsidR="00F62B2D" w:rsidRPr="00B72192" w:rsidRDefault="00F62B2D" w:rsidP="00F62B2D">
      <w:pPr>
        <w:pStyle w:val="FootnoteText"/>
        <w:jc w:val="both"/>
        <w:rPr>
          <w:rFonts w:cs="Times New Roman"/>
        </w:rPr>
      </w:pPr>
      <w:r>
        <w:rPr>
          <w:rStyle w:val="FootnoteReference"/>
        </w:rPr>
        <w:footnoteRef/>
      </w:r>
      <w:r>
        <w:t xml:space="preserve"> </w:t>
      </w:r>
      <w:r w:rsidRPr="00B72192">
        <w:rPr>
          <w:rFonts w:cs="Times New Roman"/>
        </w:rPr>
        <w:t>S</w:t>
      </w:r>
      <w:r w:rsidRPr="00B72192">
        <w:rPr>
          <w:rFonts w:cs="Times New Roman"/>
          <w:i/>
          <w:iCs/>
        </w:rPr>
        <w:t>ee</w:t>
      </w:r>
      <w:r w:rsidRPr="00927CCC">
        <w:rPr>
          <w:rFonts w:cs="Times New Roman"/>
          <w:i/>
          <w:iCs/>
        </w:rPr>
        <w:t xml:space="preserve"> </w:t>
      </w:r>
      <w:r>
        <w:rPr>
          <w:rFonts w:cs="Times New Roman"/>
        </w:rPr>
        <w:t>BrownGreer’s website at &lt;mdlcentrality.com&gt;, which reports managing 31 mass-tort MDLs by name and processing more than 1.6 million facts sheets and 4.4 million documents.</w:t>
      </w:r>
    </w:p>
  </w:footnote>
  <w:footnote w:id="74">
    <w:p w14:paraId="1DE78F6D" w14:textId="77777777" w:rsidR="00F62B2D" w:rsidRPr="00B72192" w:rsidRDefault="00F62B2D" w:rsidP="00F62B2D">
      <w:pPr>
        <w:pStyle w:val="FootnoteText"/>
        <w:jc w:val="both"/>
        <w:rPr>
          <w:rFonts w:cs="Times New Roman"/>
        </w:rPr>
      </w:pPr>
      <w:r>
        <w:rPr>
          <w:rStyle w:val="FootnoteReference"/>
        </w:rPr>
        <w:footnoteRef/>
      </w:r>
      <w:r>
        <w:t xml:space="preserve"> S</w:t>
      </w:r>
      <w:r w:rsidRPr="00246F54">
        <w:rPr>
          <w:rFonts w:cs="Times New Roman"/>
          <w:i/>
          <w:iCs/>
        </w:rPr>
        <w:t xml:space="preserve">ee </w:t>
      </w:r>
      <w:r>
        <w:rPr>
          <w:rFonts w:cs="Times New Roman"/>
        </w:rPr>
        <w:t xml:space="preserve">Rubris, Inc., </w:t>
      </w:r>
      <w:hyperlink r:id="rId2" w:history="1">
        <w:r w:rsidRPr="006E6C4B">
          <w:rPr>
            <w:rStyle w:val="Hyperlink"/>
            <w:rFonts w:cs="Times New Roman"/>
          </w:rPr>
          <w:t>www.rubris.com/</w:t>
        </w:r>
      </w:hyperlink>
      <w:r>
        <w:rPr>
          <w:rFonts w:cs="Times New Roman"/>
        </w:rPr>
        <w:t xml:space="preserve"> for marketing material on the Rubris Crosslink platform adopting new technologies.</w:t>
      </w:r>
    </w:p>
  </w:footnote>
  <w:footnote w:id="75">
    <w:p w14:paraId="57760883" w14:textId="77777777" w:rsidR="00F62B2D" w:rsidRPr="00754E42" w:rsidRDefault="00F62B2D" w:rsidP="00F62B2D">
      <w:pPr>
        <w:pStyle w:val="FootnoteText"/>
        <w:jc w:val="both"/>
        <w:rPr>
          <w:rFonts w:cs="Times New Roman"/>
        </w:rPr>
      </w:pPr>
      <w:r>
        <w:rPr>
          <w:rStyle w:val="FootnoteReference"/>
        </w:rPr>
        <w:footnoteRef/>
      </w:r>
      <w:r>
        <w:t xml:space="preserve"> </w:t>
      </w:r>
      <w:r w:rsidRPr="00A202CF">
        <w:rPr>
          <w:rFonts w:cs="Times New Roman"/>
          <w:smallCaps/>
        </w:rPr>
        <w:t>Mass-Tort Compendium of Guidelines and Best Practices</w:t>
      </w:r>
      <w:r>
        <w:rPr>
          <w:rFonts w:cs="Times New Roman"/>
        </w:rPr>
        <w:t>, Rabiej Litigation Law Center (2023).</w:t>
      </w:r>
    </w:p>
  </w:footnote>
  <w:footnote w:id="76">
    <w:p w14:paraId="6631611B" w14:textId="77777777" w:rsidR="00F62B2D" w:rsidRDefault="00F62B2D" w:rsidP="00F62B2D">
      <w:pPr>
        <w:pStyle w:val="FootnoteText"/>
        <w:jc w:val="both"/>
      </w:pPr>
      <w:r>
        <w:rPr>
          <w:rStyle w:val="FootnoteReference"/>
        </w:rPr>
        <w:footnoteRef/>
      </w:r>
      <w:r>
        <w:t xml:space="preserve"> S</w:t>
      </w:r>
      <w:r w:rsidRPr="00927CCC">
        <w:rPr>
          <w:rFonts w:cs="Times New Roman"/>
          <w:i/>
          <w:iCs/>
        </w:rPr>
        <w:t xml:space="preserve">ee </w:t>
      </w:r>
      <w:r>
        <w:rPr>
          <w:rFonts w:cs="Times New Roman"/>
        </w:rPr>
        <w:t xml:space="preserve">BrownGreer’s MDL Centrality marketing material at &lt;mdlcentrality.com&gt;, which describes the platform as a “constantly evolving suite of technology tools [, which] powers your access to the critical data you need, whether it’s dozens or hundreds of thousands of Fact Sheets, tracking docket filings, identifying bellwether cases, scheduling medical exams or depositions, or hosting a repository for discovery documents.”; </w:t>
      </w:r>
      <w:r w:rsidRPr="00246F54">
        <w:rPr>
          <w:rFonts w:cs="Times New Roman"/>
          <w:i/>
          <w:iCs/>
        </w:rPr>
        <w:t>see also</w:t>
      </w:r>
      <w:r>
        <w:rPr>
          <w:rFonts w:cs="Times New Roman"/>
        </w:rPr>
        <w:t xml:space="preserve"> Rubris, Inc., </w:t>
      </w:r>
      <w:hyperlink r:id="rId3" w:history="1">
        <w:r w:rsidRPr="006E6C4B">
          <w:rPr>
            <w:rStyle w:val="Hyperlink"/>
            <w:rFonts w:cs="Times New Roman"/>
          </w:rPr>
          <w:t>www.rubris.com/</w:t>
        </w:r>
      </w:hyperlink>
      <w:r>
        <w:rPr>
          <w:rFonts w:cs="Times New Roman"/>
        </w:rPr>
        <w:t xml:space="preserve"> for marketing material on the Rubris Crosslink platform that “enables all mass tort stakeholders – counsel, neutrals, defendants, vendors – to work in a single end-to-end platform, resulting in increased data quality, efficiency, transparency, and reduced cost,” which addresses case management, litigation &amp; negotiation, settlement administration, and payments and lien resolution matters. </w:t>
      </w:r>
    </w:p>
  </w:footnote>
  <w:footnote w:id="77">
    <w:p w14:paraId="0F6728A5" w14:textId="77777777" w:rsidR="00F62B2D" w:rsidRDefault="00F62B2D" w:rsidP="00F62B2D">
      <w:pPr>
        <w:pStyle w:val="FootnoteText"/>
        <w:jc w:val="both"/>
      </w:pPr>
      <w:r>
        <w:rPr>
          <w:rStyle w:val="FootnoteReference"/>
        </w:rPr>
        <w:footnoteRef/>
      </w:r>
      <w:r>
        <w:t xml:space="preserve"> </w:t>
      </w:r>
      <w:r w:rsidRPr="00E34C01">
        <w:rPr>
          <w:rFonts w:cs="Times New Roman"/>
          <w:i/>
          <w:iCs/>
        </w:rPr>
        <w:t>See</w:t>
      </w:r>
      <w:r w:rsidRPr="00E34C01">
        <w:rPr>
          <w:rFonts w:cs="Times New Roman"/>
        </w:rPr>
        <w:t xml:space="preserve"> </w:t>
      </w:r>
      <w:r w:rsidRPr="00E34C01">
        <w:rPr>
          <w:rFonts w:cs="Times New Roman"/>
          <w:i/>
          <w:iCs/>
        </w:rPr>
        <w:t>infra</w:t>
      </w:r>
      <w:r>
        <w:rPr>
          <w:rFonts w:cs="Times New Roman"/>
          <w:smallCaps/>
        </w:rPr>
        <w:t xml:space="preserve">, </w:t>
      </w:r>
      <w:r w:rsidRPr="00E34C01">
        <w:rPr>
          <w:rFonts w:cs="Times New Roman"/>
          <w:smallCaps/>
        </w:rPr>
        <w:t>Complex Litigation Compendium of Guidelines and Best Practices,</w:t>
      </w:r>
      <w:r w:rsidRPr="00E34C01">
        <w:rPr>
          <w:rFonts w:cs="Times New Roman"/>
        </w:rPr>
        <w:t xml:space="preserve"> Guideline B-</w:t>
      </w:r>
      <w:r>
        <w:rPr>
          <w:rFonts w:cs="Times New Roman"/>
        </w:rPr>
        <w:t>6</w:t>
      </w:r>
      <w:r w:rsidRPr="00E34C01">
        <w:rPr>
          <w:rFonts w:cs="Times New Roman"/>
        </w:rPr>
        <w:t xml:space="preserve"> (Permanent No. </w:t>
      </w:r>
      <w:r>
        <w:rPr>
          <w:rFonts w:cs="Times New Roman"/>
        </w:rPr>
        <w:t>MDL</w:t>
      </w:r>
      <w:r w:rsidRPr="00E34C01">
        <w:rPr>
          <w:rFonts w:cs="Times New Roman"/>
        </w:rPr>
        <w:t>-</w:t>
      </w:r>
      <w:r>
        <w:rPr>
          <w:rFonts w:cs="Times New Roman"/>
        </w:rPr>
        <w:t>§ 3</w:t>
      </w:r>
      <w:r w:rsidRPr="00E34C01">
        <w:rPr>
          <w:rFonts w:cs="Times New Roman"/>
        </w:rPr>
        <w:t xml:space="preserve">) </w:t>
      </w:r>
      <w:r>
        <w:rPr>
          <w:rFonts w:cs="Times New Roman"/>
        </w:rPr>
        <w:t xml:space="preserve">Rabiej Litigation Law Center </w:t>
      </w:r>
      <w:r w:rsidRPr="00E34C01">
        <w:rPr>
          <w:rFonts w:cs="Times New Roman"/>
        </w:rPr>
        <w:t>(2023)</w:t>
      </w:r>
      <w:r>
        <w:rPr>
          <w:rFonts w:cs="Times New Roman"/>
        </w:rPr>
        <w:t xml:space="preserve">. “A dynamic, online central-exchange platform is a shared-document management tool tailored to case-specific needs, which is becoming indispensable in facilitating the exchange, storage, access, search, and analysis of hundreds of thousands of gigabytes of data and documents in mass-tort MDLs.”  </w:t>
      </w:r>
    </w:p>
  </w:footnote>
  <w:footnote w:id="78">
    <w:p w14:paraId="038F01A2" w14:textId="77777777" w:rsidR="00F62B2D" w:rsidRPr="0082520E" w:rsidRDefault="00F62B2D" w:rsidP="00F62B2D">
      <w:pPr>
        <w:pStyle w:val="FootnoteText"/>
        <w:jc w:val="both"/>
        <w:rPr>
          <w:color w:val="auto"/>
        </w:rPr>
      </w:pPr>
      <w:r w:rsidRPr="00BF16F1">
        <w:rPr>
          <w:rStyle w:val="FootnoteReference"/>
          <w:rFonts w:cs="Times New Roman"/>
        </w:rPr>
        <w:footnoteRef/>
      </w:r>
      <w:r w:rsidRPr="00BF16F1">
        <w:rPr>
          <w:rFonts w:cs="Times New Roman"/>
        </w:rPr>
        <w:t xml:space="preserve"> A similar structure could be used in MDLs that </w:t>
      </w:r>
      <w:r w:rsidRPr="00BF16F1">
        <w:rPr>
          <w:rFonts w:eastAsia="Calibri" w:cs="Times New Roman"/>
          <w:bCs/>
        </w:rPr>
        <w:t>involve multiple defendant groups represented by different attorneys and law firms (</w:t>
      </w:r>
      <w:r w:rsidRPr="00BF16F1">
        <w:rPr>
          <w:rFonts w:eastAsia="Calibri" w:cs="Times New Roman"/>
          <w:bCs/>
          <w:i/>
          <w:iCs/>
        </w:rPr>
        <w:t>e.g</w:t>
      </w:r>
      <w:r w:rsidRPr="00BF16F1">
        <w:rPr>
          <w:rFonts w:eastAsia="Calibri" w:cs="Times New Roman"/>
          <w:bCs/>
        </w:rPr>
        <w:t xml:space="preserve">., </w:t>
      </w:r>
      <w:r w:rsidRPr="00BF16F1">
        <w:rPr>
          <w:rFonts w:eastAsia="Calibri" w:cs="Times New Roman"/>
          <w:bCs/>
          <w:i/>
        </w:rPr>
        <w:t>In re National Prescription Opiate Litig.</w:t>
      </w:r>
      <w:r w:rsidRPr="00BF16F1">
        <w:rPr>
          <w:rFonts w:eastAsia="Calibri" w:cs="Times New Roman"/>
          <w:bCs/>
        </w:rPr>
        <w:t>, MDL No. 2804).</w:t>
      </w:r>
    </w:p>
    <w:p w14:paraId="203E6677" w14:textId="77777777" w:rsidR="00F62B2D" w:rsidRPr="0082520E" w:rsidRDefault="00F62B2D" w:rsidP="00F62B2D">
      <w:pPr>
        <w:spacing w:after="120" w:line="480" w:lineRule="auto"/>
        <w:jc w:val="both"/>
        <w:rPr>
          <w:rFonts w:ascii="Times New Roman Bold" w:hAnsi="Times New Roman Bold" w:cs="Times New Roman"/>
          <w:b/>
          <w:smallCaps/>
          <w:color w:val="auto"/>
        </w:rPr>
      </w:pPr>
    </w:p>
    <w:p w14:paraId="14EDA911" w14:textId="77777777" w:rsidR="00F62B2D" w:rsidRPr="0082520E" w:rsidRDefault="00F62B2D" w:rsidP="00F62B2D">
      <w:pPr>
        <w:spacing w:after="120" w:line="480" w:lineRule="auto"/>
        <w:jc w:val="both"/>
        <w:rPr>
          <w:rFonts w:ascii="Times New Roman Bold" w:hAnsi="Times New Roman Bold" w:cs="Times New Roman"/>
          <w:b/>
          <w:smallCaps/>
          <w:color w:val="auto"/>
        </w:rPr>
      </w:pPr>
    </w:p>
    <w:p w14:paraId="7C7BAFBD" w14:textId="77777777" w:rsidR="00F62B2D" w:rsidRPr="0082520E" w:rsidRDefault="00F62B2D" w:rsidP="00F62B2D">
      <w:pPr>
        <w:spacing w:after="120" w:line="480" w:lineRule="auto"/>
        <w:jc w:val="both"/>
        <w:rPr>
          <w:rFonts w:ascii="Times New Roman Bold" w:hAnsi="Times New Roman Bold" w:cs="Times New Roman"/>
          <w:b/>
          <w:smallCaps/>
          <w:color w:val="auto"/>
        </w:rPr>
      </w:pPr>
    </w:p>
    <w:p w14:paraId="3011D933" w14:textId="77777777" w:rsidR="00F62B2D" w:rsidRPr="0082520E" w:rsidRDefault="00F62B2D" w:rsidP="00F62B2D">
      <w:pPr>
        <w:spacing w:after="120" w:line="480" w:lineRule="auto"/>
        <w:jc w:val="both"/>
        <w:rPr>
          <w:rFonts w:ascii="Times New Roman Bold" w:hAnsi="Times New Roman Bold" w:cs="Times New Roman"/>
          <w:b/>
          <w:smallCaps/>
          <w:color w:val="auto"/>
        </w:rPr>
      </w:pPr>
    </w:p>
    <w:p w14:paraId="37C656F7" w14:textId="77777777" w:rsidR="00F62B2D" w:rsidRDefault="00F62B2D" w:rsidP="00F62B2D">
      <w:pPr>
        <w:spacing w:after="120" w:line="480" w:lineRule="auto"/>
        <w:jc w:val="both"/>
        <w:rPr>
          <w:rFonts w:ascii="Times New Roman Bold" w:hAnsi="Times New Roman Bold" w:cs="Times New Roman"/>
          <w:b/>
          <w:smallCaps/>
          <w:color w:val="auto"/>
        </w:rPr>
      </w:pPr>
    </w:p>
    <w:p w14:paraId="4F03089D" w14:textId="77777777" w:rsidR="00F62B2D" w:rsidRPr="0082520E" w:rsidRDefault="00F62B2D" w:rsidP="00F62B2D">
      <w:pPr>
        <w:spacing w:after="120" w:line="480" w:lineRule="auto"/>
        <w:jc w:val="both"/>
        <w:rPr>
          <w:rFonts w:ascii="Times New Roman Bold" w:hAnsi="Times New Roman Bold" w:cs="Times New Roman"/>
          <w:b/>
          <w:smallCaps/>
          <w:color w:val="auto"/>
        </w:rPr>
      </w:pPr>
    </w:p>
    <w:p w14:paraId="426E426E" w14:textId="77777777" w:rsidR="00F62B2D" w:rsidRPr="0004161E" w:rsidRDefault="00F62B2D" w:rsidP="00F62B2D">
      <w:pPr>
        <w:jc w:val="both"/>
        <w:rPr>
          <w:rFonts w:cs="Times New Roman"/>
          <w:b/>
          <w:smallCaps/>
        </w:rPr>
      </w:pPr>
      <w:r w:rsidRPr="0004161E">
        <w:rPr>
          <w:rFonts w:cs="Times New Roman"/>
          <w:b/>
          <w:smallCaps/>
        </w:rPr>
        <w:tab/>
      </w:r>
    </w:p>
    <w:p w14:paraId="1AF7562C" w14:textId="77777777" w:rsidR="00F62B2D" w:rsidRDefault="00F62B2D" w:rsidP="00F62B2D">
      <w:pPr>
        <w:pStyle w:val="FootnoteText"/>
        <w:jc w:val="both"/>
        <w:rPr>
          <w:b/>
          <w:bCs/>
          <w:sz w:val="28"/>
          <w:szCs w:val="28"/>
        </w:rPr>
      </w:pPr>
    </w:p>
    <w:p w14:paraId="1DB19227" w14:textId="77777777" w:rsidR="00F62B2D" w:rsidRDefault="00F62B2D" w:rsidP="00F62B2D">
      <w:pPr>
        <w:pStyle w:val="FootnoteText"/>
        <w:jc w:val="both"/>
        <w:rPr>
          <w:b/>
          <w:bCs/>
          <w:sz w:val="28"/>
          <w:szCs w:val="28"/>
        </w:rPr>
      </w:pPr>
    </w:p>
    <w:p w14:paraId="4040B68A" w14:textId="77777777" w:rsidR="00F62B2D" w:rsidRDefault="00F62B2D" w:rsidP="00F62B2D">
      <w:pPr>
        <w:pStyle w:val="FootnoteText"/>
        <w:jc w:val="both"/>
        <w:rPr>
          <w:b/>
          <w:bCs/>
          <w:sz w:val="28"/>
          <w:szCs w:val="28"/>
        </w:rPr>
      </w:pPr>
    </w:p>
    <w:p w14:paraId="0DA793D8" w14:textId="77777777" w:rsidR="00F62B2D" w:rsidRDefault="00F62B2D" w:rsidP="00F62B2D">
      <w:pPr>
        <w:pStyle w:val="FootnoteText"/>
        <w:jc w:val="both"/>
        <w:rPr>
          <w:b/>
          <w:bCs/>
          <w:sz w:val="28"/>
          <w:szCs w:val="28"/>
        </w:rPr>
      </w:pPr>
    </w:p>
    <w:p w14:paraId="70DF726C" w14:textId="77777777" w:rsidR="00F62B2D" w:rsidRDefault="00F62B2D" w:rsidP="00F62B2D">
      <w:pPr>
        <w:pStyle w:val="FootnoteText"/>
        <w:jc w:val="both"/>
        <w:rPr>
          <w:b/>
          <w:bCs/>
          <w:sz w:val="28"/>
          <w:szCs w:val="28"/>
        </w:rPr>
      </w:pPr>
    </w:p>
    <w:p w14:paraId="473598D6" w14:textId="77777777" w:rsidR="00F62B2D" w:rsidRDefault="00F62B2D" w:rsidP="00F62B2D">
      <w:pPr>
        <w:pStyle w:val="FootnoteText"/>
        <w:jc w:val="both"/>
        <w:rPr>
          <w:b/>
          <w:bCs/>
          <w:sz w:val="28"/>
          <w:szCs w:val="28"/>
        </w:rPr>
      </w:pPr>
    </w:p>
    <w:p w14:paraId="6E353077" w14:textId="77777777" w:rsidR="00F62B2D" w:rsidRDefault="00F62B2D" w:rsidP="00F62B2D">
      <w:pPr>
        <w:pStyle w:val="FootnoteText"/>
        <w:jc w:val="both"/>
        <w:rPr>
          <w:b/>
          <w:bCs/>
          <w:sz w:val="28"/>
          <w:szCs w:val="28"/>
        </w:rPr>
      </w:pPr>
    </w:p>
    <w:p w14:paraId="0991468F" w14:textId="77777777" w:rsidR="00F62B2D" w:rsidRDefault="00F62B2D" w:rsidP="00F62B2D">
      <w:pPr>
        <w:pStyle w:val="FootnoteText"/>
        <w:jc w:val="both"/>
        <w:rPr>
          <w:b/>
          <w:bCs/>
          <w:sz w:val="28"/>
          <w:szCs w:val="28"/>
        </w:rPr>
      </w:pPr>
    </w:p>
    <w:p w14:paraId="254CA335" w14:textId="77777777" w:rsidR="00F62B2D" w:rsidRDefault="00F62B2D" w:rsidP="00F62B2D">
      <w:pPr>
        <w:pStyle w:val="FootnoteText"/>
        <w:jc w:val="both"/>
        <w:rPr>
          <w:b/>
          <w:bCs/>
          <w:sz w:val="28"/>
          <w:szCs w:val="28"/>
        </w:rPr>
      </w:pPr>
    </w:p>
    <w:p w14:paraId="081DF822" w14:textId="77777777" w:rsidR="00F62B2D" w:rsidRDefault="00F62B2D" w:rsidP="00F62B2D">
      <w:pPr>
        <w:pStyle w:val="FootnoteText"/>
        <w:jc w:val="both"/>
        <w:rPr>
          <w:sz w:val="24"/>
          <w:szCs w:val="24"/>
        </w:rPr>
      </w:pPr>
    </w:p>
    <w:p w14:paraId="00C4D598" w14:textId="77777777" w:rsidR="00F62B2D" w:rsidRDefault="00F62B2D" w:rsidP="00F62B2D">
      <w:pPr>
        <w:pStyle w:val="FootnoteText"/>
        <w:jc w:val="both"/>
        <w:rPr>
          <w:sz w:val="24"/>
          <w:szCs w:val="24"/>
        </w:rPr>
      </w:pPr>
    </w:p>
    <w:p w14:paraId="1A42E643" w14:textId="77777777" w:rsidR="00F62B2D" w:rsidRDefault="00F62B2D" w:rsidP="00F62B2D">
      <w:pPr>
        <w:pStyle w:val="FootnoteText"/>
        <w:jc w:val="both"/>
        <w:rPr>
          <w:sz w:val="24"/>
          <w:szCs w:val="24"/>
        </w:rPr>
      </w:pPr>
    </w:p>
    <w:p w14:paraId="13885B1B" w14:textId="77777777" w:rsidR="00F62B2D" w:rsidRDefault="00F62B2D" w:rsidP="00F62B2D">
      <w:pPr>
        <w:pStyle w:val="FootnoteText"/>
        <w:jc w:val="both"/>
        <w:rPr>
          <w:sz w:val="24"/>
          <w:szCs w:val="24"/>
        </w:rPr>
      </w:pPr>
    </w:p>
    <w:p w14:paraId="711BD3B7" w14:textId="77777777" w:rsidR="00F62B2D" w:rsidRDefault="00F62B2D" w:rsidP="00F62B2D">
      <w:pPr>
        <w:pStyle w:val="FootnoteText"/>
        <w:jc w:val="both"/>
        <w:rPr>
          <w:sz w:val="24"/>
          <w:szCs w:val="24"/>
        </w:rPr>
      </w:pPr>
    </w:p>
    <w:p w14:paraId="5395FED0" w14:textId="77777777" w:rsidR="00F62B2D" w:rsidRDefault="00F62B2D" w:rsidP="00F62B2D">
      <w:pPr>
        <w:pStyle w:val="FootnoteText"/>
        <w:jc w:val="both"/>
        <w:rPr>
          <w:sz w:val="24"/>
          <w:szCs w:val="24"/>
        </w:rPr>
      </w:pPr>
    </w:p>
    <w:p w14:paraId="3C5D6660" w14:textId="77777777" w:rsidR="00F62B2D" w:rsidRDefault="00F62B2D" w:rsidP="00F62B2D">
      <w:pPr>
        <w:pStyle w:val="FootnoteText"/>
        <w:jc w:val="both"/>
        <w:rPr>
          <w:sz w:val="24"/>
          <w:szCs w:val="24"/>
        </w:rPr>
      </w:pPr>
    </w:p>
    <w:p w14:paraId="662D5188" w14:textId="77777777" w:rsidR="00F62B2D" w:rsidRDefault="00F62B2D" w:rsidP="00F62B2D">
      <w:pPr>
        <w:pStyle w:val="FootnoteText"/>
        <w:jc w:val="both"/>
        <w:rPr>
          <w:sz w:val="24"/>
          <w:szCs w:val="24"/>
        </w:rPr>
      </w:pPr>
    </w:p>
    <w:p w14:paraId="739DB461" w14:textId="77777777" w:rsidR="00F62B2D" w:rsidRDefault="00F62B2D" w:rsidP="00F62B2D">
      <w:pPr>
        <w:pStyle w:val="FootnoteText"/>
        <w:jc w:val="both"/>
        <w:rPr>
          <w:sz w:val="24"/>
          <w:szCs w:val="24"/>
        </w:rPr>
      </w:pPr>
    </w:p>
    <w:p w14:paraId="041DF59D" w14:textId="77777777" w:rsidR="00F62B2D" w:rsidRDefault="00F62B2D" w:rsidP="00F62B2D">
      <w:pPr>
        <w:pStyle w:val="FootnoteText"/>
        <w:jc w:val="both"/>
        <w:rPr>
          <w:sz w:val="24"/>
          <w:szCs w:val="24"/>
        </w:rPr>
      </w:pPr>
    </w:p>
    <w:p w14:paraId="0C642BA1" w14:textId="77777777" w:rsidR="00F62B2D" w:rsidRDefault="00F62B2D" w:rsidP="00F62B2D">
      <w:pPr>
        <w:pStyle w:val="FootnoteText"/>
        <w:jc w:val="both"/>
        <w:rPr>
          <w:sz w:val="24"/>
          <w:szCs w:val="24"/>
        </w:rPr>
      </w:pPr>
    </w:p>
    <w:p w14:paraId="79EA7DAD" w14:textId="77777777" w:rsidR="00F62B2D" w:rsidRDefault="00F62B2D" w:rsidP="00F62B2D">
      <w:pPr>
        <w:pStyle w:val="FootnoteText"/>
        <w:jc w:val="both"/>
        <w:rPr>
          <w:sz w:val="24"/>
          <w:szCs w:val="24"/>
        </w:rPr>
      </w:pPr>
    </w:p>
    <w:p w14:paraId="33E44CE9" w14:textId="77777777" w:rsidR="00F62B2D" w:rsidRDefault="00F62B2D" w:rsidP="00F62B2D">
      <w:pPr>
        <w:pStyle w:val="FootnoteText"/>
        <w:jc w:val="both"/>
        <w:rPr>
          <w:sz w:val="24"/>
          <w:szCs w:val="24"/>
        </w:rPr>
      </w:pPr>
    </w:p>
    <w:p w14:paraId="5867523F" w14:textId="77777777" w:rsidR="00F62B2D" w:rsidRPr="00BF16F1" w:rsidRDefault="00F62B2D" w:rsidP="00F62B2D">
      <w:pPr>
        <w:pStyle w:val="FootnoteText"/>
        <w:jc w:val="both"/>
        <w:rPr>
          <w:rFonts w:cs="Times New Roman"/>
        </w:rPr>
      </w:pPr>
    </w:p>
  </w:footnote>
  <w:footnote w:id="79">
    <w:p w14:paraId="0ECB1F4B" w14:textId="77777777" w:rsidR="00F62B2D" w:rsidRPr="001148D7" w:rsidRDefault="00F62B2D" w:rsidP="00F62B2D">
      <w:pPr>
        <w:pStyle w:val="FootnoteText"/>
        <w:jc w:val="both"/>
        <w:rPr>
          <w:rFonts w:cs="Times New Roman"/>
        </w:rPr>
      </w:pPr>
      <w:r>
        <w:rPr>
          <w:rStyle w:val="FootnoteReference"/>
        </w:rPr>
        <w:footnoteRef/>
      </w:r>
      <w:r>
        <w:t xml:space="preserve"> </w:t>
      </w:r>
      <w:r>
        <w:rPr>
          <w:rFonts w:cs="Times New Roman"/>
        </w:rPr>
        <w:t>Although the text of the rule applies generally to “compensation” of leadership counsel, it is intended to address only common-benefit work performed by the leadership counsel as alluded to in the Committee Note, “establish a means for compensating leadership counsel for their added responsibilities.”</w:t>
      </w:r>
    </w:p>
  </w:footnote>
  <w:footnote w:id="80">
    <w:p w14:paraId="217C4302" w14:textId="6EA6174F"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“Courts have entered orders pursuant to the common benefit doctrine establishing specific protocols for common benefit work and expenses.” </w:t>
      </w:r>
      <w:r w:rsidR="001B7640">
        <w:rPr>
          <w:rFonts w:cs="Times New Roman"/>
        </w:rPr>
        <w:t>FED. R. CIV. P.</w:t>
      </w:r>
      <w:r w:rsidRPr="00EF7935">
        <w:rPr>
          <w:rFonts w:cs="Times New Roman"/>
        </w:rPr>
        <w:t xml:space="preserve"> 16.1(</w:t>
      </w:r>
      <w:r>
        <w:rPr>
          <w:rFonts w:cs="Times New Roman"/>
        </w:rPr>
        <w:t>b</w:t>
      </w:r>
      <w:r w:rsidRPr="00EF7935">
        <w:rPr>
          <w:rFonts w:cs="Times New Roman"/>
        </w:rPr>
        <w:t>)(</w:t>
      </w:r>
      <w:r>
        <w:rPr>
          <w:rFonts w:cs="Times New Roman"/>
        </w:rPr>
        <w:t>2</w:t>
      </w:r>
      <w:r w:rsidRPr="00EF7935">
        <w:rPr>
          <w:rFonts w:cs="Times New Roman"/>
        </w:rPr>
        <w:t>)(</w:t>
      </w:r>
      <w:r>
        <w:rPr>
          <w:rFonts w:cs="Times New Roman"/>
        </w:rPr>
        <w:t>A</w:t>
      </w:r>
      <w:r w:rsidRPr="00EF7935">
        <w:rPr>
          <w:rFonts w:cs="Times New Roman"/>
        </w:rPr>
        <w:t>)</w:t>
      </w:r>
      <w:r>
        <w:rPr>
          <w:rFonts w:cs="Times New Roman"/>
        </w:rPr>
        <w:t>(vii)</w:t>
      </w:r>
      <w:r w:rsidRPr="00EF7935">
        <w:rPr>
          <w:rFonts w:cs="Times New Roman"/>
        </w:rPr>
        <w:t>, Committee Note (</w:t>
      </w:r>
      <w:r>
        <w:rPr>
          <w:rFonts w:cs="Times New Roman"/>
        </w:rPr>
        <w:t>December 1, 2025</w:t>
      </w:r>
      <w:r w:rsidRPr="00EF7935">
        <w:rPr>
          <w:rFonts w:cs="Times New Roman"/>
        </w:rPr>
        <w:t>)</w:t>
      </w:r>
      <w:r>
        <w:rPr>
          <w:rFonts w:cs="Times New Roman"/>
        </w:rPr>
        <w:t xml:space="preserve">; </w:t>
      </w:r>
      <w:r w:rsidRPr="006146AE">
        <w:rPr>
          <w:rFonts w:cs="Times New Roman"/>
          <w:i/>
          <w:iCs/>
        </w:rPr>
        <w:t>see also</w:t>
      </w:r>
      <w:r>
        <w:rPr>
          <w:rFonts w:cs="Times New Roman"/>
        </w:rP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xml:space="preserve">., MDL No. 3081, Case Management Order No. 4 (Oct. 10, 2023) (“The Court expresses no opinion regarding whether payment of any common-benefit fees or expenses will ever be appropriate.  This order merely provides guidance so that, should the issue become ripe during or after the closure of MDL 3081, any attorney applying for common-benefit fees or expenses will have notice of the standards that will be employed in assessing those applications.”);  </w:t>
      </w:r>
      <w:r w:rsidRPr="0004760C">
        <w:rPr>
          <w:rFonts w:cs="Times New Roman"/>
          <w:i/>
          <w:iCs/>
        </w:rPr>
        <w:t>but see</w:t>
      </w:r>
      <w:r>
        <w:rPr>
          <w:rFonts w:cs="Times New Roman"/>
        </w:rPr>
        <w:t xml:space="preserve"> Comments on Federal Rule Civil Procedure 16.1 submitted by judges of the Superior Court of the State of California for the County of Los Angels assigned complex litigation program, p. 5 (Feb. 2, 2024) (“In simple terms, taxing a portion of any recoveries that might occur in a mass tort case (whether by verdict and judgment or by settlement), creates a strong incentive to participate in Plaintiffs’ Leadership and to incur ‘billable hours.’”)</w:t>
      </w:r>
      <w:r w:rsidRPr="00EF7935">
        <w:rPr>
          <w:rFonts w:cs="Times New Roman"/>
        </w:rPr>
        <w:t>.</w:t>
      </w:r>
    </w:p>
  </w:footnote>
  <w:footnote w:id="81">
    <w:p w14:paraId="3723777F" w14:textId="77777777" w:rsidR="00F62B2D" w:rsidRDefault="00F62B2D" w:rsidP="00F62B2D">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4, p. 14 (Oct. 10, 2023) (court issued a common-benefit fund order five weeks after the initial-management conference setting a 10% assessment, listing citations to many MDLs with common-benefit orders).</w:t>
      </w:r>
    </w:p>
  </w:footnote>
  <w:footnote w:id="82">
    <w:p w14:paraId="66AC1FD2" w14:textId="77777777" w:rsidR="00F62B2D" w:rsidRPr="00CA548F" w:rsidRDefault="00F62B2D" w:rsidP="00F62B2D">
      <w:pPr>
        <w:pStyle w:val="FootnoteText"/>
        <w:jc w:val="both"/>
        <w:rPr>
          <w:i/>
          <w:iCs/>
        </w:rPr>
      </w:pPr>
      <w:r>
        <w:rPr>
          <w:rStyle w:val="FootnoteReference"/>
        </w:rPr>
        <w:footnoteRef/>
      </w:r>
      <w:r>
        <w:t xml:space="preserve"> A 10% common-benefit fee and expense assessment was ordered in the following mass-tort MDLs: (i) </w:t>
      </w:r>
      <w:r w:rsidRPr="00CA548F">
        <w:rPr>
          <w:i/>
          <w:iCs/>
        </w:rPr>
        <w:t>In re Testerone Replacement Therapy</w:t>
      </w:r>
      <w:r>
        <w:t xml:space="preserve">, MDL No. 2545; (ii) </w:t>
      </w:r>
      <w:r>
        <w:rPr>
          <w:i/>
          <w:iCs/>
        </w:rPr>
        <w:t xml:space="preserve">In re Bard IVC Filters, </w:t>
      </w:r>
      <w:r>
        <w:t xml:space="preserve">MDL No. 2641; (iii) </w:t>
      </w:r>
      <w:r>
        <w:rPr>
          <w:i/>
          <w:iCs/>
        </w:rPr>
        <w:t>In re Allergan Biocell Textured Breast Implant,</w:t>
      </w:r>
      <w:r>
        <w:t xml:space="preserve"> MDL No. 2921; (iv) </w:t>
      </w:r>
      <w:r>
        <w:rPr>
          <w:i/>
          <w:iCs/>
        </w:rPr>
        <w:t>In re Recalled CPAP, Bi-Level PAP, and Mechanical Ventilator,</w:t>
      </w:r>
      <w:r>
        <w:t xml:space="preserve"> MDL No. 3014; (v) </w:t>
      </w:r>
      <w:r>
        <w:rPr>
          <w:i/>
          <w:iCs/>
        </w:rPr>
        <w:t xml:space="preserve">In re Social Media Adolescent Addiction/Personal Injury, </w:t>
      </w:r>
      <w:r>
        <w:t xml:space="preserve">MDL No. 3047; and (vi) </w:t>
      </w:r>
      <w:r>
        <w:rPr>
          <w:i/>
          <w:iCs/>
        </w:rPr>
        <w:t xml:space="preserve">In re Bard Implanted Catheter, </w:t>
      </w:r>
      <w:r>
        <w:t xml:space="preserve">MDL No. 3081. An 11% assessment was ordered in </w:t>
      </w:r>
      <w:r>
        <w:rPr>
          <w:i/>
          <w:iCs/>
        </w:rPr>
        <w:t xml:space="preserve">In re Hair Relaxer, </w:t>
      </w:r>
      <w:r>
        <w:t xml:space="preserve">MDL No. 3060 and </w:t>
      </w:r>
      <w:r>
        <w:rPr>
          <w:i/>
          <w:iCs/>
        </w:rPr>
        <w:t xml:space="preserve">In re Glugagon-Like Peptide-Receptor Agonists (GLP-1 RAS), </w:t>
      </w:r>
      <w:r>
        <w:t xml:space="preserve">MDL No. 3094 and a 9% assessment in </w:t>
      </w:r>
      <w:r>
        <w:rPr>
          <w:i/>
          <w:iCs/>
        </w:rPr>
        <w:t xml:space="preserve">In re Ethicon Physiomesh Flexible Composite Hernia Mesh, </w:t>
      </w:r>
      <w:r>
        <w:t xml:space="preserve">MDL No. 2782 and </w:t>
      </w:r>
      <w:r>
        <w:rPr>
          <w:i/>
          <w:iCs/>
        </w:rPr>
        <w:t xml:space="preserve">In re 3M Combat Arms Earplug, </w:t>
      </w:r>
      <w:r>
        <w:t>MDL No. 2885.</w:t>
      </w:r>
      <w:r>
        <w:rPr>
          <w:i/>
          <w:iCs/>
        </w:rPr>
        <w:t xml:space="preserve"> </w:t>
      </w:r>
    </w:p>
  </w:footnote>
  <w:footnote w:id="83">
    <w:p w14:paraId="744DAF93" w14:textId="7653D875"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002718AD">
        <w:rPr>
          <w:rFonts w:cs="Times New Roman"/>
        </w:rPr>
        <w:t>FED. R. CIV. P.</w:t>
      </w:r>
      <w:r w:rsidR="002718AD" w:rsidRPr="00EF7935">
        <w:rPr>
          <w:rFonts w:cs="Times New Roman"/>
        </w:rPr>
        <w:t xml:space="preserve"> </w:t>
      </w:r>
      <w:r w:rsidR="002718AD" w:rsidRPr="00AB69BC">
        <w:rPr>
          <w:rFonts w:cs="Times New Roman"/>
        </w:rPr>
        <w:t>16.1(b)(2)(A)(vii</w:t>
      </w:r>
      <w:r w:rsidR="002718AD">
        <w:rPr>
          <w:rFonts w:cs="Times New Roman"/>
        </w:rPr>
        <w:t>)</w:t>
      </w:r>
      <w:r w:rsidR="002718AD" w:rsidRPr="00EF7935">
        <w:rPr>
          <w:rFonts w:cs="Times New Roman"/>
        </w:rPr>
        <w:t>, Committee Note (</w:t>
      </w:r>
      <w:r w:rsidR="002718AD">
        <w:rPr>
          <w:rFonts w:cs="Times New Roman"/>
        </w:rPr>
        <w:t>December 1, 2025) (</w:t>
      </w:r>
      <w:r w:rsidRPr="00EF7935">
        <w:rPr>
          <w:rFonts w:cs="Times New Roman"/>
        </w:rPr>
        <w:t xml:space="preserve">“But it may be best to defer entering a specific order </w:t>
      </w:r>
      <w:r w:rsidR="009E18D2">
        <w:rPr>
          <w:rFonts w:cs="Times New Roman"/>
        </w:rPr>
        <w:t xml:space="preserve">relating </w:t>
      </w:r>
      <w:r w:rsidR="00162908">
        <w:rPr>
          <w:rFonts w:cs="Times New Roman"/>
        </w:rPr>
        <w:t xml:space="preserve">to a common benefit and expenses </w:t>
      </w:r>
      <w:r w:rsidRPr="00EF7935">
        <w:rPr>
          <w:rFonts w:cs="Times New Roman"/>
        </w:rPr>
        <w:t xml:space="preserve">until well into the proceedings, when the court is more familiar with the </w:t>
      </w:r>
      <w:r w:rsidR="002718AD">
        <w:rPr>
          <w:rFonts w:cs="Times New Roman"/>
        </w:rPr>
        <w:t>effects of such an order and the activities of leadership counsel</w:t>
      </w:r>
      <w:r w:rsidRPr="00EF7935">
        <w:rPr>
          <w:rFonts w:cs="Times New Roman"/>
        </w:rPr>
        <w:t>.”</w:t>
      </w:r>
      <w:r w:rsidR="002718AD">
        <w:rPr>
          <w:rFonts w:cs="Times New Roman"/>
        </w:rPr>
        <w:t>)</w:t>
      </w:r>
      <w:r w:rsidRPr="00EF7935">
        <w:rPr>
          <w:rFonts w:cs="Times New Roman"/>
        </w:rPr>
        <w:t xml:space="preserve"> </w:t>
      </w:r>
    </w:p>
  </w:footnote>
  <w:footnote w:id="84">
    <w:p w14:paraId="63559702" w14:textId="77777777" w:rsidR="00F62B2D" w:rsidRPr="00755AA6" w:rsidRDefault="00F62B2D" w:rsidP="00F62B2D">
      <w:pPr>
        <w:pStyle w:val="FootnoteText"/>
        <w:jc w:val="both"/>
        <w:rPr>
          <w:rFonts w:cs="Times New Roman"/>
        </w:rPr>
      </w:pPr>
      <w:r>
        <w:rPr>
          <w:rStyle w:val="FootnoteReference"/>
        </w:rPr>
        <w:footnoteRef/>
      </w:r>
      <w:r>
        <w:t xml:space="preserve"> </w:t>
      </w:r>
      <w:r w:rsidRPr="00A02DA8">
        <w:rPr>
          <w:rFonts w:ascii="See See Century Schoolbook" w:hAnsi="See See Century Schoolbook"/>
          <w:i/>
          <w:iCs/>
        </w:rPr>
        <w:t>See Social Media Adolescent Addiction</w:t>
      </w:r>
      <w:r>
        <w:rPr>
          <w:rFonts w:ascii="See See Century Schoolbook" w:hAnsi="See See Century Schoolbook"/>
        </w:rPr>
        <w:t>, MDL 3047, common-benefit order (Mar. 6, 2023) filed a few months after the JPML transfer, which assessed a 10% common-benefit fund percentage.</w:t>
      </w:r>
    </w:p>
  </w:footnote>
  <w:footnote w:id="85">
    <w:p w14:paraId="658F0443" w14:textId="77777777" w:rsidR="00F62B2D" w:rsidRDefault="00F62B2D" w:rsidP="00F62B2D">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4 (Oct. 10, 2023) (court directed defendant’s counsel upon learning of a case being filed in any state court ... to “promptly forward a copy of the state-court complaint to plaintiffs’ Co-Lead Counsel so that Plaintiffs’’ Co-Lead Counsel can notify the state-court-attorneys of this order and offer them the opportunity to become Participating Counsel.”)</w:t>
      </w:r>
    </w:p>
  </w:footnote>
  <w:footnote w:id="86">
    <w:p w14:paraId="3AA364B1" w14:textId="77777777" w:rsidR="00F62B2D" w:rsidRPr="00CD3B28" w:rsidRDefault="00F62B2D" w:rsidP="00F62B2D">
      <w:pPr>
        <w:pStyle w:val="FootnoteText"/>
        <w:jc w:val="both"/>
        <w:rPr>
          <w:rFonts w:cs="Times New Roman"/>
        </w:rPr>
      </w:pPr>
      <w:r>
        <w:rPr>
          <w:rStyle w:val="FootnoteReference"/>
        </w:rPr>
        <w:footnoteRef/>
      </w:r>
      <w:r>
        <w:t xml:space="preserve"> </w:t>
      </w:r>
      <w:r w:rsidRPr="008242A1">
        <w:rPr>
          <w:rFonts w:cs="Times New Roman"/>
          <w:i/>
          <w:iCs/>
        </w:rPr>
        <w:t>See</w:t>
      </w:r>
      <w:r>
        <w:rPr>
          <w:rFonts w:cs="Times New Roman"/>
        </w:rPr>
        <w:t xml:space="preserve"> Rules of Procedure of the United States Judicial Panel on Multidistrict Litigation, Rule 1.1(h) (“’Tag-along action’ refers to a civil action pending in a district court which involves common questions of fact with either (1) actions on a pending motion to transfer to create an MDL or (2) actions previously transferred to an existing MDL, and which the Panel would consider transferring under Section 1407.”); </w:t>
      </w:r>
      <w:r w:rsidRPr="008242A1">
        <w:rPr>
          <w:rFonts w:cs="Times New Roman"/>
          <w:i/>
          <w:iCs/>
        </w:rPr>
        <w:t>see also</w:t>
      </w:r>
      <w:r>
        <w:rPr>
          <w:rFonts w:cs="Times New Roman"/>
        </w:rPr>
        <w:t xml:space="preserve"> Rules 6.2(d), 7.1, and 7.2 on Tag-A</w:t>
      </w:r>
      <w:r w:rsidRPr="00CD3B28">
        <w:rPr>
          <w:rFonts w:cs="Times New Roman"/>
        </w:rPr>
        <w:t>long Actions.</w:t>
      </w:r>
    </w:p>
  </w:footnote>
  <w:footnote w:id="87">
    <w:p w14:paraId="295AB8C9" w14:textId="77777777" w:rsidR="00F62B2D" w:rsidRPr="00CD3B28" w:rsidRDefault="00F62B2D" w:rsidP="00F62B2D">
      <w:pPr>
        <w:jc w:val="both"/>
        <w:rPr>
          <w:rFonts w:cs="Times New Roman"/>
        </w:rPr>
      </w:pPr>
      <w:r w:rsidRPr="00CD3B28">
        <w:rPr>
          <w:rStyle w:val="FootnoteReference"/>
          <w:rFonts w:cs="Times New Roman"/>
          <w:sz w:val="20"/>
          <w:szCs w:val="20"/>
        </w:rPr>
        <w:footnoteRef/>
      </w:r>
      <w:r w:rsidRPr="00CD3B28">
        <w:rPr>
          <w:rFonts w:cs="Times New Roman"/>
          <w:sz w:val="20"/>
          <w:szCs w:val="20"/>
        </w:rPr>
        <w:t xml:space="preserve"> </w:t>
      </w:r>
      <w:r w:rsidRPr="00CD3B28">
        <w:rPr>
          <w:rFonts w:cs="Times New Roman"/>
          <w:i/>
          <w:iCs/>
          <w:sz w:val="20"/>
          <w:szCs w:val="20"/>
        </w:rPr>
        <w:t>See</w:t>
      </w:r>
      <w:r>
        <w:rPr>
          <w:rFonts w:cs="Times New Roman"/>
          <w:sz w:val="20"/>
          <w:szCs w:val="20"/>
        </w:rPr>
        <w:t>, comments submitted by American Association for Justice on proposed Rule 16.1 to the Advisory Committee on Civil Rules (February 15, 2024) (“</w:t>
      </w:r>
      <w:r w:rsidRPr="00CD3B28">
        <w:rPr>
          <w:rFonts w:cs="Times New Roman"/>
          <w:sz w:val="20"/>
          <w:szCs w:val="20"/>
        </w:rPr>
        <w:t>In our 2018 memorandum, AAJ suggested the creation of an inactive docket to address claims that require additional time to be verified, including cases that may have been filed to preserve a client’s claim before the applicable state statute of limitations expired. With an established inactive docket in place, the entire litigation would not be hamstringed by claims that require additional time to verify specific product use, exposure, or implantation; to obtain official medical records, or locate other documentation to confirm medical diagnosis and treatment; or sometimes even to find a client who may have moved or changed phone numbers. The active docket could continue with traditional pre-trial discovery, while cases on the inactive docket would remain there until more information becomes available, at which point decisions can be made about what to do with each case (</w:t>
      </w:r>
      <w:r w:rsidRPr="00CD3B28">
        <w:rPr>
          <w:rFonts w:cs="Times New Roman"/>
          <w:i/>
          <w:iCs/>
          <w:sz w:val="20"/>
          <w:szCs w:val="20"/>
        </w:rPr>
        <w:t>i.e.,</w:t>
      </w:r>
      <w:r w:rsidRPr="00CD3B28">
        <w:rPr>
          <w:rFonts w:cs="Times New Roman"/>
          <w:sz w:val="20"/>
          <w:szCs w:val="20"/>
        </w:rPr>
        <w:t xml:space="preserve"> transfer to the active docket, transfer or remand to another court because the case is outside the scope of the MDL transfer order, or voluntary dismissal).</w:t>
      </w:r>
      <w:r>
        <w:rPr>
          <w:rFonts w:cs="Times New Roman"/>
          <w:sz w:val="20"/>
          <w:szCs w:val="20"/>
        </w:rPr>
        <w:t xml:space="preserve">”). </w:t>
      </w:r>
    </w:p>
  </w:footnote>
  <w:footnote w:id="88">
    <w:p w14:paraId="186FD2BC" w14:textId="77777777" w:rsidR="00F62B2D" w:rsidRDefault="00F62B2D" w:rsidP="00F62B2D">
      <w:pPr>
        <w:pStyle w:val="FootnoteText"/>
        <w:jc w:val="both"/>
      </w:pPr>
      <w:r>
        <w:rPr>
          <w:rStyle w:val="FootnoteReference"/>
        </w:rPr>
        <w:footnoteRef/>
      </w:r>
      <w:r>
        <w:t xml:space="preserve"> </w:t>
      </w:r>
      <w:r w:rsidRPr="001F635A">
        <w:rPr>
          <w:rFonts w:cs="Times New Roman"/>
          <w:i/>
          <w:iCs/>
        </w:rPr>
        <w:t>See</w:t>
      </w:r>
      <w:r w:rsidRPr="001F635A">
        <w:rPr>
          <w:rFonts w:cs="Times New Roman"/>
        </w:rPr>
        <w:t xml:space="preserve"> comment on proposed </w:t>
      </w:r>
      <w:r>
        <w:rPr>
          <w:rFonts w:cs="Times New Roman"/>
        </w:rPr>
        <w:t>R</w:t>
      </w:r>
      <w:r w:rsidRPr="001F635A">
        <w:rPr>
          <w:rFonts w:cs="Times New Roman"/>
        </w:rPr>
        <w:t>ule 16.1 submitted by Hon. Casey Rodgers to the Ad</w:t>
      </w:r>
      <w:r>
        <w:rPr>
          <w:rFonts w:cs="Times New Roman"/>
        </w:rPr>
        <w:t xml:space="preserve">visory </w:t>
      </w:r>
      <w:r w:rsidRPr="001F635A">
        <w:rPr>
          <w:rFonts w:cs="Times New Roman"/>
        </w:rPr>
        <w:t>Committee on Civil Rules</w:t>
      </w:r>
      <w:r>
        <w:rPr>
          <w:rFonts w:cs="Times New Roman"/>
        </w:rPr>
        <w:t xml:space="preserve"> cautioning the use of a census or registry absent a statute-of-limitation deadline (February 13, 2024).</w:t>
      </w:r>
    </w:p>
  </w:footnote>
  <w:footnote w:id="89">
    <w:p w14:paraId="14F4365D" w14:textId="77777777" w:rsidR="00F62B2D" w:rsidRPr="000F480A" w:rsidRDefault="00F62B2D" w:rsidP="00F62B2D">
      <w:pPr>
        <w:pStyle w:val="FootnoteText"/>
        <w:jc w:val="both"/>
        <w:rPr>
          <w:rFonts w:cs="Times New Roman"/>
        </w:rPr>
      </w:pPr>
      <w:r>
        <w:rPr>
          <w:rStyle w:val="FootnoteReference"/>
        </w:rPr>
        <w:footnoteRef/>
      </w:r>
      <w:r>
        <w:t xml:space="preserve"> </w:t>
      </w:r>
      <w:r w:rsidRPr="00CD398E">
        <w:rPr>
          <w:rFonts w:cs="Times New Roman"/>
          <w:i/>
          <w:iCs/>
        </w:rPr>
        <w:t>See, In. Re: Harris Cty., Texas</w:t>
      </w:r>
      <w:r>
        <w:rPr>
          <w:rFonts w:cs="Times New Roman"/>
        </w:rPr>
        <w:t>, No. 21-3637 (6</w:t>
      </w:r>
      <w:r w:rsidRPr="000F480A">
        <w:rPr>
          <w:rFonts w:cs="Times New Roman"/>
          <w:vertAlign w:val="superscript"/>
        </w:rPr>
        <w:t>th</w:t>
      </w:r>
      <w:r>
        <w:rPr>
          <w:rFonts w:cs="Times New Roman"/>
        </w:rPr>
        <w:t xml:space="preserve"> Cir. Mar. 11, 2022) (granting writ of mandamus to promptly address pending motions to remand). </w:t>
      </w:r>
    </w:p>
  </w:footnote>
  <w:footnote w:id="90">
    <w:p w14:paraId="77D64CDF" w14:textId="77777777" w:rsidR="00F62B2D" w:rsidRPr="00020F3A" w:rsidRDefault="00F62B2D" w:rsidP="00F62B2D">
      <w:pPr>
        <w:pStyle w:val="FootnoteText"/>
        <w:jc w:val="both"/>
        <w:rPr>
          <w:rFonts w:cs="Times New Roman"/>
        </w:rPr>
      </w:pPr>
      <w:r>
        <w:rPr>
          <w:rStyle w:val="FootnoteReference"/>
        </w:rPr>
        <w:footnoteRef/>
      </w:r>
      <w:r>
        <w:t xml:space="preserve"> </w:t>
      </w:r>
      <w:r w:rsidRPr="00020F3A">
        <w:rPr>
          <w:rFonts w:cs="Times New Roman"/>
          <w:i/>
          <w:iCs/>
        </w:rPr>
        <w:t>See In re: Acetaminophen -- ASD/ADHD Prod. Liab. Litig.,</w:t>
      </w:r>
      <w:r>
        <w:rPr>
          <w:rFonts w:cs="Times New Roman"/>
        </w:rPr>
        <w:t xml:space="preserve"> MDL No. 3043, PACER docket entry 275 (S.D.N.Y Dec. 16, 2022) (exhibits include several examples of case-management orders and protocols in other MDLs regarding coordination of state-federal litigation).</w:t>
      </w:r>
    </w:p>
  </w:footnote>
  <w:footnote w:id="91">
    <w:p w14:paraId="735004F7" w14:textId="77777777"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Pr="00EF7935">
        <w:rPr>
          <w:rFonts w:cs="Times New Roman"/>
          <w:smallCaps/>
        </w:rPr>
        <w:t>Guidelines and Best Practices for Large and Mass-Tort MDLs</w:t>
      </w:r>
      <w:r w:rsidRPr="00EF7935">
        <w:rPr>
          <w:rFonts w:cs="Times New Roman"/>
        </w:rPr>
        <w:t xml:space="preserve">, Second Edition, Bolch Judicial Institute, </w:t>
      </w:r>
      <w:r>
        <w:rPr>
          <w:rFonts w:cs="Times New Roman"/>
        </w:rPr>
        <w:t>John Rabiej, principal editor,</w:t>
      </w:r>
      <w:r w:rsidRPr="00EF7935">
        <w:rPr>
          <w:rFonts w:cs="Times New Roman"/>
        </w:rPr>
        <w:t xml:space="preserve"> Duke Law School (September 2018).   </w:t>
      </w:r>
    </w:p>
  </w:footnote>
  <w:footnote w:id="92">
    <w:p w14:paraId="5FDB5E9B" w14:textId="52678A3A" w:rsidR="00F62B2D" w:rsidRPr="009023D0" w:rsidRDefault="00F62B2D" w:rsidP="00F62B2D">
      <w:pPr>
        <w:pStyle w:val="FootnoteText"/>
        <w:jc w:val="both"/>
        <w:rPr>
          <w:rFonts w:cs="Times New Roman"/>
        </w:rPr>
      </w:pPr>
      <w:r w:rsidRPr="009023D0">
        <w:rPr>
          <w:rStyle w:val="FootnoteReference"/>
          <w:rFonts w:cs="Times New Roman"/>
        </w:rPr>
        <w:footnoteRef/>
      </w:r>
      <w:r w:rsidRPr="009023D0">
        <w:rPr>
          <w:rFonts w:cs="Times New Roman"/>
        </w:rPr>
        <w:t xml:space="preserve"> </w:t>
      </w:r>
      <w:r w:rsidR="001B7640">
        <w:rPr>
          <w:rFonts w:cs="Times New Roman"/>
        </w:rPr>
        <w:t>FED. R. CIV. P.</w:t>
      </w:r>
      <w:r w:rsidRPr="009023D0">
        <w:rPr>
          <w:rFonts w:cs="Times New Roman"/>
        </w:rPr>
        <w:t xml:space="preserve"> 16.1</w:t>
      </w:r>
      <w:r>
        <w:rPr>
          <w:rFonts w:cs="Times New Roman"/>
        </w:rPr>
        <w:t xml:space="preserve">, </w:t>
      </w:r>
      <w:r w:rsidRPr="009023D0">
        <w:rPr>
          <w:rFonts w:cs="Times New Roman"/>
        </w:rPr>
        <w:t xml:space="preserve">Committee Note </w:t>
      </w:r>
      <w:r>
        <w:rPr>
          <w:rFonts w:cs="Times New Roman"/>
        </w:rPr>
        <w:t>(</w:t>
      </w:r>
      <w:r w:rsidRPr="009023D0">
        <w:rPr>
          <w:rFonts w:cs="Times New Roman"/>
        </w:rPr>
        <w:t>December 1, 2025).</w:t>
      </w:r>
    </w:p>
  </w:footnote>
  <w:footnote w:id="93">
    <w:p w14:paraId="7DC94948" w14:textId="77777777" w:rsidR="00F62B2D" w:rsidRPr="00980E4E" w:rsidRDefault="00F62B2D" w:rsidP="00F62B2D">
      <w:pPr>
        <w:pStyle w:val="FootnoteText"/>
        <w:jc w:val="both"/>
        <w:rPr>
          <w:rFonts w:cs="Times New Roman"/>
        </w:rPr>
      </w:pPr>
      <w:r>
        <w:rPr>
          <w:rStyle w:val="FootnoteReference"/>
        </w:rPr>
        <w:footnoteRef/>
      </w:r>
      <w:r>
        <w:t xml:space="preserve"> </w:t>
      </w:r>
      <w:r w:rsidRPr="00F141F9">
        <w:rPr>
          <w:rFonts w:cs="Times New Roman"/>
          <w:i/>
          <w:iCs/>
        </w:rPr>
        <w:t>See</w:t>
      </w:r>
      <w:r w:rsidRPr="00F141F9">
        <w:rPr>
          <w:rFonts w:cs="Times New Roman"/>
        </w:rPr>
        <w:t xml:space="preserve"> </w:t>
      </w:r>
      <w:r w:rsidRPr="00F141F9">
        <w:rPr>
          <w:rFonts w:cs="Times New Roman"/>
          <w:i/>
          <w:iCs/>
        </w:rPr>
        <w:t>Allergan</w:t>
      </w:r>
      <w:r w:rsidRPr="00A03200">
        <w:rPr>
          <w:rFonts w:cs="Times New Roman"/>
          <w:i/>
          <w:iCs/>
        </w:rPr>
        <w:t xml:space="preserve"> Biocell Textured Breast Implant </w:t>
      </w:r>
      <w:r>
        <w:rPr>
          <w:rFonts w:cs="Times New Roman"/>
          <w:i/>
          <w:iCs/>
        </w:rPr>
        <w:t>P</w:t>
      </w:r>
      <w:r w:rsidRPr="00A03200">
        <w:rPr>
          <w:rFonts w:cs="Times New Roman"/>
          <w:i/>
          <w:iCs/>
        </w:rPr>
        <w:t>rod. Liab. Litig</w:t>
      </w:r>
      <w:r>
        <w:rPr>
          <w:rFonts w:cs="Times New Roman"/>
        </w:rPr>
        <w:t>., Case Management Order No.17, Exhibit C (D. N.J. Sept. 15, 2020) (Master long-form complaint was 131 pages (Doc. No. 119) compared with six-page Master short-form complaint).</w:t>
      </w:r>
    </w:p>
  </w:footnote>
  <w:footnote w:id="94">
    <w:p w14:paraId="2E0D3B5B" w14:textId="400528CC" w:rsidR="00F62B2D" w:rsidRPr="002B254C" w:rsidRDefault="00F62B2D" w:rsidP="00F62B2D">
      <w:pPr>
        <w:pStyle w:val="FootnoteText"/>
        <w:jc w:val="both"/>
        <w:rPr>
          <w:rFonts w:cs="Times New Roman"/>
        </w:rPr>
      </w:pPr>
      <w:r>
        <w:rPr>
          <w:rStyle w:val="FootnoteReference"/>
        </w:rPr>
        <w:footnoteRef/>
      </w:r>
      <w:r>
        <w:t xml:space="preserve"> </w:t>
      </w:r>
      <w:r w:rsidRPr="002B254C">
        <w:rPr>
          <w:rFonts w:cs="Times New Roman"/>
          <w:i/>
          <w:iCs/>
        </w:rPr>
        <w:t>See Gelboim v. Bank of America</w:t>
      </w:r>
      <w:r>
        <w:rPr>
          <w:rFonts w:cs="Times New Roman"/>
        </w:rPr>
        <w:t xml:space="preserve">, 574 U.S. 405, n.3 (2015) (“Parties may elect to file a ‘master complaint’ and a corresponding ‘consolidated answer,’ which supersede prior individual pleadings (in an MDL).  In such a case, the transferee court may treat the master pleadings as merging the discrete actions for the duration of the MDL pretrial proceedings.  No merger occurs, however, when ‘the master complaint is not meant to be a pleading with legal effect but only an administrative summary of the claims brought by all the plaintiffs.); </w:t>
      </w:r>
      <w:r w:rsidRPr="00B45FC2">
        <w:rPr>
          <w:rFonts w:cs="Times New Roman"/>
          <w:i/>
          <w:iCs/>
        </w:rPr>
        <w:t>see also</w:t>
      </w:r>
      <w:r>
        <w:rPr>
          <w:rFonts w:cs="Times New Roman"/>
          <w:i/>
          <w:iCs/>
        </w:rPr>
        <w:t>,</w:t>
      </w:r>
      <w:r>
        <w:rPr>
          <w:rFonts w:cs="Times New Roman"/>
        </w:rPr>
        <w:t xml:space="preserve"> James Beck, Multidistrict Litigation Reform: The Case for Earlier Application of Federal Pleading Standards, Introduction: The Problem of MDL Pleadings, Washington Legal Foundation, No. 204, pp. 3-5 (September 2017) (raising concerns about master complaints as an administrative convenience inconsistent with </w:t>
      </w:r>
      <w:r w:rsidR="001B7640">
        <w:rPr>
          <w:rFonts w:cs="Times New Roman"/>
        </w:rPr>
        <w:t>FED. R. CIV. P.</w:t>
      </w:r>
      <w:r>
        <w:rPr>
          <w:rFonts w:cs="Times New Roman"/>
        </w:rPr>
        <w:t xml:space="preserve"> 8).    </w:t>
      </w:r>
    </w:p>
  </w:footnote>
  <w:footnote w:id="95">
    <w:p w14:paraId="3ED65E3E" w14:textId="77777777" w:rsidR="00C126B3" w:rsidRPr="00521CC6" w:rsidRDefault="00C126B3" w:rsidP="00C126B3">
      <w:pPr>
        <w:pStyle w:val="NoSpacing"/>
        <w:jc w:val="both"/>
        <w:rPr>
          <w:rFonts w:cs="Times New Roman"/>
        </w:rPr>
      </w:pPr>
      <w:r>
        <w:rPr>
          <w:rStyle w:val="FootnoteReference"/>
        </w:rPr>
        <w:footnoteRef/>
      </w:r>
      <w:r>
        <w:t xml:space="preserve"> </w:t>
      </w:r>
      <w:r w:rsidRPr="00521CC6">
        <w:rPr>
          <w:rFonts w:cs="Times New Roman"/>
          <w:sz w:val="20"/>
          <w:szCs w:val="20"/>
        </w:rPr>
        <w:t xml:space="preserve">As stated by the transferee judge in </w:t>
      </w:r>
      <w:r w:rsidRPr="00521CC6">
        <w:rPr>
          <w:rFonts w:cs="Times New Roman"/>
          <w:i/>
          <w:iCs/>
          <w:sz w:val="20"/>
          <w:szCs w:val="20"/>
        </w:rPr>
        <w:t>Tasignia</w:t>
      </w:r>
      <w:r w:rsidRPr="00521CC6">
        <w:rPr>
          <w:rFonts w:cs="Times New Roman"/>
          <w:sz w:val="20"/>
          <w:szCs w:val="20"/>
        </w:rPr>
        <w:t xml:space="preserve"> MDL 3006, pretrial order No. 1, the purpose of these position statements is</w:t>
      </w:r>
      <w:r w:rsidRPr="00521CC6">
        <w:rPr>
          <w:rFonts w:cs="Times New Roman"/>
          <w:i/>
          <w:iCs/>
          <w:sz w:val="20"/>
          <w:szCs w:val="20"/>
        </w:rPr>
        <w:t xml:space="preserve"> “</w:t>
      </w:r>
      <w:r w:rsidRPr="00521CC6">
        <w:rPr>
          <w:rFonts w:cs="Times New Roman"/>
          <w:sz w:val="20"/>
          <w:szCs w:val="20"/>
        </w:rPr>
        <w:t>to assist the Court</w:t>
      </w:r>
      <w:r w:rsidRPr="00521CC6">
        <w:rPr>
          <w:rFonts w:cs="Times New Roman"/>
          <w:i/>
          <w:iCs/>
          <w:sz w:val="20"/>
          <w:szCs w:val="20"/>
        </w:rPr>
        <w:t xml:space="preserve"> with an overview of the litigation.” (emphasis added)</w:t>
      </w:r>
      <w:r w:rsidRPr="00521CC6">
        <w:rPr>
          <w:rFonts w:cs="Times New Roman"/>
          <w:szCs w:val="24"/>
        </w:rPr>
        <w:t xml:space="preserve"> </w:t>
      </w:r>
    </w:p>
  </w:footnote>
  <w:footnote w:id="96">
    <w:p w14:paraId="40EA34B5" w14:textId="77777777" w:rsidR="00C126B3" w:rsidRPr="00521CC6" w:rsidRDefault="00C126B3" w:rsidP="00C126B3">
      <w:pPr>
        <w:pStyle w:val="FootnoteText"/>
        <w:jc w:val="both"/>
        <w:rPr>
          <w:rFonts w:cs="Times New Roman"/>
        </w:rPr>
      </w:pPr>
      <w:r w:rsidRPr="00521CC6">
        <w:rPr>
          <w:rStyle w:val="FootnoteReference"/>
          <w:rFonts w:cs="Times New Roman"/>
        </w:rPr>
        <w:footnoteRef/>
      </w:r>
      <w:r w:rsidRPr="00521CC6">
        <w:rPr>
          <w:rFonts w:cs="Times New Roman"/>
        </w:rPr>
        <w:t xml:space="preserve"> </w:t>
      </w:r>
      <w:r w:rsidRPr="00521CC6">
        <w:rPr>
          <w:rFonts w:cs="Times New Roman"/>
          <w:i/>
          <w:iCs/>
        </w:rPr>
        <w:t>See In re: Proton-Pump Inhibitor Products Liability Litigation</w:t>
      </w:r>
      <w:r w:rsidRPr="00521CC6">
        <w:rPr>
          <w:rFonts w:cs="Times New Roman"/>
        </w:rPr>
        <w:t xml:space="preserve"> (No. II) (MDL No. 2789)</w:t>
      </w:r>
      <w:r>
        <w:rPr>
          <w:rFonts w:cs="Times New Roman"/>
        </w:rPr>
        <w:t xml:space="preserve">; </w:t>
      </w:r>
      <w:r w:rsidRPr="00521CC6">
        <w:rPr>
          <w:rFonts w:cs="Times New Roman"/>
          <w:i/>
          <w:iCs/>
        </w:rPr>
        <w:t>see also</w:t>
      </w:r>
      <w:r>
        <w:rPr>
          <w:rFonts w:cs="Times New Roman"/>
        </w:rPr>
        <w:t xml:space="preserve"> </w:t>
      </w:r>
      <w:r w:rsidRPr="00EF7935">
        <w:rPr>
          <w:rFonts w:cs="Times New Roman"/>
          <w:i/>
          <w:iCs/>
        </w:rPr>
        <w:t>In re: 3M Combat Arms Earplug Products Liability Litigation</w:t>
      </w:r>
      <w:r w:rsidRPr="00EF7935">
        <w:rPr>
          <w:rFonts w:cs="Times New Roman"/>
        </w:rPr>
        <w:t xml:space="preserve"> (MDL No. 2885)</w:t>
      </w:r>
      <w:r>
        <w:rPr>
          <w:rFonts w:cs="Times New Roman"/>
        </w:rPr>
        <w:t xml:space="preserve">; </w:t>
      </w:r>
      <w:r w:rsidRPr="00EF7935">
        <w:rPr>
          <w:rFonts w:cs="Times New Roman"/>
          <w:i/>
          <w:iCs/>
        </w:rPr>
        <w:t>In re: Paragard IUD Products Liability Litigation</w:t>
      </w:r>
      <w:r w:rsidRPr="00EF7935">
        <w:rPr>
          <w:rFonts w:cs="Times New Roman"/>
        </w:rPr>
        <w:t xml:space="preserve"> (MDL No. 2974); An innovative approach was taken by the court in </w:t>
      </w:r>
      <w:r w:rsidRPr="00EF7935">
        <w:rPr>
          <w:rFonts w:cs="Times New Roman"/>
          <w:i/>
          <w:iCs/>
        </w:rPr>
        <w:t>In re: Benicar (Olmesartan)</w:t>
      </w:r>
      <w:r w:rsidRPr="00EF7935">
        <w:rPr>
          <w:rFonts w:cs="Times New Roman"/>
        </w:rPr>
        <w:t xml:space="preserve"> (MDL No. 2606</w:t>
      </w:r>
      <w:r>
        <w:rPr>
          <w:rFonts w:cs="Times New Roman"/>
        </w:rPr>
        <w:t>),</w:t>
      </w:r>
      <w:r w:rsidRPr="00EF7935">
        <w:rPr>
          <w:rFonts w:cs="Times New Roman"/>
        </w:rPr>
        <w:t xml:space="preserve"> where each party was directed to submit an ex parte brief outlining their preliminary understanding of the most important factual and legal issues in the litigation. This ex parte brief effectively served as a “wish list” for how each party wanted the MDL to be managed. Once the court received the ex parte briefs, the court directed all parties to confer and collaborate on submitting filed statements addressing specific agenda topics outlined by the court. The </w:t>
      </w:r>
      <w:r w:rsidRPr="00EF7935">
        <w:rPr>
          <w:rFonts w:cs="Times New Roman"/>
          <w:i/>
          <w:iCs/>
        </w:rPr>
        <w:t xml:space="preserve">Benicar </w:t>
      </w:r>
      <w:r w:rsidRPr="00EF7935">
        <w:rPr>
          <w:rFonts w:cs="Times New Roman"/>
        </w:rPr>
        <w:t>court then used all these data points to identify the most important topics to be addressed in various case</w:t>
      </w:r>
      <w:r>
        <w:rPr>
          <w:rFonts w:cs="Times New Roman"/>
        </w:rPr>
        <w:t>-</w:t>
      </w:r>
      <w:r w:rsidRPr="00EF7935">
        <w:rPr>
          <w:rFonts w:cs="Times New Roman"/>
        </w:rPr>
        <w:t>management orders.</w:t>
      </w:r>
    </w:p>
  </w:footnote>
  <w:footnote w:id="97">
    <w:p w14:paraId="73F4E8D4" w14:textId="77777777" w:rsidR="00C126B3" w:rsidRPr="00226AF4" w:rsidRDefault="00C126B3" w:rsidP="00C126B3">
      <w:pPr>
        <w:pStyle w:val="FootnoteText"/>
        <w:jc w:val="both"/>
        <w:rPr>
          <w:rFonts w:ascii="Century Schoolbook" w:hAnsi="Century Schoolbook"/>
        </w:rPr>
      </w:pPr>
      <w:r w:rsidRPr="00521CC6">
        <w:rPr>
          <w:rStyle w:val="FootnoteReference"/>
          <w:rFonts w:cs="Times New Roman"/>
        </w:rPr>
        <w:footnoteRef/>
      </w:r>
      <w:r w:rsidRPr="00521CC6">
        <w:rPr>
          <w:rFonts w:cs="Times New Roman"/>
        </w:rPr>
        <w:t xml:space="preserve"> </w:t>
      </w:r>
      <w:r>
        <w:rPr>
          <w:rFonts w:cs="Times New Roman"/>
        </w:rPr>
        <w:t xml:space="preserve">The identical language is contained in the </w:t>
      </w:r>
      <w:r w:rsidRPr="00521CC6">
        <w:rPr>
          <w:rFonts w:cs="Times New Roman"/>
        </w:rPr>
        <w:t>case-management orders in the following large</w:t>
      </w:r>
      <w:r>
        <w:rPr>
          <w:rFonts w:cs="Times New Roman"/>
        </w:rPr>
        <w:t xml:space="preserve"> mass-tort</w:t>
      </w:r>
      <w:r w:rsidRPr="00521CC6">
        <w:rPr>
          <w:rFonts w:cs="Times New Roman"/>
        </w:rPr>
        <w:t xml:space="preserve"> MDLs; (i) </w:t>
      </w:r>
      <w:r w:rsidRPr="00521CC6">
        <w:rPr>
          <w:rFonts w:cs="Times New Roman"/>
          <w:i/>
          <w:iCs/>
        </w:rPr>
        <w:t>Vioxx</w:t>
      </w:r>
      <w:r w:rsidRPr="00521CC6">
        <w:rPr>
          <w:rFonts w:cs="Times New Roman"/>
        </w:rPr>
        <w:t xml:space="preserve">, MDL 1657 – pretrial order # 1; (ii) </w:t>
      </w:r>
      <w:r w:rsidRPr="00521CC6">
        <w:rPr>
          <w:rFonts w:cs="Times New Roman"/>
          <w:i/>
          <w:iCs/>
        </w:rPr>
        <w:t>Zantac</w:t>
      </w:r>
      <w:r w:rsidRPr="00521CC6">
        <w:rPr>
          <w:rFonts w:cs="Times New Roman"/>
        </w:rPr>
        <w:t xml:space="preserve">, MDL 2924 – pretrial order # 1; (iii) </w:t>
      </w:r>
      <w:r w:rsidRPr="00521CC6">
        <w:rPr>
          <w:rFonts w:cs="Times New Roman"/>
          <w:i/>
          <w:iCs/>
        </w:rPr>
        <w:t>Xarelto</w:t>
      </w:r>
      <w:r w:rsidRPr="00521CC6">
        <w:rPr>
          <w:rFonts w:cs="Times New Roman"/>
        </w:rPr>
        <w:t xml:space="preserve">, MDL 2592 – pretrial order # 1; (iv) </w:t>
      </w:r>
      <w:r w:rsidRPr="00521CC6">
        <w:rPr>
          <w:rFonts w:cs="Times New Roman"/>
          <w:i/>
          <w:iCs/>
        </w:rPr>
        <w:t>Elmiron</w:t>
      </w:r>
      <w:r w:rsidRPr="00521CC6">
        <w:rPr>
          <w:rFonts w:cs="Times New Roman"/>
        </w:rPr>
        <w:t xml:space="preserve"> MDL 2973; (v) </w:t>
      </w:r>
      <w:r w:rsidRPr="00521CC6">
        <w:rPr>
          <w:rFonts w:cs="Times New Roman"/>
          <w:i/>
          <w:iCs/>
        </w:rPr>
        <w:t>Taxotere</w:t>
      </w:r>
      <w:r w:rsidRPr="00521CC6">
        <w:rPr>
          <w:rFonts w:cs="Times New Roman"/>
        </w:rPr>
        <w:t xml:space="preserve"> MDL 3023, pretrial order # 1; (vi) </w:t>
      </w:r>
      <w:r w:rsidRPr="00521CC6">
        <w:rPr>
          <w:rFonts w:cs="Times New Roman"/>
          <w:i/>
          <w:iCs/>
        </w:rPr>
        <w:t>Avandia</w:t>
      </w:r>
      <w:r w:rsidRPr="00521CC6">
        <w:rPr>
          <w:rFonts w:cs="Times New Roman"/>
        </w:rPr>
        <w:t xml:space="preserve"> MDL case management order No.1; (vii) </w:t>
      </w:r>
      <w:r w:rsidRPr="00521CC6">
        <w:rPr>
          <w:rFonts w:cs="Times New Roman"/>
          <w:i/>
          <w:iCs/>
        </w:rPr>
        <w:t>Zoloft</w:t>
      </w:r>
      <w:r w:rsidRPr="00521CC6">
        <w:rPr>
          <w:rFonts w:cs="Times New Roman"/>
        </w:rPr>
        <w:t xml:space="preserve">, MDL 2342 – pretrial order No.1; and (viii) Syngenta, MDL 2591 – preliminary practice and procedure order.  Case Management Order No. 1 in </w:t>
      </w:r>
      <w:r w:rsidRPr="00521CC6">
        <w:rPr>
          <w:rFonts w:cs="Times New Roman"/>
          <w:i/>
          <w:iCs/>
        </w:rPr>
        <w:t>Paraquat</w:t>
      </w:r>
      <w:r w:rsidRPr="00521CC6">
        <w:rPr>
          <w:rFonts w:cs="Times New Roman"/>
        </w:rPr>
        <w:t xml:space="preserve"> MDL 3004, the transferee judge deferred the submission of the position statements until after the appointment of leadership counsel: “After the court appoints plaintiffs’ leadership counsel, the court will solicit position briefs from the parties outlining their views on the primary facts, claims, and defenses involved in the litigation, as well as the critical factual and legal issues.” The transferee judge in </w:t>
      </w:r>
      <w:r w:rsidRPr="00521CC6">
        <w:rPr>
          <w:rFonts w:cs="Times New Roman"/>
          <w:i/>
          <w:iCs/>
        </w:rPr>
        <w:t>Tasignia</w:t>
      </w:r>
      <w:r w:rsidRPr="00521CC6">
        <w:rPr>
          <w:rFonts w:cs="Times New Roman"/>
        </w:rPr>
        <w:t xml:space="preserve"> MDL 3006, pretrial order No. 1 took a slightly different approach and required submission of briefs of no more than five pages in each member case outlining their views of the factual and legal issues and many more topics.  The order stated that “These briefs are not binding, will not waive any claims or defenses, and may not be referenced or offered in evidence against any party in later proceedings.”</w:t>
      </w:r>
      <w:r>
        <w:rPr>
          <w:rFonts w:ascii="Century Schoolbook" w:hAnsi="Century Schoolbook"/>
        </w:rPr>
        <w:t xml:space="preserve">  </w:t>
      </w:r>
    </w:p>
  </w:footnote>
  <w:footnote w:id="98">
    <w:p w14:paraId="15950E7F" w14:textId="56FD3C7B" w:rsidR="00C126B3" w:rsidRPr="008C5989" w:rsidRDefault="00C126B3" w:rsidP="00C126B3">
      <w:pPr>
        <w:pStyle w:val="FootnoteText"/>
        <w:rPr>
          <w:rFonts w:cs="Times New Roman"/>
        </w:rPr>
      </w:pPr>
      <w:r>
        <w:rPr>
          <w:rStyle w:val="FootnoteReference"/>
        </w:rPr>
        <w:footnoteRef/>
      </w:r>
      <w:r>
        <w:t xml:space="preserve"> </w:t>
      </w:r>
      <w:r w:rsidRPr="008C5989">
        <w:rPr>
          <w:rFonts w:cs="Times New Roman"/>
          <w:i/>
          <w:iCs/>
        </w:rPr>
        <w:t>See</w:t>
      </w:r>
      <w:r>
        <w:rPr>
          <w:rFonts w:cs="Times New Roman"/>
        </w:rPr>
        <w:t xml:space="preserve"> </w:t>
      </w:r>
      <w:r w:rsidR="001B7640">
        <w:rPr>
          <w:rFonts w:cs="Times New Roman"/>
        </w:rPr>
        <w:t>FED. R. CIV. P.</w:t>
      </w:r>
      <w:r>
        <w:rPr>
          <w:rFonts w:cs="Times New Roman"/>
        </w:rPr>
        <w:t xml:space="preserve"> 16.1(b)(2)(E), which includes “whether related actions have been--or are expected to be--filed in other courts” among the items to be addressed in the report. </w:t>
      </w:r>
    </w:p>
  </w:footnote>
  <w:footnote w:id="99">
    <w:p w14:paraId="4CAAD0A0" w14:textId="23DA817D"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Pr="001674C9">
        <w:rPr>
          <w:rFonts w:cs="Times New Roman"/>
          <w:i/>
          <w:iCs/>
        </w:rPr>
        <w:t>See</w:t>
      </w:r>
      <w:r w:rsidRPr="001674C9">
        <w:rPr>
          <w:rFonts w:cs="Times New Roman"/>
        </w:rPr>
        <w:t xml:space="preserve"> </w:t>
      </w:r>
      <w:r w:rsidR="001B7640">
        <w:rPr>
          <w:rFonts w:cs="Times New Roman"/>
        </w:rPr>
        <w:t>FED. R. CIV. P.</w:t>
      </w:r>
      <w:r w:rsidRPr="001674C9">
        <w:rPr>
          <w:rFonts w:cs="Times New Roman"/>
        </w:rPr>
        <w:t xml:space="preserve"> 16.1(b)(3)(B)</w:t>
      </w:r>
      <w:r>
        <w:rPr>
          <w:rFonts w:cs="Times New Roman"/>
        </w:rPr>
        <w:t>,</w:t>
      </w:r>
      <w:r w:rsidRPr="001674C9">
        <w:rPr>
          <w:rFonts w:cs="Times New Roman"/>
        </w:rPr>
        <w:t xml:space="preserve"> Committee Note </w:t>
      </w:r>
      <w:r>
        <w:rPr>
          <w:rFonts w:cs="Times New Roman"/>
        </w:rPr>
        <w:t>(</w:t>
      </w:r>
      <w:r w:rsidRPr="001674C9">
        <w:rPr>
          <w:rFonts w:cs="Times New Roman"/>
        </w:rPr>
        <w:t>December 1, 2025) (The first sentence of the Note refers to concerns about parties failing to comply with Rule 11(b))</w:t>
      </w:r>
      <w:r>
        <w:rPr>
          <w:rFonts w:cs="Times New Roman"/>
        </w:rPr>
        <w:t>; s</w:t>
      </w:r>
      <w:r w:rsidRPr="00E34C01">
        <w:rPr>
          <w:rFonts w:cs="Times New Roman"/>
          <w:i/>
          <w:iCs/>
        </w:rPr>
        <w:t>ee</w:t>
      </w:r>
      <w:r w:rsidRPr="00E34C01">
        <w:rPr>
          <w:rFonts w:cs="Times New Roman"/>
        </w:rPr>
        <w:t xml:space="preserve"> </w:t>
      </w:r>
      <w:r w:rsidRPr="00941D23">
        <w:rPr>
          <w:rFonts w:cs="Times New Roman"/>
          <w:i/>
          <w:iCs/>
        </w:rPr>
        <w:t>also</w:t>
      </w:r>
      <w:r>
        <w:rPr>
          <w:rFonts w:cs="Times New Roman"/>
        </w:rPr>
        <w:t xml:space="preserve"> </w:t>
      </w:r>
      <w:r w:rsidRPr="00E34C01">
        <w:rPr>
          <w:rFonts w:cs="Times New Roman"/>
          <w:i/>
          <w:iCs/>
        </w:rPr>
        <w:t>infra</w:t>
      </w:r>
      <w:r>
        <w:rPr>
          <w:rFonts w:cs="Times New Roman"/>
          <w:smallCaps/>
        </w:rPr>
        <w:t xml:space="preserve">, </w:t>
      </w:r>
      <w:r w:rsidRPr="00E34C01">
        <w:rPr>
          <w:rFonts w:cs="Times New Roman"/>
          <w:smallCaps/>
        </w:rPr>
        <w:t>Complex Litigation Compendium of Guidelines and Best Practices,</w:t>
      </w:r>
      <w:r w:rsidRPr="00E34C01">
        <w:rPr>
          <w:rFonts w:cs="Times New Roman"/>
        </w:rPr>
        <w:t xml:space="preserve"> Guideline B-5 (Permanent No. B-1) </w:t>
      </w:r>
      <w:r>
        <w:rPr>
          <w:rFonts w:cs="Times New Roman"/>
        </w:rPr>
        <w:t xml:space="preserve">Rabiej Litigation Law Center </w:t>
      </w:r>
      <w:r w:rsidRPr="00E34C01">
        <w:rPr>
          <w:rFonts w:cs="Times New Roman"/>
        </w:rPr>
        <w:t>(2023)</w:t>
      </w:r>
      <w:r>
        <w:rPr>
          <w:rFonts w:cs="Times New Roman"/>
        </w:rPr>
        <w:t xml:space="preserve">. Plaintiff fact sheets “were developed to provide basic information quickly about individual claimants to facilitate vetting.” </w:t>
      </w:r>
      <w:r w:rsidRPr="00EF7935">
        <w:rPr>
          <w:rFonts w:cs="Times New Roman"/>
        </w:rPr>
        <w:t xml:space="preserve">Obviously more information sooner rather than later is preferred but the practicalities of litigation do not always allow for complete, accurate, meaningful information until litigation is mature. </w:t>
      </w:r>
    </w:p>
  </w:footnote>
  <w:footnote w:id="100">
    <w:p w14:paraId="5012574D" w14:textId="56F9524A" w:rsidR="00F62B2D" w:rsidRPr="00CA229A" w:rsidRDefault="00F62B2D" w:rsidP="00F62B2D">
      <w:pPr>
        <w:pStyle w:val="FootnoteText"/>
        <w:jc w:val="both"/>
        <w:rPr>
          <w:rFonts w:cs="Times New Roman"/>
        </w:rPr>
      </w:pPr>
      <w:r w:rsidRPr="001674C9">
        <w:rPr>
          <w:rStyle w:val="FootnoteReference"/>
          <w:rFonts w:cs="Times New Roman"/>
        </w:rPr>
        <w:footnoteRef/>
      </w:r>
      <w:r w:rsidRPr="001674C9">
        <w:rPr>
          <w:rFonts w:cs="Times New Roman"/>
        </w:rPr>
        <w:t xml:space="preserve"> </w:t>
      </w:r>
      <w:r w:rsidR="001B7640">
        <w:rPr>
          <w:rFonts w:cs="Times New Roman"/>
        </w:rPr>
        <w:t>FED. R. CIV. P.</w:t>
      </w:r>
      <w:r w:rsidRPr="001674C9">
        <w:rPr>
          <w:rFonts w:cs="Times New Roman"/>
        </w:rPr>
        <w:t xml:space="preserve"> 11</w:t>
      </w:r>
      <w:r>
        <w:rPr>
          <w:rFonts w:cs="Times New Roman"/>
        </w:rPr>
        <w:t>,</w:t>
      </w:r>
      <w:r w:rsidRPr="001674C9">
        <w:rPr>
          <w:rFonts w:cs="Times New Roman"/>
        </w:rPr>
        <w:t xml:space="preserve"> Committee Note </w:t>
      </w:r>
      <w:r>
        <w:rPr>
          <w:rFonts w:cs="Times New Roman"/>
        </w:rPr>
        <w:t>(</w:t>
      </w:r>
      <w:r w:rsidRPr="001674C9">
        <w:rPr>
          <w:rFonts w:cs="Times New Roman"/>
        </w:rPr>
        <w:t>1983) (“The detection and punishment of a violation of the signing requirement, encouraged</w:t>
      </w:r>
      <w:r>
        <w:rPr>
          <w:rFonts w:cs="Times New Roman"/>
        </w:rPr>
        <w:t xml:space="preserve"> by the amendment rule, is part of the court’s responsibility for securing the system’s effective operation.”)</w:t>
      </w:r>
    </w:p>
  </w:footnote>
  <w:footnote w:id="101">
    <w:p w14:paraId="6AAC0242" w14:textId="77777777" w:rsidR="00F62B2D" w:rsidRPr="00BF3B58" w:rsidRDefault="00F62B2D" w:rsidP="00F62B2D">
      <w:pPr>
        <w:pStyle w:val="FootnoteText"/>
        <w:jc w:val="both"/>
      </w:pPr>
      <w:r>
        <w:rPr>
          <w:rStyle w:val="FootnoteReference"/>
        </w:rPr>
        <w:footnoteRef/>
      </w:r>
      <w:r>
        <w:t xml:space="preserve"> </w:t>
      </w:r>
      <w:r w:rsidRPr="00BF3B58">
        <w:rPr>
          <w:rFonts w:cs="Times New Roman"/>
          <w:i/>
          <w:iCs/>
        </w:rPr>
        <w:t>See</w:t>
      </w:r>
      <w:r>
        <w:rPr>
          <w:rFonts w:cs="Times New Roman"/>
          <w:i/>
          <w:iCs/>
        </w:rPr>
        <w:t xml:space="preserve"> </w:t>
      </w:r>
      <w:r>
        <w:rPr>
          <w:rFonts w:cs="Times New Roman"/>
        </w:rPr>
        <w:t>Fed. R. Civ. R. 11, Committee Note (1993) (“The certification with respect to allegations and other factual contentions is revised in recognition that sometimes a litigant may have good reason to believe that a fact is true or false but may need discovery, formal or informal, from opposing parties or third persons to gather and ‘confirm the evidentiary basis’ for the allegation.”)</w:t>
      </w:r>
    </w:p>
  </w:footnote>
  <w:footnote w:id="102">
    <w:p w14:paraId="63DF7D49" w14:textId="0B47F125" w:rsidR="00F62B2D" w:rsidRPr="00102990" w:rsidRDefault="00F62B2D" w:rsidP="00F62B2D">
      <w:pPr>
        <w:pStyle w:val="FootnoteText"/>
        <w:jc w:val="both"/>
        <w:rPr>
          <w:rFonts w:cs="Times New Roman"/>
        </w:rPr>
      </w:pPr>
      <w:r>
        <w:rPr>
          <w:rStyle w:val="FootnoteReference"/>
        </w:rPr>
        <w:footnoteRef/>
      </w:r>
      <w:r>
        <w:t xml:space="preserve"> </w:t>
      </w:r>
      <w:bookmarkStart w:id="23" w:name="_Hlk169945247"/>
      <w:r w:rsidR="001B7640">
        <w:rPr>
          <w:rFonts w:cs="Times New Roman"/>
        </w:rPr>
        <w:t>FED. R. CIV. P.</w:t>
      </w:r>
      <w:r>
        <w:rPr>
          <w:rFonts w:cs="Times New Roman"/>
        </w:rPr>
        <w:t xml:space="preserve"> 11(b)(3), Committee Note (1993); </w:t>
      </w:r>
      <w:bookmarkEnd w:id="23"/>
      <w:r w:rsidRPr="009959DA">
        <w:rPr>
          <w:rFonts w:cs="Times New Roman"/>
          <w:i/>
          <w:iCs/>
        </w:rPr>
        <w:t>see</w:t>
      </w:r>
      <w:r>
        <w:rPr>
          <w:rFonts w:cs="Times New Roman"/>
        </w:rPr>
        <w:t xml:space="preserve"> </w:t>
      </w:r>
      <w:r w:rsidR="001B7640">
        <w:rPr>
          <w:rFonts w:cs="Times New Roman"/>
        </w:rPr>
        <w:t>FED. R. CIV. P.</w:t>
      </w:r>
      <w:r>
        <w:rPr>
          <w:rFonts w:cs="Times New Roman"/>
        </w:rPr>
        <w:t xml:space="preserve"> 26(g), Committee Note (1983) (The rule simply requires that the attorney make a reasonable inquiry into the factual basis of his response, request, or objection.”)</w:t>
      </w:r>
    </w:p>
  </w:footnote>
  <w:footnote w:id="103">
    <w:p w14:paraId="0FD63529" w14:textId="6B4BA09D" w:rsidR="00F62B2D" w:rsidRPr="00A2156B" w:rsidRDefault="00F62B2D" w:rsidP="00F62B2D">
      <w:pPr>
        <w:pStyle w:val="FootnoteText"/>
        <w:rPr>
          <w:rFonts w:cs="Times New Roman"/>
        </w:rPr>
      </w:pPr>
      <w:r>
        <w:rPr>
          <w:rStyle w:val="FootnoteReference"/>
        </w:rPr>
        <w:footnoteRef/>
      </w:r>
      <w:r>
        <w:t xml:space="preserve"> </w:t>
      </w:r>
      <w:r w:rsidR="001B7640">
        <w:rPr>
          <w:rFonts w:cs="Times New Roman"/>
        </w:rPr>
        <w:t>FED. R. CIV. P.</w:t>
      </w:r>
      <w:r>
        <w:rPr>
          <w:rFonts w:cs="Times New Roman"/>
        </w:rPr>
        <w:t xml:space="preserve"> 11, Committee Notes (1983 and 1993).</w:t>
      </w:r>
    </w:p>
  </w:footnote>
  <w:footnote w:id="104">
    <w:p w14:paraId="27C21EFE" w14:textId="77777777" w:rsidR="00F62B2D" w:rsidRPr="00134893" w:rsidRDefault="00F62B2D" w:rsidP="00F62B2D">
      <w:pPr>
        <w:spacing w:before="1"/>
        <w:jc w:val="both"/>
        <w:rPr>
          <w:rFonts w:cs="Times New Roman"/>
        </w:rPr>
      </w:pPr>
      <w:r>
        <w:rPr>
          <w:rStyle w:val="FootnoteReference"/>
        </w:rPr>
        <w:footnoteRef/>
      </w:r>
      <w:r>
        <w:t xml:space="preserve"> </w:t>
      </w:r>
      <w:r w:rsidRPr="00134893">
        <w:rPr>
          <w:rFonts w:cs="Times New Roman"/>
          <w:bCs/>
          <w:i/>
          <w:iCs/>
          <w:spacing w:val="-2"/>
          <w:sz w:val="20"/>
          <w:szCs w:val="20"/>
        </w:rPr>
        <w:t>See</w:t>
      </w:r>
      <w:r w:rsidRPr="00134893">
        <w:rPr>
          <w:rFonts w:cs="Times New Roman"/>
          <w:bCs/>
          <w:spacing w:val="-2"/>
          <w:sz w:val="20"/>
          <w:szCs w:val="20"/>
        </w:rPr>
        <w:t xml:space="preserve"> C</w:t>
      </w:r>
      <w:r w:rsidRPr="00134893">
        <w:rPr>
          <w:rFonts w:cs="Times New Roman"/>
          <w:bCs/>
          <w:sz w:val="20"/>
          <w:szCs w:val="20"/>
        </w:rPr>
        <w:t>larity</w:t>
      </w:r>
      <w:r w:rsidRPr="00134893">
        <w:rPr>
          <w:rFonts w:cs="Times New Roman"/>
          <w:bCs/>
          <w:spacing w:val="-4"/>
          <w:sz w:val="20"/>
          <w:szCs w:val="20"/>
        </w:rPr>
        <w:t xml:space="preserve"> </w:t>
      </w:r>
      <w:r w:rsidRPr="00134893">
        <w:rPr>
          <w:rFonts w:cs="Times New Roman"/>
          <w:bCs/>
          <w:sz w:val="20"/>
          <w:szCs w:val="20"/>
        </w:rPr>
        <w:t>on</w:t>
      </w:r>
      <w:r w:rsidRPr="00134893">
        <w:rPr>
          <w:rFonts w:cs="Times New Roman"/>
          <w:bCs/>
          <w:spacing w:val="-3"/>
          <w:sz w:val="20"/>
          <w:szCs w:val="20"/>
        </w:rPr>
        <w:t xml:space="preserve"> </w:t>
      </w:r>
      <w:r w:rsidRPr="00134893">
        <w:rPr>
          <w:rFonts w:cs="Times New Roman"/>
          <w:bCs/>
          <w:sz w:val="20"/>
          <w:szCs w:val="20"/>
        </w:rPr>
        <w:t>the</w:t>
      </w:r>
      <w:r w:rsidRPr="00134893">
        <w:rPr>
          <w:rFonts w:cs="Times New Roman"/>
          <w:bCs/>
          <w:spacing w:val="-3"/>
          <w:sz w:val="20"/>
          <w:szCs w:val="20"/>
        </w:rPr>
        <w:t xml:space="preserve"> </w:t>
      </w:r>
      <w:r>
        <w:rPr>
          <w:rFonts w:cs="Times New Roman"/>
          <w:bCs/>
          <w:spacing w:val="-3"/>
          <w:sz w:val="20"/>
          <w:szCs w:val="20"/>
        </w:rPr>
        <w:t>T</w:t>
      </w:r>
      <w:r w:rsidRPr="00134893">
        <w:rPr>
          <w:rFonts w:cs="Times New Roman"/>
          <w:bCs/>
          <w:sz w:val="20"/>
          <w:szCs w:val="20"/>
        </w:rPr>
        <w:t>wo</w:t>
      </w:r>
      <w:r w:rsidRPr="00134893">
        <w:rPr>
          <w:rFonts w:cs="Times New Roman"/>
          <w:bCs/>
          <w:spacing w:val="-2"/>
          <w:sz w:val="20"/>
          <w:szCs w:val="20"/>
        </w:rPr>
        <w:t xml:space="preserve"> </w:t>
      </w:r>
      <w:r w:rsidRPr="00134893">
        <w:rPr>
          <w:rFonts w:cs="Times New Roman"/>
          <w:bCs/>
          <w:sz w:val="20"/>
          <w:szCs w:val="20"/>
        </w:rPr>
        <w:t>“</w:t>
      </w:r>
      <w:r>
        <w:rPr>
          <w:rFonts w:cs="Times New Roman"/>
          <w:bCs/>
          <w:sz w:val="20"/>
          <w:szCs w:val="20"/>
        </w:rPr>
        <w:t>R</w:t>
      </w:r>
      <w:r w:rsidRPr="00134893">
        <w:rPr>
          <w:rFonts w:cs="Times New Roman"/>
          <w:bCs/>
          <w:sz w:val="20"/>
          <w:szCs w:val="20"/>
        </w:rPr>
        <w:t>ules</w:t>
      </w:r>
      <w:r w:rsidRPr="00134893">
        <w:rPr>
          <w:rFonts w:cs="Times New Roman"/>
          <w:bCs/>
          <w:spacing w:val="-3"/>
          <w:sz w:val="20"/>
          <w:szCs w:val="20"/>
        </w:rPr>
        <w:t xml:space="preserve"> </w:t>
      </w:r>
      <w:r>
        <w:rPr>
          <w:rFonts w:cs="Times New Roman"/>
          <w:bCs/>
          <w:spacing w:val="-3"/>
          <w:sz w:val="20"/>
          <w:szCs w:val="20"/>
        </w:rPr>
        <w:t>P</w:t>
      </w:r>
      <w:r w:rsidRPr="00134893">
        <w:rPr>
          <w:rFonts w:cs="Times New Roman"/>
          <w:bCs/>
          <w:spacing w:val="-2"/>
          <w:sz w:val="20"/>
          <w:szCs w:val="20"/>
        </w:rPr>
        <w:t xml:space="preserve">roblems”: </w:t>
      </w:r>
      <w:r>
        <w:rPr>
          <w:rFonts w:cs="Times New Roman"/>
          <w:bCs/>
          <w:sz w:val="20"/>
          <w:szCs w:val="20"/>
        </w:rPr>
        <w:t>E</w:t>
      </w:r>
      <w:r w:rsidRPr="00134893">
        <w:rPr>
          <w:rFonts w:cs="Times New Roman"/>
          <w:bCs/>
          <w:sz w:val="20"/>
          <w:szCs w:val="20"/>
        </w:rPr>
        <w:t>mpirical</w:t>
      </w:r>
      <w:r w:rsidRPr="00134893">
        <w:rPr>
          <w:rFonts w:cs="Times New Roman"/>
          <w:bCs/>
          <w:spacing w:val="-5"/>
          <w:sz w:val="20"/>
          <w:szCs w:val="20"/>
        </w:rPr>
        <w:t xml:space="preserve"> </w:t>
      </w:r>
      <w:r>
        <w:rPr>
          <w:rFonts w:cs="Times New Roman"/>
          <w:bCs/>
          <w:spacing w:val="-5"/>
          <w:sz w:val="20"/>
          <w:szCs w:val="20"/>
        </w:rPr>
        <w:t>E</w:t>
      </w:r>
      <w:r w:rsidRPr="00134893">
        <w:rPr>
          <w:rFonts w:cs="Times New Roman"/>
          <w:bCs/>
          <w:sz w:val="20"/>
          <w:szCs w:val="20"/>
        </w:rPr>
        <w:t>vidence</w:t>
      </w:r>
      <w:r w:rsidRPr="00134893">
        <w:rPr>
          <w:rFonts w:cs="Times New Roman"/>
          <w:bCs/>
          <w:spacing w:val="-5"/>
          <w:sz w:val="20"/>
          <w:szCs w:val="20"/>
        </w:rPr>
        <w:t xml:space="preserve"> </w:t>
      </w:r>
      <w:r w:rsidRPr="00134893">
        <w:rPr>
          <w:rFonts w:cs="Times New Roman"/>
          <w:bCs/>
          <w:sz w:val="20"/>
          <w:szCs w:val="20"/>
        </w:rPr>
        <w:t>of</w:t>
      </w:r>
      <w:r w:rsidRPr="00134893">
        <w:rPr>
          <w:rFonts w:cs="Times New Roman"/>
          <w:bCs/>
          <w:spacing w:val="-5"/>
          <w:sz w:val="20"/>
          <w:szCs w:val="20"/>
        </w:rPr>
        <w:t xml:space="preserve"> </w:t>
      </w:r>
      <w:r w:rsidRPr="00134893">
        <w:rPr>
          <w:rFonts w:cs="Times New Roman"/>
          <w:bCs/>
          <w:sz w:val="20"/>
          <w:szCs w:val="20"/>
        </w:rPr>
        <w:t>the</w:t>
      </w:r>
      <w:r w:rsidRPr="00134893">
        <w:rPr>
          <w:rFonts w:cs="Times New Roman"/>
          <w:bCs/>
          <w:spacing w:val="-5"/>
          <w:sz w:val="20"/>
          <w:szCs w:val="20"/>
        </w:rPr>
        <w:t xml:space="preserve"> </w:t>
      </w:r>
      <w:r>
        <w:rPr>
          <w:rFonts w:cs="Times New Roman"/>
          <w:bCs/>
          <w:sz w:val="20"/>
          <w:szCs w:val="20"/>
        </w:rPr>
        <w:t>I</w:t>
      </w:r>
      <w:r w:rsidRPr="00134893">
        <w:rPr>
          <w:rFonts w:cs="Times New Roman"/>
          <w:bCs/>
          <w:sz w:val="20"/>
          <w:szCs w:val="20"/>
        </w:rPr>
        <w:t>nsufficient</w:t>
      </w:r>
      <w:r w:rsidRPr="00134893">
        <w:rPr>
          <w:rFonts w:cs="Times New Roman"/>
          <w:bCs/>
          <w:spacing w:val="-5"/>
          <w:sz w:val="20"/>
          <w:szCs w:val="20"/>
        </w:rPr>
        <w:t xml:space="preserve"> </w:t>
      </w:r>
      <w:r>
        <w:rPr>
          <w:rFonts w:cs="Times New Roman"/>
          <w:bCs/>
          <w:spacing w:val="-5"/>
          <w:sz w:val="20"/>
          <w:szCs w:val="20"/>
        </w:rPr>
        <w:t>C</w:t>
      </w:r>
      <w:r w:rsidRPr="00134893">
        <w:rPr>
          <w:rFonts w:cs="Times New Roman"/>
          <w:bCs/>
          <w:sz w:val="20"/>
          <w:szCs w:val="20"/>
        </w:rPr>
        <w:t>laims</w:t>
      </w:r>
      <w:r w:rsidRPr="00134893">
        <w:rPr>
          <w:rFonts w:cs="Times New Roman"/>
          <w:bCs/>
          <w:spacing w:val="-6"/>
          <w:sz w:val="20"/>
          <w:szCs w:val="20"/>
        </w:rPr>
        <w:t xml:space="preserve"> </w:t>
      </w:r>
      <w:r>
        <w:rPr>
          <w:rFonts w:cs="Times New Roman"/>
          <w:bCs/>
          <w:spacing w:val="-6"/>
          <w:sz w:val="20"/>
          <w:szCs w:val="20"/>
        </w:rPr>
        <w:t>P</w:t>
      </w:r>
      <w:r w:rsidRPr="00134893">
        <w:rPr>
          <w:rFonts w:cs="Times New Roman"/>
          <w:bCs/>
          <w:sz w:val="20"/>
          <w:szCs w:val="20"/>
        </w:rPr>
        <w:t>roblem</w:t>
      </w:r>
      <w:r w:rsidRPr="00134893">
        <w:rPr>
          <w:rFonts w:cs="Times New Roman"/>
          <w:bCs/>
          <w:spacing w:val="-5"/>
          <w:sz w:val="20"/>
          <w:szCs w:val="20"/>
        </w:rPr>
        <w:t xml:space="preserve"> </w:t>
      </w:r>
      <w:r w:rsidRPr="00134893">
        <w:rPr>
          <w:rFonts w:cs="Times New Roman"/>
          <w:bCs/>
          <w:sz w:val="20"/>
          <w:szCs w:val="20"/>
        </w:rPr>
        <w:t>in</w:t>
      </w:r>
      <w:r w:rsidRPr="00134893">
        <w:rPr>
          <w:rFonts w:cs="Times New Roman"/>
          <w:bCs/>
          <w:spacing w:val="-6"/>
          <w:sz w:val="20"/>
          <w:szCs w:val="20"/>
        </w:rPr>
        <w:t xml:space="preserve"> MDL</w:t>
      </w:r>
      <w:r w:rsidRPr="00134893">
        <w:rPr>
          <w:rFonts w:cs="Times New Roman"/>
          <w:bCs/>
          <w:sz w:val="20"/>
          <w:szCs w:val="20"/>
        </w:rPr>
        <w:t>s,</w:t>
      </w:r>
      <w:r w:rsidRPr="00134893">
        <w:rPr>
          <w:rFonts w:cs="Times New Roman"/>
          <w:bCs/>
          <w:spacing w:val="-2"/>
          <w:sz w:val="20"/>
          <w:szCs w:val="20"/>
        </w:rPr>
        <w:t xml:space="preserve"> Comment </w:t>
      </w:r>
      <w:r w:rsidRPr="00134893">
        <w:rPr>
          <w:rFonts w:cs="Times New Roman"/>
          <w:bCs/>
          <w:sz w:val="20"/>
          <w:szCs w:val="20"/>
        </w:rPr>
        <w:t xml:space="preserve">to </w:t>
      </w:r>
      <w:r w:rsidRPr="00134893">
        <w:rPr>
          <w:rFonts w:cs="Times New Roman"/>
          <w:bCs/>
          <w:spacing w:val="-5"/>
          <w:sz w:val="20"/>
          <w:szCs w:val="20"/>
        </w:rPr>
        <w:t>the A</w:t>
      </w:r>
      <w:r w:rsidRPr="00134893">
        <w:rPr>
          <w:rFonts w:cs="Times New Roman"/>
          <w:bCs/>
          <w:sz w:val="20"/>
          <w:szCs w:val="20"/>
        </w:rPr>
        <w:t>dvisory</w:t>
      </w:r>
      <w:r w:rsidRPr="00134893">
        <w:rPr>
          <w:rFonts w:cs="Times New Roman"/>
          <w:bCs/>
          <w:spacing w:val="-3"/>
          <w:sz w:val="20"/>
          <w:szCs w:val="20"/>
        </w:rPr>
        <w:t xml:space="preserve"> </w:t>
      </w:r>
      <w:r w:rsidRPr="00134893">
        <w:rPr>
          <w:rFonts w:cs="Times New Roman"/>
          <w:bCs/>
          <w:sz w:val="20"/>
          <w:szCs w:val="20"/>
        </w:rPr>
        <w:t>Committee</w:t>
      </w:r>
      <w:r w:rsidRPr="00134893">
        <w:rPr>
          <w:rFonts w:cs="Times New Roman"/>
          <w:bCs/>
          <w:spacing w:val="-2"/>
          <w:sz w:val="20"/>
          <w:szCs w:val="20"/>
        </w:rPr>
        <w:t xml:space="preserve"> </w:t>
      </w:r>
      <w:r w:rsidRPr="00134893">
        <w:rPr>
          <w:rFonts w:cs="Times New Roman"/>
          <w:bCs/>
          <w:sz w:val="20"/>
          <w:szCs w:val="20"/>
        </w:rPr>
        <w:t>on</w:t>
      </w:r>
      <w:r w:rsidRPr="00134893">
        <w:rPr>
          <w:rFonts w:cs="Times New Roman"/>
          <w:bCs/>
          <w:spacing w:val="-3"/>
          <w:sz w:val="20"/>
          <w:szCs w:val="20"/>
        </w:rPr>
        <w:t xml:space="preserve"> </w:t>
      </w:r>
      <w:r w:rsidRPr="00134893">
        <w:rPr>
          <w:rFonts w:cs="Times New Roman"/>
          <w:bCs/>
          <w:sz w:val="20"/>
          <w:szCs w:val="20"/>
        </w:rPr>
        <w:t>Civil</w:t>
      </w:r>
      <w:r w:rsidRPr="00134893">
        <w:rPr>
          <w:rFonts w:cs="Times New Roman"/>
          <w:bCs/>
          <w:spacing w:val="-2"/>
          <w:sz w:val="20"/>
          <w:szCs w:val="20"/>
        </w:rPr>
        <w:t xml:space="preserve"> Rules on Proposed New Rule 16.1, Lawyers for Civil Justice</w:t>
      </w:r>
      <w:r w:rsidRPr="00134893">
        <w:rPr>
          <w:rFonts w:cs="Times New Roman"/>
          <w:bCs/>
          <w:sz w:val="20"/>
          <w:szCs w:val="20"/>
        </w:rPr>
        <w:t xml:space="preserve"> (February 16, </w:t>
      </w:r>
      <w:r w:rsidRPr="00134893">
        <w:rPr>
          <w:rFonts w:cs="Times New Roman"/>
          <w:bCs/>
          <w:spacing w:val="-4"/>
          <w:sz w:val="20"/>
          <w:szCs w:val="20"/>
        </w:rPr>
        <w:t xml:space="preserve">2024) (citing to dismissals of actions ranging from 15% to 50% of actions in docket entries in several mass-tort MDLs posted </w:t>
      </w:r>
      <w:r>
        <w:rPr>
          <w:rFonts w:cs="Times New Roman"/>
          <w:bCs/>
          <w:spacing w:val="-4"/>
          <w:sz w:val="20"/>
          <w:szCs w:val="20"/>
        </w:rPr>
        <w:t>on C</w:t>
      </w:r>
      <w:r w:rsidRPr="00134893">
        <w:rPr>
          <w:rFonts w:cs="Times New Roman"/>
          <w:bCs/>
          <w:spacing w:val="-4"/>
          <w:sz w:val="20"/>
          <w:szCs w:val="20"/>
        </w:rPr>
        <w:t xml:space="preserve">enter’s website at </w:t>
      </w:r>
      <w:hyperlink r:id="rId4" w:history="1">
        <w:r w:rsidRPr="00134893">
          <w:rPr>
            <w:rStyle w:val="Hyperlink"/>
            <w:rFonts w:cs="Times New Roman"/>
            <w:bCs/>
            <w:spacing w:val="-4"/>
            <w:sz w:val="20"/>
            <w:szCs w:val="20"/>
          </w:rPr>
          <w:t>https://rabiejcenter.org/events/special-invitation-only-mdl-unsupportable-claims-bench-bar-workshop/</w:t>
        </w:r>
      </w:hyperlink>
      <w:r w:rsidRPr="00134893">
        <w:rPr>
          <w:rFonts w:cs="Times New Roman"/>
          <w:bCs/>
          <w:spacing w:val="-4"/>
          <w:sz w:val="20"/>
          <w:szCs w:val="20"/>
        </w:rPr>
        <w:t>).</w:t>
      </w:r>
    </w:p>
  </w:footnote>
  <w:footnote w:id="105">
    <w:p w14:paraId="5D2BB97C" w14:textId="537048BD" w:rsidR="00F62B2D" w:rsidRPr="00CF3179" w:rsidRDefault="00F62B2D" w:rsidP="00F62B2D">
      <w:pPr>
        <w:pStyle w:val="FootnoteText"/>
        <w:rPr>
          <w:rFonts w:cs="Times New Roman"/>
        </w:rPr>
      </w:pPr>
      <w:r>
        <w:rPr>
          <w:rStyle w:val="FootnoteReference"/>
        </w:rPr>
        <w:footnoteRef/>
      </w:r>
      <w:r>
        <w:t xml:space="preserve"> </w:t>
      </w:r>
      <w:r w:rsidR="001B7640">
        <w:rPr>
          <w:rFonts w:cs="Times New Roman"/>
        </w:rPr>
        <w:t>FED. R. CIV. P.</w:t>
      </w:r>
      <w:r>
        <w:rPr>
          <w:rFonts w:cs="Times New Roman"/>
        </w:rPr>
        <w:t xml:space="preserve"> 11, Committee Note (1993).</w:t>
      </w:r>
    </w:p>
  </w:footnote>
  <w:footnote w:id="106">
    <w:p w14:paraId="7177A143" w14:textId="3766133B" w:rsidR="00F62B2D" w:rsidRDefault="00F62B2D" w:rsidP="00F62B2D">
      <w:pPr>
        <w:pStyle w:val="FootnoteText"/>
      </w:pPr>
      <w:r>
        <w:rPr>
          <w:rStyle w:val="FootnoteReference"/>
        </w:rPr>
        <w:footnoteRef/>
      </w:r>
      <w:r>
        <w:t xml:space="preserve"> </w:t>
      </w:r>
      <w:bookmarkStart w:id="24" w:name="_Hlk174802252"/>
      <w:r w:rsidR="001B7640">
        <w:rPr>
          <w:rFonts w:cs="Times New Roman"/>
        </w:rPr>
        <w:t>FED. R. CIV. P.</w:t>
      </w:r>
      <w:r>
        <w:rPr>
          <w:rFonts w:cs="Times New Roman"/>
        </w:rPr>
        <w:t xml:space="preserve"> 11, Committee Note (1983).</w:t>
      </w:r>
      <w:bookmarkEnd w:id="24"/>
    </w:p>
  </w:footnote>
  <w:footnote w:id="107">
    <w:p w14:paraId="157271AB" w14:textId="31EEECAA" w:rsidR="00F62B2D" w:rsidRDefault="00F62B2D" w:rsidP="00F62B2D">
      <w:pPr>
        <w:pStyle w:val="FootnoteText"/>
      </w:pPr>
      <w:r>
        <w:rPr>
          <w:rStyle w:val="FootnoteReference"/>
        </w:rPr>
        <w:footnoteRef/>
      </w:r>
      <w:r>
        <w:t xml:space="preserve"> </w:t>
      </w:r>
      <w:r w:rsidR="001B7640">
        <w:rPr>
          <w:rFonts w:cs="Times New Roman"/>
        </w:rPr>
        <w:t>FED. R. CIV. P.</w:t>
      </w:r>
      <w:r>
        <w:rPr>
          <w:rFonts w:cs="Times New Roman"/>
        </w:rPr>
        <w:t xml:space="preserve"> 11, Committee Note (1983).</w:t>
      </w:r>
    </w:p>
  </w:footnote>
  <w:footnote w:id="108">
    <w:p w14:paraId="627F5701" w14:textId="52F36C3F" w:rsidR="00F62B2D" w:rsidRPr="00AB3FE9" w:rsidRDefault="00F62B2D" w:rsidP="00F62B2D">
      <w:pPr>
        <w:pStyle w:val="FootnoteText"/>
        <w:jc w:val="both"/>
        <w:rPr>
          <w:rFonts w:cs="Times New Roman"/>
        </w:rPr>
      </w:pPr>
      <w:r>
        <w:rPr>
          <w:rStyle w:val="FootnoteReference"/>
        </w:rPr>
        <w:footnoteRef/>
      </w:r>
      <w:r>
        <w:t xml:space="preserve"> T</w:t>
      </w:r>
      <w:r w:rsidRPr="00AB3FE9">
        <w:rPr>
          <w:rFonts w:cs="Times New Roman"/>
        </w:rPr>
        <w:t xml:space="preserve">he upshot is </w:t>
      </w:r>
      <w:r>
        <w:rPr>
          <w:rFonts w:cs="Times New Roman"/>
        </w:rPr>
        <w:t xml:space="preserve">the likelihood that many actions filed in a mass-tort MDL have no evidentiary basis and no evidence will be found for many of them after a </w:t>
      </w:r>
      <w:r w:rsidRPr="00AB3FE9">
        <w:rPr>
          <w:rFonts w:cs="Times New Roman"/>
        </w:rPr>
        <w:t xml:space="preserve">reasonable time for investigation or discovery as provided under </w:t>
      </w:r>
      <w:r w:rsidR="001B7640">
        <w:rPr>
          <w:rFonts w:cs="Times New Roman"/>
        </w:rPr>
        <w:t>FED. R. CIV. P.</w:t>
      </w:r>
      <w:r w:rsidRPr="00AB3FE9">
        <w:rPr>
          <w:rFonts w:cs="Times New Roman"/>
        </w:rPr>
        <w:t xml:space="preserve"> 11(b)(3), Committee Notes (1983 and 1993); </w:t>
      </w:r>
      <w:r w:rsidRPr="00AB3FE9">
        <w:rPr>
          <w:rFonts w:cs="Times New Roman"/>
          <w:i/>
          <w:iCs/>
        </w:rPr>
        <w:t>see</w:t>
      </w:r>
      <w:r w:rsidRPr="00AB3FE9">
        <w:rPr>
          <w:rFonts w:cs="Times New Roman"/>
        </w:rPr>
        <w:t xml:space="preserve">  </w:t>
      </w:r>
      <w:r w:rsidRPr="00AB3FE9">
        <w:rPr>
          <w:rFonts w:cs="Times New Roman"/>
          <w:smallCaps/>
        </w:rPr>
        <w:t>Complex Litigation Compendium of Guidelines and Best Practices,</w:t>
      </w:r>
      <w:r w:rsidRPr="00AB3FE9">
        <w:rPr>
          <w:rFonts w:cs="Times New Roman"/>
        </w:rPr>
        <w:t xml:space="preserve"> Guideline B-5 </w:t>
      </w:r>
      <w:r w:rsidRPr="00AB3FE9">
        <w:rPr>
          <w:rFonts w:cs="Times New Roman"/>
          <w:color w:val="4A4A4A"/>
          <w:shd w:val="clear" w:color="auto" w:fill="FFFFFF"/>
        </w:rPr>
        <w:t>Permanent No. MDL-§ 1</w:t>
      </w:r>
      <w:r>
        <w:rPr>
          <w:rFonts w:cs="Times New Roman"/>
          <w:color w:val="4A4A4A"/>
          <w:shd w:val="clear" w:color="auto" w:fill="FFFFFF"/>
        </w:rPr>
        <w:t>, which recommends for the same reasons that the JPML defer centralizing a putative mass-tort MDL until an adequate track record of trials and settlements in individual actions crystallizes the claims and defenses.  Alternatively, the pleading standards could be revised to require specificity of circumstances under heightened pleading standards, like Fed. R. Civ. R. 9(b), or the stronger pleading standard enacted by Congress for securities class actions u</w:t>
      </w:r>
      <w:r>
        <w:rPr>
          <w:rFonts w:cs="Times New Roman"/>
        </w:rPr>
        <w:t xml:space="preserve">nder the Private Securities Litigation Reform Act. </w:t>
      </w:r>
    </w:p>
  </w:footnote>
  <w:footnote w:id="109">
    <w:p w14:paraId="4A39AFCF" w14:textId="306F18D5" w:rsidR="00F62B2D" w:rsidRPr="00DD4823"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Pr>
          <w:rFonts w:cs="Times New Roman"/>
        </w:rPr>
        <w:t xml:space="preserve"> 11(b) and (c), Committee Note (1993).</w:t>
      </w:r>
    </w:p>
  </w:footnote>
  <w:footnote w:id="110">
    <w:p w14:paraId="221A6800" w14:textId="77777777" w:rsidR="00F62B2D" w:rsidRPr="007301DD" w:rsidRDefault="00F62B2D" w:rsidP="00F62B2D">
      <w:pPr>
        <w:pStyle w:val="FootnoteText"/>
        <w:jc w:val="both"/>
      </w:pPr>
      <w:r w:rsidRPr="007301DD">
        <w:rPr>
          <w:rStyle w:val="FootnoteReference"/>
        </w:rPr>
        <w:footnoteRef/>
      </w:r>
      <w:r w:rsidRPr="007301DD">
        <w:t xml:space="preserve"> </w:t>
      </w:r>
      <w:r w:rsidRPr="007301DD">
        <w:rPr>
          <w:i/>
        </w:rPr>
        <w:t>Id.</w:t>
      </w:r>
      <w:r w:rsidRPr="007301DD">
        <w:t xml:space="preserve"> (“Research by the Federal Judicial Center showed that in nearly 90% of large MDLs a [Plaintiff Fact Sheet] is already employed”).  </w:t>
      </w:r>
    </w:p>
  </w:footnote>
  <w:footnote w:id="111">
    <w:p w14:paraId="6A148CA2" w14:textId="77777777" w:rsidR="00F62B2D" w:rsidRPr="007301DD" w:rsidRDefault="00F62B2D" w:rsidP="00F62B2D">
      <w:pPr>
        <w:pStyle w:val="FootnoteText"/>
        <w:jc w:val="both"/>
      </w:pPr>
      <w:r w:rsidRPr="007301DD">
        <w:rPr>
          <w:rStyle w:val="FootnoteReference"/>
        </w:rPr>
        <w:footnoteRef/>
      </w:r>
      <w:r w:rsidRPr="007301DD">
        <w:t xml:space="preserve"> Advisory Committee on Civil Rules, Agenda Book (April 23, 2021), </w:t>
      </w:r>
      <w:r w:rsidRPr="007301DD">
        <w:rPr>
          <w:i/>
        </w:rPr>
        <w:t xml:space="preserve">Multidistrict Litigation Subcommittee Report </w:t>
      </w:r>
      <w:r w:rsidRPr="007301DD">
        <w:t xml:space="preserve">at 159.  </w:t>
      </w:r>
    </w:p>
  </w:footnote>
  <w:footnote w:id="112">
    <w:p w14:paraId="31640B61" w14:textId="77777777" w:rsidR="00F62B2D" w:rsidRPr="007925CE" w:rsidRDefault="00F62B2D" w:rsidP="00F62B2D">
      <w:pPr>
        <w:pStyle w:val="FootnoteText"/>
        <w:jc w:val="both"/>
      </w:pPr>
      <w:r>
        <w:rPr>
          <w:rStyle w:val="FootnoteReference"/>
        </w:rPr>
        <w:footnoteRef/>
      </w:r>
      <w:r>
        <w:t xml:space="preserve"> Advisory Committee on Civil Rules, </w:t>
      </w:r>
      <w:r w:rsidRPr="00454DBA">
        <w:rPr>
          <w:i/>
        </w:rPr>
        <w:t>Agenda Book, April 2-3, 2019</w:t>
      </w:r>
      <w:r>
        <w:t xml:space="preserve">, 209, </w:t>
      </w:r>
      <w:hyperlink r:id="rId5" w:history="1">
        <w:r w:rsidRPr="00E154E0">
          <w:rPr>
            <w:rStyle w:val="Hyperlink"/>
          </w:rPr>
          <w:t>https://www.uscourts.gov/sites/default/files/2019-04_civil_rules_agenda_book.pdf</w:t>
        </w:r>
      </w:hyperlink>
      <w:r>
        <w:t xml:space="preserve"> (“The FJC found that the average time from Panel centralization to entry of a PFS order in the proceedings it studied was over 8 months, and the median time was over 6 months.”).  </w:t>
      </w:r>
    </w:p>
  </w:footnote>
  <w:footnote w:id="113">
    <w:p w14:paraId="66154A9F" w14:textId="77777777" w:rsidR="00F62B2D" w:rsidRPr="007301DD" w:rsidRDefault="00F62B2D" w:rsidP="00F62B2D">
      <w:pPr>
        <w:pStyle w:val="FootnoteText"/>
        <w:jc w:val="both"/>
      </w:pPr>
      <w:r w:rsidRPr="007301DD">
        <w:rPr>
          <w:rStyle w:val="FootnoteReference"/>
        </w:rPr>
        <w:footnoteRef/>
      </w:r>
      <w:r w:rsidRPr="007301DD">
        <w:t xml:space="preserve"> Lawyers for Civil Justice, Comment to the Advisory Committee on Civil Rules and its MDL Subcommittee, </w:t>
      </w:r>
      <w:r w:rsidRPr="007301DD">
        <w:rPr>
          <w:i/>
        </w:rPr>
        <w:t>Fixing the Imbalance: Two Proposals for FRCP Amendments that Would Solve the Early Vetting Gap and  Remedy the Appellate Review Roadblock in MDL Proceedings</w:t>
      </w:r>
      <w:r w:rsidRPr="007301DD">
        <w:t xml:space="preserve">, Sept. 9, 2020, 3 </w:t>
      </w:r>
      <w:hyperlink r:id="rId6" w:history="1">
        <w:r w:rsidRPr="007301DD">
          <w:rPr>
            <w:rStyle w:val="Hyperlink"/>
          </w:rPr>
          <w:t>https://6c49d6b3-c5c6-477f-a3c6-cfaa1fd41c48.usrfiles.com/ugd/6c49d6_d760bf1182ed4fe486451a9c1bb54695.pdf</w:t>
        </w:r>
      </w:hyperlink>
      <w:r w:rsidRPr="007301DD">
        <w:t xml:space="preserve">.  </w:t>
      </w:r>
    </w:p>
  </w:footnote>
  <w:footnote w:id="114">
    <w:p w14:paraId="59DCB36A" w14:textId="77777777" w:rsidR="00F62B2D" w:rsidRPr="00FB36F8" w:rsidRDefault="00F62B2D" w:rsidP="00F62B2D">
      <w:pPr>
        <w:pStyle w:val="FootnoteText"/>
        <w:jc w:val="both"/>
      </w:pPr>
      <w:r>
        <w:rPr>
          <w:rStyle w:val="FootnoteReference"/>
        </w:rPr>
        <w:footnoteRef/>
      </w:r>
      <w:r>
        <w:t xml:space="preserve"> </w:t>
      </w:r>
      <w:r>
        <w:rPr>
          <w:i/>
        </w:rPr>
        <w:t>See</w:t>
      </w:r>
      <w:r>
        <w:t xml:space="preserve"> Committee on Rules of Practice and Procedure, </w:t>
      </w:r>
      <w:r>
        <w:rPr>
          <w:i/>
        </w:rPr>
        <w:t>Agenda Book, June 12, 2018</w:t>
      </w:r>
      <w:r>
        <w:t xml:space="preserve">, 298, </w:t>
      </w:r>
      <w:hyperlink r:id="rId7" w:history="1">
        <w:r w:rsidRPr="00E154E0">
          <w:rPr>
            <w:rStyle w:val="Hyperlink"/>
          </w:rPr>
          <w:t>https://www.uscourts.gov/sites/default/files/2018-06_standing_agenda_book_final.pdf</w:t>
        </w:r>
      </w:hyperlink>
      <w:r>
        <w:t xml:space="preserve">.  </w:t>
      </w:r>
    </w:p>
  </w:footnote>
  <w:footnote w:id="115">
    <w:p w14:paraId="02DBDACE" w14:textId="77777777" w:rsidR="00F62B2D" w:rsidRPr="0085701F" w:rsidRDefault="00F62B2D" w:rsidP="00F62B2D">
      <w:pPr>
        <w:pStyle w:val="FootnoteText"/>
        <w:jc w:val="both"/>
      </w:pPr>
      <w:r w:rsidRPr="007301DD">
        <w:rPr>
          <w:rStyle w:val="FootnoteReference"/>
        </w:rPr>
        <w:footnoteRef/>
      </w:r>
      <w:r w:rsidRPr="007301DD">
        <w:t xml:space="preserve"> Angela Browning, Law360, </w:t>
      </w:r>
      <w:r w:rsidRPr="007301DD">
        <w:rPr>
          <w:i/>
        </w:rPr>
        <w:t>Initial Census, Data Analytics Can Aid MDL Management</w:t>
      </w:r>
      <w:r w:rsidRPr="007301DD">
        <w:t xml:space="preserve"> (Dec. 18, 2020).</w:t>
      </w:r>
      <w:r>
        <w:t xml:space="preserve">  </w:t>
      </w:r>
      <w:r w:rsidRPr="00D02983">
        <w:rPr>
          <w:rFonts w:cs="Times New Roman"/>
        </w:rPr>
        <w:t xml:space="preserve">Mass Tort Institute, </w:t>
      </w:r>
      <w:r w:rsidRPr="00D02983">
        <w:rPr>
          <w:rFonts w:cs="Times New Roman"/>
          <w:i/>
        </w:rPr>
        <w:t>MDL Early Vetting: The Increasing Use of Initial Census Forms</w:t>
      </w:r>
      <w:r w:rsidRPr="00D02983">
        <w:rPr>
          <w:rFonts w:cs="Times New Roman"/>
        </w:rPr>
        <w:t xml:space="preserve"> (Sept. 26, 2021).  Since its May 2019 gathering, the Advisory Committee on Civil Rules’ MDL Subcommittee has focused on the idea of an initial census as a solution to early vetting challenges. Three recent MDLs – 3M, Juul, and Zantac – utilized census orders.</w:t>
      </w:r>
      <w:r w:rsidRPr="00494AA1">
        <w:rPr>
          <w:sz w:val="24"/>
          <w:szCs w:val="24"/>
        </w:rPr>
        <w:t xml:space="preserve">  </w:t>
      </w:r>
    </w:p>
  </w:footnote>
  <w:footnote w:id="116">
    <w:p w14:paraId="4765B686" w14:textId="77777777" w:rsidR="00F62B2D" w:rsidRPr="007301DD" w:rsidRDefault="00F62B2D" w:rsidP="00F62B2D">
      <w:pPr>
        <w:pStyle w:val="FootnoteText"/>
        <w:jc w:val="both"/>
      </w:pPr>
      <w:r w:rsidRPr="007301DD">
        <w:rPr>
          <w:rStyle w:val="FootnoteReference"/>
        </w:rPr>
        <w:footnoteRef/>
      </w:r>
      <w:r w:rsidRPr="007301DD">
        <w:t xml:space="preserve"> Angela Browning, Law360, </w:t>
      </w:r>
      <w:r w:rsidRPr="007301DD">
        <w:rPr>
          <w:i/>
        </w:rPr>
        <w:t>Initial Census, Data Analytics Can Aid MDL Management</w:t>
      </w:r>
      <w:r w:rsidRPr="007301DD">
        <w:t xml:space="preserve"> (Dec. 18, 2020), </w:t>
      </w:r>
      <w:hyperlink r:id="rId8" w:history="1">
        <w:r w:rsidRPr="007301DD">
          <w:rPr>
            <w:rStyle w:val="Hyperlink"/>
          </w:rPr>
          <w:t>https://www.law360.com/articles/1338646/initial-census-data-analytics-can-aid-mdl-management</w:t>
        </w:r>
      </w:hyperlink>
      <w:r w:rsidRPr="007301DD">
        <w:t xml:space="preserve">; Mass Tort Institute, </w:t>
      </w:r>
      <w:r w:rsidRPr="007301DD">
        <w:rPr>
          <w:i/>
        </w:rPr>
        <w:t>MDL Early Vetting: The Increasing Use of Initial Census Forms</w:t>
      </w:r>
      <w:r w:rsidRPr="007301DD">
        <w:t xml:space="preserve"> (Sept. 26, 2021), </w:t>
      </w:r>
      <w:hyperlink r:id="rId9" w:history="1">
        <w:r w:rsidRPr="00D07C55">
          <w:rPr>
            <w:rStyle w:val="Hyperlink"/>
          </w:rPr>
          <w:t>https://www.masstortinstitute.com/blog/mdl-early-vetting/</w:t>
        </w:r>
      </w:hyperlink>
      <w:r>
        <w:t xml:space="preserve">. </w:t>
      </w:r>
    </w:p>
  </w:footnote>
  <w:footnote w:id="117">
    <w:p w14:paraId="24181A89" w14:textId="77777777" w:rsidR="00F62B2D" w:rsidRDefault="00F62B2D" w:rsidP="00F62B2D">
      <w:pPr>
        <w:pStyle w:val="FootnoteText"/>
        <w:jc w:val="both"/>
      </w:pPr>
      <w:r>
        <w:rPr>
          <w:rStyle w:val="FootnoteReference"/>
        </w:rPr>
        <w:footnoteRef/>
      </w:r>
      <w:r>
        <w:t xml:space="preserve"> See </w:t>
      </w:r>
      <w:r w:rsidRPr="00E079EA">
        <w:t>https://www.law360.com/articles/1338646/initial-census-data-analytics-can-aid-mdl-management</w:t>
      </w:r>
      <w:r>
        <w:t xml:space="preserve"> .</w:t>
      </w:r>
    </w:p>
  </w:footnote>
  <w:footnote w:id="118">
    <w:p w14:paraId="4BBEBACF" w14:textId="77777777" w:rsidR="00F62B2D" w:rsidRPr="007301DD" w:rsidRDefault="00F62B2D" w:rsidP="00F62B2D">
      <w:pPr>
        <w:pStyle w:val="FootnoteText"/>
        <w:jc w:val="both"/>
      </w:pPr>
      <w:r w:rsidRPr="007301DD">
        <w:rPr>
          <w:rStyle w:val="FootnoteReference"/>
        </w:rPr>
        <w:footnoteRef/>
      </w:r>
      <w:r w:rsidRPr="007301DD">
        <w:t xml:space="preserve"> </w:t>
      </w:r>
      <w:r w:rsidRPr="007301DD">
        <w:rPr>
          <w:i/>
        </w:rPr>
        <w:t>MDL Practices and the Need for FRCP Amendments: Proposals for Discussion with the MDL/TPLF Subcommittee of the Advisory Committee on Civil Rights</w:t>
      </w:r>
      <w:r w:rsidRPr="007301DD">
        <w:t xml:space="preserve">, Sept. 14, 2018, 1 </w:t>
      </w:r>
      <w:hyperlink r:id="rId10" w:history="1">
        <w:r w:rsidRPr="007301DD">
          <w:rPr>
            <w:rStyle w:val="Hyperlink"/>
          </w:rPr>
          <w:t>https://www.uscourts.gov/sites/default/files/suggestion_18-cv-x_0.pdf</w:t>
        </w:r>
      </w:hyperlink>
      <w:r w:rsidRPr="007301DD">
        <w:t xml:space="preserve">.   </w:t>
      </w:r>
    </w:p>
  </w:footnote>
  <w:footnote w:id="119">
    <w:p w14:paraId="6F116426" w14:textId="77777777" w:rsidR="00F62B2D" w:rsidRPr="007301DD" w:rsidRDefault="00F62B2D" w:rsidP="00F62B2D">
      <w:pPr>
        <w:pStyle w:val="FootnoteText"/>
        <w:jc w:val="both"/>
      </w:pPr>
      <w:r w:rsidRPr="007301DD">
        <w:rPr>
          <w:rStyle w:val="FootnoteReference"/>
        </w:rPr>
        <w:footnoteRef/>
      </w:r>
      <w:r w:rsidRPr="007301DD">
        <w:t xml:space="preserve"> Advisory Committee on Civil Rules, Agenda Book (April 23, 2021), </w:t>
      </w:r>
      <w:r w:rsidRPr="007301DD">
        <w:rPr>
          <w:i/>
        </w:rPr>
        <w:t>Multidistrict Litigation Subcommittee Report</w:t>
      </w:r>
      <w:r w:rsidRPr="007301DD">
        <w:t>, 159</w:t>
      </w:r>
      <w:r w:rsidRPr="007301DD">
        <w:rPr>
          <w:i/>
        </w:rPr>
        <w:t xml:space="preserve"> </w:t>
      </w:r>
      <w:hyperlink r:id="rId11" w:history="1">
        <w:r w:rsidRPr="007301DD">
          <w:rPr>
            <w:rStyle w:val="Hyperlink"/>
          </w:rPr>
          <w:t>https://www.uscourts.gov/sites/default/files/2021-04-23_civil_agenda_book_with_supplemental_materials.pdf</w:t>
        </w:r>
      </w:hyperlink>
      <w:r w:rsidRPr="007301DD">
        <w:t xml:space="preserve">.  </w:t>
      </w:r>
      <w:r w:rsidRPr="005453F2">
        <w:rPr>
          <w:rFonts w:cs="Times New Roman"/>
        </w:rPr>
        <w:t>For example, in the Fosamax MDL, more than fifty percent of the cases set for trial and over thirty-one percent of the cases selected for discovery were dismissed.</w:t>
      </w:r>
      <w:r w:rsidRPr="005453F2">
        <w:rPr>
          <w:rStyle w:val="FootnoteReference"/>
          <w:rFonts w:cs="Times New Roman"/>
        </w:rPr>
        <w:footnoteRef/>
      </w:r>
      <w:r w:rsidRPr="005453F2">
        <w:rPr>
          <w:rFonts w:cs="Times New Roman"/>
        </w:rPr>
        <w:t xml:space="preserve">  Vetting claims remains a significant challenge in MDLs.</w:t>
      </w:r>
      <w:r w:rsidRPr="00494AA1">
        <w:rPr>
          <w:rFonts w:cs="Times New Roman"/>
          <w:sz w:val="24"/>
          <w:szCs w:val="24"/>
        </w:rPr>
        <w:t xml:space="preserve">  </w:t>
      </w:r>
    </w:p>
  </w:footnote>
  <w:footnote w:id="120">
    <w:p w14:paraId="093BF48D" w14:textId="77777777" w:rsidR="00F62B2D" w:rsidRPr="007301DD" w:rsidRDefault="00F62B2D" w:rsidP="00F62B2D">
      <w:pPr>
        <w:pStyle w:val="FootnoteText"/>
        <w:jc w:val="both"/>
      </w:pPr>
      <w:r w:rsidRPr="007301DD">
        <w:rPr>
          <w:rStyle w:val="FootnoteReference"/>
        </w:rPr>
        <w:footnoteRef/>
      </w:r>
      <w:r w:rsidRPr="007301DD">
        <w:t xml:space="preserve"> Letter from 48 General Counsel to Rebecca A. Womeldorf, Secretary, Committee on Rules of Practice and Procedure, Administrative Office of the United States Courts (Oct. 3, 2019), 2 </w:t>
      </w:r>
      <w:hyperlink r:id="rId12" w:history="1">
        <w:r w:rsidRPr="007301DD">
          <w:rPr>
            <w:rStyle w:val="Hyperlink"/>
          </w:rPr>
          <w:t>https://images.law.com/contrib/content/uploads/documents/292/56032/Initial-Census-letter-from-48-GCs.pdf</w:t>
        </w:r>
      </w:hyperlink>
      <w:r w:rsidRPr="007301DD">
        <w:t xml:space="preserve">.  </w:t>
      </w:r>
    </w:p>
  </w:footnote>
  <w:footnote w:id="121">
    <w:p w14:paraId="5C218AAE" w14:textId="77777777" w:rsidR="00F62B2D" w:rsidRDefault="00F62B2D" w:rsidP="00F62B2D">
      <w:pPr>
        <w:pStyle w:val="FootnoteText"/>
        <w:jc w:val="both"/>
      </w:pPr>
      <w:r>
        <w:rPr>
          <w:rStyle w:val="FootnoteReference"/>
        </w:rPr>
        <w:footnoteRef/>
      </w:r>
      <w:r>
        <w:t xml:space="preserve"> </w:t>
      </w:r>
      <w:r w:rsidRPr="00CA548F">
        <w:rPr>
          <w:i/>
          <w:iCs/>
        </w:rPr>
        <w:t>See, e.g., In Re: Zantac</w:t>
      </w:r>
      <w:r>
        <w:t xml:space="preserve"> Pretrial Order #1 at 3-4.</w:t>
      </w:r>
    </w:p>
  </w:footnote>
  <w:footnote w:id="122">
    <w:p w14:paraId="0DD21DAA" w14:textId="77777777" w:rsidR="00F62B2D" w:rsidRPr="007301DD" w:rsidRDefault="00F62B2D" w:rsidP="00F62B2D">
      <w:pPr>
        <w:pStyle w:val="FootnoteText"/>
        <w:jc w:val="both"/>
      </w:pPr>
      <w:r w:rsidRPr="007301DD">
        <w:rPr>
          <w:rStyle w:val="FootnoteReference"/>
        </w:rPr>
        <w:footnoteRef/>
      </w:r>
      <w:r w:rsidRPr="007301DD">
        <w:t xml:space="preserve"> </w:t>
      </w:r>
      <w:r w:rsidRPr="007301DD">
        <w:rPr>
          <w:i/>
        </w:rPr>
        <w:t>Id.</w:t>
      </w:r>
      <w:r w:rsidRPr="007301DD">
        <w:t xml:space="preserve">  </w:t>
      </w:r>
    </w:p>
  </w:footnote>
  <w:footnote w:id="123">
    <w:p w14:paraId="50C8BE2D" w14:textId="77777777" w:rsidR="00F62B2D" w:rsidRPr="00BF16F1" w:rsidRDefault="00F62B2D" w:rsidP="00F62B2D">
      <w:pPr>
        <w:pStyle w:val="FootnoteText"/>
        <w:jc w:val="both"/>
        <w:rPr>
          <w:rFonts w:cs="Times New Roman"/>
        </w:rPr>
      </w:pPr>
      <w:r>
        <w:rPr>
          <w:rStyle w:val="FootnoteReference"/>
        </w:rPr>
        <w:footnoteRef/>
      </w:r>
      <w:r>
        <w:t xml:space="preserve"> </w:t>
      </w:r>
      <w:r w:rsidRPr="00BF16F1">
        <w:rPr>
          <w:rFonts w:cs="Times New Roman"/>
          <w:i/>
        </w:rPr>
        <w:t>See</w:t>
      </w:r>
      <w:r w:rsidRPr="00BF16F1">
        <w:rPr>
          <w:rFonts w:cs="Times New Roman"/>
        </w:rPr>
        <w:t xml:space="preserve">, </w:t>
      </w:r>
      <w:r w:rsidRPr="00BF16F1">
        <w:rPr>
          <w:rFonts w:cs="Times New Roman"/>
          <w:i/>
        </w:rPr>
        <w:t>e.g.</w:t>
      </w:r>
      <w:r w:rsidRPr="00BF16F1">
        <w:rPr>
          <w:rFonts w:cs="Times New Roman"/>
        </w:rPr>
        <w:t xml:space="preserve">, Pretrial Order # 15 (Order on Procedures for Implementing Census), </w:t>
      </w:r>
      <w:r w:rsidRPr="00BF16F1">
        <w:rPr>
          <w:rFonts w:cs="Times New Roman"/>
          <w:i/>
        </w:rPr>
        <w:t>in re: Zantac (Ranitidine) Products Liability Litigation</w:t>
      </w:r>
      <w:r w:rsidRPr="00BF16F1">
        <w:rPr>
          <w:rFonts w:cs="Times New Roman"/>
        </w:rPr>
        <w:t>, 20-MD-2924 (S.D. Fla. April 2, 2020).</w:t>
      </w:r>
    </w:p>
  </w:footnote>
  <w:footnote w:id="124">
    <w:p w14:paraId="40349FC3" w14:textId="77777777" w:rsidR="00F62B2D" w:rsidRPr="00021D77" w:rsidRDefault="00F62B2D" w:rsidP="00F62B2D">
      <w:pPr>
        <w:pStyle w:val="FootnoteText"/>
        <w:jc w:val="both"/>
        <w:rPr>
          <w:rFonts w:cs="Times New Roman"/>
        </w:rPr>
      </w:pPr>
      <w:r w:rsidRPr="00982255">
        <w:rPr>
          <w:rStyle w:val="FootnoteReference"/>
          <w:rFonts w:cs="Times New Roman"/>
        </w:rPr>
        <w:footnoteRef/>
      </w:r>
      <w:r w:rsidRPr="00982255">
        <w:rPr>
          <w:rFonts w:cs="Times New Roman"/>
        </w:rPr>
        <w:t xml:space="preserve"> </w:t>
      </w:r>
      <w:r w:rsidRPr="00982255">
        <w:rPr>
          <w:rFonts w:cs="Times New Roman"/>
          <w:i/>
          <w:iCs/>
        </w:rPr>
        <w:t xml:space="preserve">See </w:t>
      </w:r>
      <w:r w:rsidRPr="00982255">
        <w:rPr>
          <w:rFonts w:cs="Times New Roman"/>
        </w:rPr>
        <w:t>Rubris Crosslink or Brown Greer’s MDL Centr</w:t>
      </w:r>
      <w:r>
        <w:rPr>
          <w:rFonts w:cs="Times New Roman"/>
        </w:rPr>
        <w:t>a</w:t>
      </w:r>
      <w:r w:rsidRPr="00982255">
        <w:rPr>
          <w:rFonts w:cs="Times New Roman"/>
        </w:rPr>
        <w:t xml:space="preserve">lity as popular platforms. </w:t>
      </w:r>
      <w:r w:rsidRPr="00982255">
        <w:rPr>
          <w:rFonts w:cs="Times New Roman"/>
          <w:i/>
          <w:iCs/>
        </w:rPr>
        <w:t>See also</w:t>
      </w:r>
      <w:r w:rsidRPr="00982255">
        <w:rPr>
          <w:rFonts w:cs="Times New Roman"/>
        </w:rPr>
        <w:t xml:space="preserve"> Best</w:t>
      </w:r>
      <w:r w:rsidRPr="00021D77">
        <w:rPr>
          <w:rFonts w:cs="Times New Roman"/>
        </w:rPr>
        <w:t xml:space="preserve"> Practice Permanent No. MDL-§ 14(b), which addresses a central-exchange platform containing, among other things, the parties’ fact sheets.</w:t>
      </w:r>
    </w:p>
  </w:footnote>
  <w:footnote w:id="125">
    <w:p w14:paraId="3DE1C665" w14:textId="77777777" w:rsidR="00F62B2D" w:rsidRDefault="00F62B2D" w:rsidP="00F62B2D">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8, p.1 (Nov. 11, 2023) (Parties agreed to an “abbreviated Plaintiff Profile Form and an abbreviated Defendant Profile Form.”  Extensive fact sheets were used for bellwether cases.)</w:t>
      </w:r>
    </w:p>
  </w:footnote>
  <w:footnote w:id="126">
    <w:p w14:paraId="1984E045" w14:textId="14043975" w:rsidR="00F62B2D" w:rsidRPr="00757079" w:rsidRDefault="00F62B2D" w:rsidP="00F62B2D">
      <w:pPr>
        <w:pStyle w:val="FootnoteText"/>
        <w:jc w:val="both"/>
        <w:rPr>
          <w:rFonts w:cs="Times New Roman"/>
        </w:rPr>
      </w:pPr>
      <w:r>
        <w:rPr>
          <w:rStyle w:val="FootnoteReference"/>
        </w:rPr>
        <w:footnoteRef/>
      </w:r>
      <w:r>
        <w:t xml:space="preserve"> </w:t>
      </w:r>
      <w:r w:rsidRPr="00E66D04">
        <w:rPr>
          <w:rFonts w:cs="Times New Roman"/>
          <w:i/>
          <w:iCs/>
        </w:rPr>
        <w:t>See</w:t>
      </w:r>
      <w:r>
        <w:rPr>
          <w:rFonts w:cs="Times New Roman"/>
        </w:rPr>
        <w:t xml:space="preserve">, </w:t>
      </w:r>
      <w:r w:rsidR="001B7640">
        <w:rPr>
          <w:rFonts w:cs="Times New Roman"/>
        </w:rPr>
        <w:t>FED. R. CIV. P.</w:t>
      </w:r>
      <w:r>
        <w:rPr>
          <w:rFonts w:cs="Times New Roman"/>
        </w:rPr>
        <w:t xml:space="preserve"> 16.1(b)(3)(B), Committee Note (December 1, 2025) (“Alternatively, in some cases, transferee judges have ordered that such exchanges of information (fact sheets) be made under Rule 33 or 34.”)</w:t>
      </w:r>
    </w:p>
  </w:footnote>
  <w:footnote w:id="127">
    <w:p w14:paraId="199C66CC" w14:textId="77777777" w:rsidR="00F62B2D" w:rsidRDefault="00F62B2D" w:rsidP="00F62B2D">
      <w:pPr>
        <w:pStyle w:val="NoSpacing"/>
        <w:jc w:val="both"/>
      </w:pPr>
      <w:r w:rsidRPr="000053D0">
        <w:rPr>
          <w:rStyle w:val="FootnoteReference"/>
          <w:sz w:val="20"/>
          <w:szCs w:val="20"/>
        </w:rPr>
        <w:footnoteRef/>
      </w:r>
      <w:r>
        <w:t xml:space="preserve"> </w:t>
      </w:r>
      <w:r w:rsidRPr="00386CED">
        <w:rPr>
          <w:rFonts w:cs="Times New Roman"/>
          <w:sz w:val="20"/>
          <w:szCs w:val="20"/>
        </w:rPr>
        <w:t>The Committee Note to Rule 16.1(b)(3)(B) describes “</w:t>
      </w:r>
      <w:r>
        <w:rPr>
          <w:rFonts w:cs="Times New Roman"/>
          <w:sz w:val="20"/>
          <w:szCs w:val="20"/>
        </w:rPr>
        <w:t>’</w:t>
      </w:r>
      <w:r w:rsidRPr="00386CED">
        <w:rPr>
          <w:rFonts w:cs="Times New Roman"/>
          <w:sz w:val="20"/>
          <w:szCs w:val="20"/>
        </w:rPr>
        <w:t xml:space="preserve">fact sheets’ or a ‘census’ as methods to take a survey of the claims and defenses presented, largely as a management method for planning and organizing proceedings.” But plaintiff and defendant fact sheets play a far greater role and provide not only information useful for case management, including the identities of parties and their particular claims, but also information on the viability of the claim or defense asserted.  </w:t>
      </w:r>
    </w:p>
  </w:footnote>
  <w:footnote w:id="128">
    <w:p w14:paraId="20206EA3" w14:textId="77777777" w:rsidR="00F62B2D" w:rsidRPr="001C67F1" w:rsidRDefault="00F62B2D" w:rsidP="00F62B2D">
      <w:pPr>
        <w:pStyle w:val="FootnoteText"/>
        <w:jc w:val="both"/>
        <w:rPr>
          <w:rFonts w:cs="Times New Roman"/>
        </w:rPr>
      </w:pPr>
      <w:r>
        <w:rPr>
          <w:rStyle w:val="FootnoteReference"/>
        </w:rPr>
        <w:footnoteRef/>
      </w:r>
      <w:r>
        <w:t xml:space="preserve"> </w:t>
      </w:r>
      <w:r w:rsidRPr="001C67F1">
        <w:rPr>
          <w:rFonts w:cs="Times New Roman"/>
        </w:rPr>
        <w:t>The court should be aware that defendants will settle claims</w:t>
      </w:r>
      <w:r>
        <w:rPr>
          <w:rFonts w:cs="Times New Roman"/>
        </w:rPr>
        <w:t xml:space="preserve"> that may not have evidentiary support as a strategic tactic to reduce the average-settlement amount, which creates a more favorable comparative metric when negotiating separate inventory settlements.   </w:t>
      </w:r>
    </w:p>
  </w:footnote>
  <w:footnote w:id="129">
    <w:p w14:paraId="1741247B" w14:textId="5074E66A" w:rsidR="00F62B2D" w:rsidRPr="00062EBC"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Pr>
          <w:rFonts w:cs="Times New Roman"/>
        </w:rPr>
        <w:t xml:space="preserve"> 11, Committee Note (1983).</w:t>
      </w:r>
    </w:p>
  </w:footnote>
  <w:footnote w:id="130">
    <w:p w14:paraId="39213E2D" w14:textId="074E0FF8" w:rsidR="00F62B2D" w:rsidRPr="00CA229A" w:rsidRDefault="00F62B2D" w:rsidP="00F62B2D">
      <w:pPr>
        <w:pStyle w:val="FootnoteText"/>
        <w:jc w:val="both"/>
        <w:rPr>
          <w:rFonts w:cs="Times New Roman"/>
        </w:rPr>
      </w:pPr>
      <w:r w:rsidRPr="00CA229A">
        <w:rPr>
          <w:rStyle w:val="FootnoteReference"/>
          <w:rFonts w:cs="Times New Roman"/>
        </w:rPr>
        <w:footnoteRef/>
      </w:r>
      <w:r w:rsidRPr="00CA229A">
        <w:rPr>
          <w:rFonts w:cs="Times New Roman"/>
        </w:rPr>
        <w:t xml:space="preserve"> </w:t>
      </w:r>
      <w:r w:rsidRPr="00944539">
        <w:rPr>
          <w:rFonts w:cs="Times New Roman"/>
          <w:i/>
          <w:iCs/>
        </w:rPr>
        <w:t>See</w:t>
      </w:r>
      <w:r>
        <w:rPr>
          <w:rFonts w:cs="Times New Roman"/>
        </w:rPr>
        <w:t xml:space="preserve"> </w:t>
      </w:r>
      <w:r w:rsidR="001B7640">
        <w:rPr>
          <w:rFonts w:cs="Times New Roman"/>
        </w:rPr>
        <w:t>FED. R. CIV. P.</w:t>
      </w:r>
      <w:r>
        <w:rPr>
          <w:rFonts w:cs="Times New Roman"/>
        </w:rPr>
        <w:t xml:space="preserve"> 8(a)(2); </w:t>
      </w:r>
      <w:r w:rsidRPr="00944539">
        <w:rPr>
          <w:rFonts w:cs="Times New Roman"/>
          <w:i/>
          <w:iCs/>
        </w:rPr>
        <w:t>see also</w:t>
      </w:r>
      <w:r>
        <w:rPr>
          <w:rFonts w:cs="Times New Roman"/>
        </w:rPr>
        <w:t xml:space="preserve"> </w:t>
      </w:r>
      <w:r w:rsidR="001B7640">
        <w:rPr>
          <w:rFonts w:cs="Times New Roman"/>
        </w:rPr>
        <w:t>FED. R. CIV. P.</w:t>
      </w:r>
      <w:r w:rsidRPr="00CA229A">
        <w:rPr>
          <w:rFonts w:cs="Times New Roman"/>
        </w:rPr>
        <w:t xml:space="preserve"> 1</w:t>
      </w:r>
      <w:r>
        <w:rPr>
          <w:rFonts w:cs="Times New Roman"/>
        </w:rPr>
        <w:t>1,</w:t>
      </w:r>
      <w:r w:rsidRPr="00CA229A">
        <w:rPr>
          <w:rFonts w:cs="Times New Roman"/>
        </w:rPr>
        <w:t xml:space="preserve"> Committee </w:t>
      </w:r>
      <w:r>
        <w:rPr>
          <w:rFonts w:cs="Times New Roman"/>
        </w:rPr>
        <w:t>N</w:t>
      </w:r>
      <w:r w:rsidRPr="00CA229A">
        <w:rPr>
          <w:rFonts w:cs="Times New Roman"/>
        </w:rPr>
        <w:t xml:space="preserve">ote </w:t>
      </w:r>
      <w:r>
        <w:rPr>
          <w:rFonts w:cs="Times New Roman"/>
        </w:rPr>
        <w:t>(</w:t>
      </w:r>
      <w:r w:rsidRPr="00CA229A">
        <w:rPr>
          <w:rFonts w:cs="Times New Roman"/>
        </w:rPr>
        <w:t>1993) (</w:t>
      </w:r>
      <w:r>
        <w:rPr>
          <w:rFonts w:cs="Times New Roman"/>
        </w:rPr>
        <w:t>“That summary judgment is rendered against a party does not necessarily mean, for purposes of this certification, that it had no evidentiary support for its position.  On the other hand, if a party has evidence with respect to a contention that would suffice to defeat a motion for summary judgement based thereon, it would have sufficient ‘evidentiary support’ for purposes of Rule 11.”</w:t>
      </w:r>
    </w:p>
  </w:footnote>
  <w:footnote w:id="131">
    <w:p w14:paraId="4B5B26BA" w14:textId="77777777" w:rsidR="00F62B2D" w:rsidRPr="006A197E" w:rsidRDefault="00F62B2D" w:rsidP="00F62B2D">
      <w:pPr>
        <w:pStyle w:val="FootnoteText"/>
        <w:jc w:val="both"/>
        <w:rPr>
          <w:rFonts w:cs="Times New Roman"/>
        </w:rPr>
      </w:pPr>
      <w:r>
        <w:rPr>
          <w:rStyle w:val="FootnoteReference"/>
        </w:rPr>
        <w:footnoteRef/>
      </w:r>
      <w:r>
        <w:t xml:space="preserve"> </w:t>
      </w:r>
      <w:r>
        <w:rPr>
          <w:rFonts w:cs="Times New Roman"/>
          <w:i/>
          <w:iCs/>
        </w:rPr>
        <w:t>S</w:t>
      </w:r>
      <w:r w:rsidRPr="008225BB">
        <w:rPr>
          <w:rFonts w:cs="Times New Roman"/>
          <w:i/>
          <w:iCs/>
        </w:rPr>
        <w:t>ee In Re: Paraquat Prod. Liab. Litig</w:t>
      </w:r>
      <w:r w:rsidRPr="008225BB">
        <w:rPr>
          <w:rFonts w:cs="Times New Roman"/>
        </w:rPr>
        <w:t xml:space="preserve">., MDL No. 3004, Case </w:t>
      </w:r>
      <w:r>
        <w:rPr>
          <w:rFonts w:cs="Times New Roman"/>
        </w:rPr>
        <w:t>M</w:t>
      </w:r>
      <w:r w:rsidRPr="008225BB">
        <w:rPr>
          <w:rFonts w:cs="Times New Roman"/>
        </w:rPr>
        <w:t>anagement Order No. 18 (May 15, 2023) (“parties</w:t>
      </w:r>
      <w:r>
        <w:rPr>
          <w:rFonts w:cs="Times New Roman"/>
        </w:rPr>
        <w:t xml:space="preserve"> ordered to meet and confer within the next two weeks regarding any pending cases that present theories of proof that </w:t>
      </w:r>
      <w:r w:rsidRPr="006A197E">
        <w:rPr>
          <w:rFonts w:cs="Times New Roman"/>
        </w:rPr>
        <w:t>are so implausible on their face that good faith demands their voluntary dismissal”).</w:t>
      </w:r>
    </w:p>
  </w:footnote>
  <w:footnote w:id="132">
    <w:p w14:paraId="02E99A5F" w14:textId="77777777" w:rsidR="00F62B2D" w:rsidRDefault="00F62B2D" w:rsidP="00F62B2D">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8, p. 1 (Nov. 22, 2023) (abbreviated profile form to be submitted within 30 days of filing the short-form complaint).</w:t>
      </w:r>
    </w:p>
  </w:footnote>
  <w:footnote w:id="133">
    <w:p w14:paraId="56D3D819" w14:textId="77777777" w:rsidR="00F62B2D" w:rsidRDefault="00F62B2D" w:rsidP="00F62B2D">
      <w:pPr>
        <w:pStyle w:val="FootnoteText"/>
        <w:jc w:val="both"/>
      </w:pPr>
      <w:r>
        <w:rPr>
          <w:rStyle w:val="FootnoteReference"/>
        </w:rPr>
        <w:footnoteRef/>
      </w:r>
      <w:r>
        <w:t xml:space="preserve"> </w:t>
      </w:r>
      <w:r>
        <w:rPr>
          <w:rFonts w:cs="Times New Roman"/>
        </w:rPr>
        <w:t>S</w:t>
      </w:r>
      <w:r w:rsidRPr="0060162F">
        <w:rPr>
          <w:rFonts w:cs="Times New Roman"/>
          <w:i/>
          <w:iCs/>
        </w:rPr>
        <w:t>ee</w:t>
      </w:r>
      <w:r>
        <w:rPr>
          <w:rFonts w:cs="Times New Roman"/>
          <w:i/>
          <w:iCs/>
        </w:rPr>
        <w:t xml:space="preserve"> </w:t>
      </w:r>
      <w:r w:rsidRPr="0060162F">
        <w:rPr>
          <w:rFonts w:cs="Times New Roman"/>
          <w:i/>
          <w:iCs/>
        </w:rPr>
        <w:t xml:space="preserve">In Re: Bard Implanted </w:t>
      </w:r>
      <w:r>
        <w:rPr>
          <w:rFonts w:cs="Times New Roman"/>
          <w:i/>
          <w:iCs/>
        </w:rPr>
        <w:t>P</w:t>
      </w:r>
      <w:r w:rsidRPr="0060162F">
        <w:rPr>
          <w:rFonts w:cs="Times New Roman"/>
          <w:i/>
          <w:iCs/>
        </w:rPr>
        <w:t>ort Catheter Prod. Liab. Litig</w:t>
      </w:r>
      <w:r>
        <w:rPr>
          <w:rFonts w:cs="Times New Roman"/>
        </w:rPr>
        <w:t>., MDL No. 3081, Case Management Order No. 8, pp. 4-5 (Nov. 22, 2023) (describing the notice of deficiency process, which also includes an expedited process for incomplete profile forms).</w:t>
      </w:r>
    </w:p>
  </w:footnote>
  <w:footnote w:id="134">
    <w:p w14:paraId="181609A8" w14:textId="77777777" w:rsidR="00F62B2D" w:rsidRPr="00744482" w:rsidRDefault="00F62B2D" w:rsidP="00F62B2D">
      <w:pPr>
        <w:pStyle w:val="NoSpacing"/>
        <w:jc w:val="both"/>
        <w:rPr>
          <w:u w:val="single"/>
        </w:rPr>
      </w:pPr>
      <w:r>
        <w:rPr>
          <w:rStyle w:val="FootnoteReference"/>
        </w:rPr>
        <w:footnoteRef/>
      </w:r>
      <w:r>
        <w:t xml:space="preserve"> </w:t>
      </w:r>
      <w:r w:rsidRPr="00744482">
        <w:rPr>
          <w:rFonts w:cs="Times New Roman"/>
          <w:sz w:val="20"/>
          <w:szCs w:val="20"/>
        </w:rPr>
        <w:t xml:space="preserve">Similarly, a defendant </w:t>
      </w:r>
      <w:r>
        <w:rPr>
          <w:rFonts w:cs="Times New Roman"/>
          <w:sz w:val="20"/>
          <w:szCs w:val="20"/>
        </w:rPr>
        <w:t xml:space="preserve">may </w:t>
      </w:r>
      <w:r w:rsidRPr="00744482">
        <w:rPr>
          <w:rFonts w:cs="Times New Roman"/>
          <w:sz w:val="20"/>
          <w:szCs w:val="20"/>
        </w:rPr>
        <w:t xml:space="preserve">require an equal amount of time to vet the same number of cases and may not have gathered </w:t>
      </w:r>
      <w:r w:rsidRPr="006F7574">
        <w:rPr>
          <w:rFonts w:cs="Times New Roman"/>
          <w:sz w:val="20"/>
          <w:szCs w:val="20"/>
        </w:rPr>
        <w:t xml:space="preserve">evidentiary support to deny factual contentions.  </w:t>
      </w:r>
      <w:r w:rsidRPr="006F7574">
        <w:rPr>
          <w:sz w:val="20"/>
          <w:szCs w:val="20"/>
        </w:rPr>
        <w:t xml:space="preserve">The court should also be alert to situations when a law firm has overextended itself and requests longer or additional time to provide information.  </w:t>
      </w:r>
      <w:r w:rsidRPr="006F7574">
        <w:rPr>
          <w:i/>
          <w:iCs/>
          <w:sz w:val="20"/>
          <w:szCs w:val="20"/>
        </w:rPr>
        <w:t>See, In Re: Roundup Prod. Liab. Litig</w:t>
      </w:r>
      <w:r w:rsidRPr="006F7574">
        <w:rPr>
          <w:sz w:val="20"/>
          <w:szCs w:val="20"/>
        </w:rPr>
        <w:t>., Case No. 16-md-02741-VC, MDL No. 2741, Doc. 18478 (June 4, 2024) (“The Court agreed that there was ‘something to be said for Monsanto’s argument that Pla</w:t>
      </w:r>
      <w:r>
        <w:rPr>
          <w:sz w:val="20"/>
          <w:szCs w:val="20"/>
        </w:rPr>
        <w:t>i</w:t>
      </w:r>
      <w:r w:rsidRPr="006F7574">
        <w:rPr>
          <w:sz w:val="20"/>
          <w:szCs w:val="20"/>
        </w:rPr>
        <w:t>ntiffs’ counsel simply should not have taken on more cases than they were able to competently handle at once, given the largely predictable demands of this litigation.”</w:t>
      </w:r>
      <w:r w:rsidRPr="00744482">
        <w:rPr>
          <w:rFonts w:cs="Times New Roman"/>
          <w:szCs w:val="24"/>
          <w:u w:val="single"/>
        </w:rPr>
        <w:t xml:space="preserve"> </w:t>
      </w:r>
    </w:p>
  </w:footnote>
  <w:footnote w:id="135">
    <w:p w14:paraId="207D42F5" w14:textId="6B0AD4CB" w:rsidR="00F62B2D" w:rsidRPr="006D3989" w:rsidRDefault="00F62B2D" w:rsidP="00F62B2D">
      <w:pPr>
        <w:pStyle w:val="FootnoteText"/>
        <w:jc w:val="both"/>
        <w:rPr>
          <w:rFonts w:cs="Times New Roman"/>
        </w:rPr>
      </w:pPr>
      <w:r w:rsidRPr="00744482">
        <w:rPr>
          <w:rStyle w:val="FootnoteReference"/>
        </w:rPr>
        <w:footnoteRef/>
      </w:r>
      <w:r w:rsidRPr="00744482">
        <w:t xml:space="preserve"> </w:t>
      </w:r>
      <w:r w:rsidR="001B7640">
        <w:rPr>
          <w:rFonts w:cs="Times New Roman"/>
        </w:rPr>
        <w:t>FED. R. CIV. P.</w:t>
      </w:r>
      <w:r w:rsidRPr="00744482">
        <w:rPr>
          <w:rFonts w:cs="Times New Roman"/>
        </w:rPr>
        <w:t xml:space="preserve"> 11</w:t>
      </w:r>
      <w:r>
        <w:rPr>
          <w:rFonts w:cs="Times New Roman"/>
        </w:rPr>
        <w:t xml:space="preserve">, </w:t>
      </w:r>
      <w:r w:rsidRPr="00744482">
        <w:rPr>
          <w:rFonts w:cs="Times New Roman"/>
        </w:rPr>
        <w:t xml:space="preserve">Committee Notes </w:t>
      </w:r>
      <w:r>
        <w:rPr>
          <w:rFonts w:cs="Times New Roman"/>
        </w:rPr>
        <w:t>(</w:t>
      </w:r>
      <w:r w:rsidRPr="00744482">
        <w:rPr>
          <w:rFonts w:cs="Times New Roman"/>
        </w:rPr>
        <w:t>1983 and 1993);</w:t>
      </w:r>
      <w:r>
        <w:rPr>
          <w:rFonts w:cs="Times New Roman"/>
        </w:rPr>
        <w:t xml:space="preserve"> </w:t>
      </w:r>
      <w:r w:rsidRPr="006D3989">
        <w:rPr>
          <w:rFonts w:cs="Times New Roman"/>
          <w:i/>
          <w:iCs/>
        </w:rPr>
        <w:t>see also</w:t>
      </w:r>
      <w:r>
        <w:rPr>
          <w:rFonts w:cs="Times New Roman"/>
        </w:rPr>
        <w:t xml:space="preserve"> Comments on proposed </w:t>
      </w:r>
      <w:r w:rsidR="001B7640">
        <w:rPr>
          <w:rFonts w:cs="Times New Roman"/>
        </w:rPr>
        <w:t>FED. R. CIV. P.</w:t>
      </w:r>
      <w:r>
        <w:rPr>
          <w:rFonts w:cs="Times New Roman"/>
        </w:rPr>
        <w:t xml:space="preserve"> 16.1 submitted to Advisory Committee on Civil Rules by American Association of Justice (Feb. 15, 2024), which describe possible reasons justifying further investigation and discovery to gather evidentiary support of factual contentions.</w:t>
      </w:r>
    </w:p>
  </w:footnote>
  <w:footnote w:id="136">
    <w:p w14:paraId="007E6B14" w14:textId="77777777" w:rsidR="00F62B2D" w:rsidRPr="006F267A" w:rsidRDefault="00F62B2D" w:rsidP="00F62B2D">
      <w:pPr>
        <w:pStyle w:val="FootnoteText"/>
        <w:jc w:val="both"/>
        <w:rPr>
          <w:rFonts w:cs="Times New Roman"/>
        </w:rPr>
      </w:pPr>
      <w:r>
        <w:rPr>
          <w:rStyle w:val="FootnoteReference"/>
        </w:rPr>
        <w:footnoteRef/>
      </w:r>
      <w:r>
        <w:t xml:space="preserve"> </w:t>
      </w:r>
      <w:r>
        <w:rPr>
          <w:rFonts w:cs="Times New Roman"/>
        </w:rPr>
        <w:t xml:space="preserve">As part of the Rubris Crosslink or MDL Centrality intake process, for example, a litigant could be asked to check either a box that there is evidentiary support for the factual contentions or a box that there is no evidentiary support, but that the factual contentions will likely have evidentiary support after reasonable opportunity for further investigation or discovery.  The court should set an appropriate time for such inquiry after consulting the parties, </w:t>
      </w:r>
      <w:r w:rsidRPr="00DF31B7">
        <w:rPr>
          <w:rFonts w:cs="Times New Roman"/>
          <w:i/>
          <w:iCs/>
        </w:rPr>
        <w:t>e.g.,</w:t>
      </w:r>
      <w:r>
        <w:rPr>
          <w:rFonts w:cs="Times New Roman"/>
        </w:rPr>
        <w:t xml:space="preserve"> 6, 12, or 18 months, and be alerted of actions that fail to have evidentiary support after the designated time expires.   </w:t>
      </w:r>
    </w:p>
  </w:footnote>
  <w:footnote w:id="137">
    <w:p w14:paraId="0CDE88FA" w14:textId="77777777" w:rsidR="00F62B2D" w:rsidRPr="008652CA" w:rsidRDefault="00F62B2D" w:rsidP="00F62B2D">
      <w:pPr>
        <w:pStyle w:val="FootnoteText"/>
        <w:jc w:val="both"/>
        <w:rPr>
          <w:rFonts w:cs="Times New Roman"/>
        </w:rPr>
      </w:pPr>
      <w:r>
        <w:rPr>
          <w:rStyle w:val="FootnoteReference"/>
        </w:rPr>
        <w:footnoteRef/>
      </w:r>
      <w:r>
        <w:t xml:space="preserve"> </w:t>
      </w:r>
      <w:r w:rsidRPr="008652CA">
        <w:rPr>
          <w:rFonts w:cs="Times New Roman"/>
          <w:i/>
          <w:iCs/>
        </w:rPr>
        <w:t>See In Re</w:t>
      </w:r>
      <w:r>
        <w:rPr>
          <w:rFonts w:cs="Times New Roman"/>
          <w:i/>
          <w:iCs/>
        </w:rPr>
        <w:t>:</w:t>
      </w:r>
      <w:r w:rsidRPr="008652CA">
        <w:rPr>
          <w:rFonts w:cs="Times New Roman"/>
          <w:i/>
          <w:iCs/>
        </w:rPr>
        <w:t xml:space="preserve"> Stryker LFIT V40 Femoral Head Prod. Liab. Litig.,</w:t>
      </w:r>
      <w:r>
        <w:rPr>
          <w:rFonts w:cs="Times New Roman"/>
        </w:rPr>
        <w:t xml:space="preserve"> MDL No. 2768, Case Management Order No. 8 (December 3, 2020) (Court ordered Plaintiff’s Executive Committee to review all open cases after ordering all plaintiffs to first review their cases to ensure that they met their ongoing reasonable inquiry obligation.).</w:t>
      </w:r>
    </w:p>
  </w:footnote>
  <w:footnote w:id="138">
    <w:p w14:paraId="5039A6D4" w14:textId="77777777" w:rsidR="00F62B2D" w:rsidRPr="00365679" w:rsidRDefault="00F62B2D" w:rsidP="00F62B2D">
      <w:pPr>
        <w:pStyle w:val="FootnoteText"/>
        <w:jc w:val="both"/>
        <w:rPr>
          <w:rFonts w:cs="Times New Roman"/>
        </w:rPr>
      </w:pPr>
      <w:r>
        <w:rPr>
          <w:rStyle w:val="FootnoteReference"/>
        </w:rPr>
        <w:footnoteRef/>
      </w:r>
      <w:r>
        <w:t xml:space="preserve"> </w:t>
      </w:r>
      <w:r>
        <w:rPr>
          <w:rFonts w:cs="Times New Roman"/>
        </w:rPr>
        <w:t xml:space="preserve">Although defendants generally disfavor Rule 11 sanction motions because they would poison settlement negotiations, would require individual notice and a 21-day window to amend or withdraw a complaint, and would likely be futile, filing multiple sanction motions simultaneously against a single outlier law-firm offender might not impede settlement negotiations and may be successful because it would affect only serious offenders and would not affect law firms who conscientiously comply with Rule 11.  </w:t>
      </w:r>
    </w:p>
  </w:footnote>
  <w:footnote w:id="139">
    <w:p w14:paraId="4EC1E759" w14:textId="77777777" w:rsidR="00F62B2D" w:rsidRPr="006A197E" w:rsidRDefault="00F62B2D" w:rsidP="00F62B2D">
      <w:pPr>
        <w:pStyle w:val="FootnoteText"/>
        <w:jc w:val="both"/>
        <w:rPr>
          <w:rFonts w:cs="Times New Roman"/>
        </w:rPr>
      </w:pPr>
      <w:r w:rsidRPr="006A197E">
        <w:rPr>
          <w:rStyle w:val="FootnoteReference"/>
          <w:rFonts w:cs="Times New Roman"/>
        </w:rPr>
        <w:footnoteRef/>
      </w:r>
      <w:r w:rsidRPr="006A197E">
        <w:rPr>
          <w:rFonts w:cs="Times New Roman"/>
        </w:rPr>
        <w:t xml:space="preserve"> Fed. R. Civ. P 11 (b) and (c)</w:t>
      </w:r>
      <w:r>
        <w:rPr>
          <w:rFonts w:cs="Times New Roman"/>
        </w:rPr>
        <w:t>,</w:t>
      </w:r>
      <w:r w:rsidRPr="006A197E">
        <w:rPr>
          <w:rFonts w:cs="Times New Roman"/>
        </w:rPr>
        <w:t xml:space="preserve"> Committee Note </w:t>
      </w:r>
      <w:r>
        <w:rPr>
          <w:rFonts w:cs="Times New Roman"/>
        </w:rPr>
        <w:t>(</w:t>
      </w:r>
      <w:r w:rsidRPr="006A197E">
        <w:rPr>
          <w:rFonts w:cs="Times New Roman"/>
        </w:rPr>
        <w:t>1993)</w:t>
      </w:r>
      <w:r>
        <w:rPr>
          <w:rFonts w:cs="Times New Roman"/>
        </w:rPr>
        <w:t>.</w:t>
      </w:r>
    </w:p>
  </w:footnote>
  <w:footnote w:id="140">
    <w:p w14:paraId="7FD518B2" w14:textId="1D658280" w:rsidR="00F62B2D" w:rsidRPr="00E438EE"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Pr>
          <w:rFonts w:cs="Times New Roman"/>
        </w:rPr>
        <w:t xml:space="preserve"> 11(b) and (c), Committee Note (1993)</w:t>
      </w:r>
      <w:r w:rsidRPr="00DD4823">
        <w:rPr>
          <w:rFonts w:cs="Times New Roman"/>
        </w:rPr>
        <w:t xml:space="preserve"> </w:t>
      </w:r>
      <w:r>
        <w:rPr>
          <w:rFonts w:cs="Times New Roman"/>
        </w:rPr>
        <w:t xml:space="preserve">(“While sometimes helpful, formal amendment of the pleadings to withdraw an allegation or denial is not required by subdivision (b).”)  </w:t>
      </w:r>
    </w:p>
  </w:footnote>
  <w:footnote w:id="141">
    <w:p w14:paraId="2D215CED" w14:textId="3469FC89" w:rsidR="00F62B2D" w:rsidRPr="00AA51BD" w:rsidRDefault="00F62B2D" w:rsidP="00F62B2D">
      <w:pPr>
        <w:pStyle w:val="FootnoteText"/>
        <w:jc w:val="both"/>
        <w:rPr>
          <w:rFonts w:cs="Times New Roman"/>
        </w:rPr>
      </w:pPr>
      <w:r w:rsidRPr="00AA51BD">
        <w:rPr>
          <w:rStyle w:val="FootnoteReference"/>
          <w:rFonts w:cs="Times New Roman"/>
        </w:rPr>
        <w:footnoteRef/>
      </w:r>
      <w:r w:rsidRPr="00AA51BD">
        <w:rPr>
          <w:rFonts w:cs="Times New Roman"/>
        </w:rPr>
        <w:t xml:space="preserve"> </w:t>
      </w:r>
      <w:r w:rsidR="001B7640">
        <w:rPr>
          <w:rFonts w:cs="Times New Roman"/>
        </w:rPr>
        <w:t>FED. R. CIV. P.</w:t>
      </w:r>
      <w:r w:rsidRPr="00AA51BD">
        <w:rPr>
          <w:rFonts w:cs="Times New Roman"/>
        </w:rPr>
        <w:t xml:space="preserve"> 11</w:t>
      </w:r>
      <w:r>
        <w:rPr>
          <w:rFonts w:cs="Times New Roman"/>
        </w:rPr>
        <w:t>,</w:t>
      </w:r>
      <w:r w:rsidRPr="00AA51BD">
        <w:rPr>
          <w:rFonts w:cs="Times New Roman"/>
        </w:rPr>
        <w:t xml:space="preserve"> Committee Note </w:t>
      </w:r>
      <w:r>
        <w:rPr>
          <w:rFonts w:cs="Times New Roman"/>
        </w:rPr>
        <w:t>(</w:t>
      </w:r>
      <w:r w:rsidRPr="00AA51BD">
        <w:rPr>
          <w:rFonts w:cs="Times New Roman"/>
        </w:rPr>
        <w:t>1993) (“</w:t>
      </w:r>
      <w:r>
        <w:rPr>
          <w:rFonts w:cs="Times New Roman"/>
        </w:rPr>
        <w:t>Denials of factual contentions involve somewhat different considerations.  Often, of course, a denial is premised upon the existence of evidence contradicting the alleged fact.  At other times a denial is permissible because, after an appropriate investigation, a party has no information concerning the matter or, indeed, has a reasonable basis for doubting the credibility of the only evidence relevant to the matter.  A party should not deny an allegation it knows to be true; but it is not required, simply because it lacks contradictory evidence, to admit an allegation that it believes is not true.”)</w:t>
      </w:r>
    </w:p>
  </w:footnote>
  <w:footnote w:id="142">
    <w:p w14:paraId="73F6B81A" w14:textId="55F2DF93" w:rsidR="00F62B2D" w:rsidRPr="00F228B0"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Pr>
          <w:rFonts w:cs="Times New Roman"/>
        </w:rPr>
        <w:t xml:space="preserve"> 11, Committee Note (1983).</w:t>
      </w:r>
    </w:p>
  </w:footnote>
  <w:footnote w:id="143">
    <w:p w14:paraId="5B01ACA3" w14:textId="77777777" w:rsidR="00F62B2D" w:rsidRPr="0024521F" w:rsidRDefault="00F62B2D" w:rsidP="00F62B2D">
      <w:pPr>
        <w:pStyle w:val="FootnoteText"/>
        <w:jc w:val="both"/>
        <w:rPr>
          <w:rFonts w:cs="Times New Roman"/>
        </w:rPr>
      </w:pPr>
      <w:r>
        <w:rPr>
          <w:rStyle w:val="FootnoteReference"/>
        </w:rPr>
        <w:footnoteRef/>
      </w:r>
      <w:r>
        <w:t xml:space="preserve"> </w:t>
      </w:r>
      <w:r>
        <w:rPr>
          <w:rFonts w:cs="Times New Roman"/>
        </w:rPr>
        <w:t>Identifying a specific law firm as an “aggregator” may require time, because actions in a mass-tort MDL may be spread out over a significant length of time.  Moreover, not every action filed by an aggregator will have no evidentiary basis. But a court that vigilantly monitors actions flagged by the central-exchange platform for failing to submit the minimum evidence agreed to by the parties can recognize them after multiple actions have been flagged.</w:t>
      </w:r>
    </w:p>
  </w:footnote>
  <w:footnote w:id="144">
    <w:p w14:paraId="6A48D855" w14:textId="50B54219" w:rsidR="00F62B2D" w:rsidRPr="00503391" w:rsidRDefault="00F62B2D" w:rsidP="00F62B2D">
      <w:pPr>
        <w:pStyle w:val="FootnoteText"/>
        <w:jc w:val="both"/>
        <w:rPr>
          <w:rFonts w:cs="Times New Roman"/>
        </w:rPr>
      </w:pPr>
      <w:r w:rsidRPr="00503391">
        <w:rPr>
          <w:rStyle w:val="FootnoteReference"/>
          <w:rFonts w:cs="Times New Roman"/>
        </w:rPr>
        <w:footnoteRef/>
      </w:r>
      <w:r w:rsidRPr="00503391">
        <w:rPr>
          <w:rFonts w:cs="Times New Roman"/>
        </w:rPr>
        <w:t xml:space="preserve"> </w:t>
      </w:r>
      <w:r w:rsidR="001B7640">
        <w:rPr>
          <w:rFonts w:cs="Times New Roman"/>
        </w:rPr>
        <w:t>FED. R. CIV. P.</w:t>
      </w:r>
      <w:r w:rsidRPr="00503391">
        <w:rPr>
          <w:rFonts w:cs="Times New Roman"/>
        </w:rPr>
        <w:t xml:space="preserve"> 16.1</w:t>
      </w:r>
      <w:r>
        <w:rPr>
          <w:rFonts w:cs="Times New Roman"/>
        </w:rPr>
        <w:t>,</w:t>
      </w:r>
      <w:r w:rsidRPr="00503391">
        <w:rPr>
          <w:rFonts w:cs="Times New Roman"/>
        </w:rPr>
        <w:t xml:space="preserve"> Committee Note to Rule 16.1(b)(3)(B)</w:t>
      </w:r>
      <w:r>
        <w:rPr>
          <w:rFonts w:cs="Times New Roman"/>
        </w:rPr>
        <w:t xml:space="preserve"> (December 1, 2025.) </w:t>
      </w:r>
    </w:p>
  </w:footnote>
  <w:footnote w:id="145">
    <w:p w14:paraId="07A01D08" w14:textId="77777777" w:rsidR="00F62B2D" w:rsidRDefault="00F62B2D" w:rsidP="00F62B2D">
      <w:pPr>
        <w:pStyle w:val="FootnoteText"/>
        <w:jc w:val="both"/>
      </w:pPr>
      <w:r>
        <w:rPr>
          <w:rStyle w:val="FootnoteReference"/>
        </w:rPr>
        <w:footnoteRef/>
      </w:r>
      <w:r>
        <w:t xml:space="preserve"> </w:t>
      </w:r>
      <w:r w:rsidRPr="00842B85">
        <w:rPr>
          <w:rFonts w:cs="Times New Roman"/>
          <w:i/>
          <w:iCs/>
        </w:rPr>
        <w:t>But</w:t>
      </w:r>
      <w:r>
        <w:t xml:space="preserve"> </w:t>
      </w:r>
      <w:r>
        <w:rPr>
          <w:rFonts w:cs="Times New Roman"/>
        </w:rPr>
        <w:t>s</w:t>
      </w:r>
      <w:r w:rsidRPr="0060162F">
        <w:rPr>
          <w:rFonts w:cs="Times New Roman"/>
          <w:i/>
          <w:iCs/>
        </w:rPr>
        <w:t>ee</w:t>
      </w:r>
      <w:r>
        <w:rPr>
          <w:rFonts w:cs="Times New Roman"/>
          <w:i/>
          <w:iCs/>
        </w:rPr>
        <w:t xml:space="preserve"> </w:t>
      </w:r>
      <w:r w:rsidRPr="0060162F">
        <w:rPr>
          <w:rFonts w:cs="Times New Roman"/>
          <w:i/>
          <w:iCs/>
        </w:rPr>
        <w:t xml:space="preserve">In Re: Bard Implanted </w:t>
      </w:r>
      <w:r>
        <w:rPr>
          <w:rFonts w:cs="Times New Roman"/>
          <w:i/>
          <w:iCs/>
        </w:rPr>
        <w:t>P</w:t>
      </w:r>
      <w:r w:rsidRPr="0060162F">
        <w:rPr>
          <w:rFonts w:cs="Times New Roman"/>
          <w:i/>
          <w:iCs/>
        </w:rPr>
        <w:t>ort Catheter Prod. Liab. Litig</w:t>
      </w:r>
      <w:r>
        <w:rPr>
          <w:rFonts w:cs="Times New Roman"/>
        </w:rPr>
        <w:t>., MDL No. 3081, Case Management Order No. 8, pp. 4-5 (Nov. 22, 2023) (adopting a leaner, more expedited review process that requires fewer defendant actions).</w:t>
      </w:r>
    </w:p>
  </w:footnote>
  <w:footnote w:id="146">
    <w:p w14:paraId="248681D1" w14:textId="566D46E9" w:rsidR="00F62B2D" w:rsidRDefault="00F62B2D" w:rsidP="00F62B2D">
      <w:pPr>
        <w:pStyle w:val="FootnoteText"/>
        <w:jc w:val="both"/>
      </w:pPr>
      <w:r>
        <w:t xml:space="preserve"> </w:t>
      </w:r>
      <w:r>
        <w:rPr>
          <w:rStyle w:val="FootnoteReference"/>
        </w:rPr>
        <w:footnoteRef/>
      </w:r>
      <w:r>
        <w:t xml:space="preserve"> </w:t>
      </w:r>
      <w:r>
        <w:rPr>
          <w:rFonts w:cs="Times New Roman"/>
        </w:rPr>
        <w:t xml:space="preserve">A court can dismiss an action for failure to prosecute because there is no evidentiary support under </w:t>
      </w:r>
      <w:r w:rsidR="001B7640">
        <w:rPr>
          <w:rFonts w:cs="Times New Roman"/>
        </w:rPr>
        <w:t>FED. R. CIV. P.</w:t>
      </w:r>
      <w:r>
        <w:rPr>
          <w:rFonts w:cs="Times New Roman"/>
        </w:rPr>
        <w:t xml:space="preserve"> 41.  But its deterrent effect can be limited because of the substantial time and effort expended.</w:t>
      </w:r>
      <w:r w:rsidRPr="008D2493">
        <w:rPr>
          <w:rFonts w:cs="Times New Roman"/>
          <w:i/>
          <w:iCs/>
        </w:rPr>
        <w:t xml:space="preserve"> </w:t>
      </w:r>
      <w:r w:rsidRPr="00027B06">
        <w:rPr>
          <w:rFonts w:cs="Times New Roman"/>
          <w:i/>
          <w:iCs/>
        </w:rPr>
        <w:t>See</w:t>
      </w:r>
      <w:r>
        <w:rPr>
          <w:rFonts w:cs="Times New Roman"/>
        </w:rPr>
        <w:t xml:space="preserve">, for example, </w:t>
      </w:r>
      <w:r w:rsidRPr="00027B06">
        <w:rPr>
          <w:rFonts w:cs="Times New Roman"/>
          <w:i/>
          <w:iCs/>
        </w:rPr>
        <w:t>In Re: Acetaminophen – ASD-ADHD Prod. Liab. Litig</w:t>
      </w:r>
      <w:r>
        <w:rPr>
          <w:rFonts w:cs="Times New Roman"/>
        </w:rPr>
        <w:t xml:space="preserve">., MDL No-3043, Order: Plaintiff Fact Sheets, Doc. 56 (March 23, 2023) (Defendants can file a Notice of Deficiency, providing 14 days to respond to cure any deficiencies, providing an additional 14 days after the expiration of the first 14 days to cure any remaining deficiencies and then requesting the court to issue a show cause order why the case should not be dismissed.  The defendant and court must devote substantial time and effort to address individual actions, which cannot be done on scale, and thus the procedure does not provide adequate deterrence against a law firm who files many cases without evidentiary support.); </w:t>
      </w:r>
      <w:r w:rsidRPr="00BD4BFF">
        <w:rPr>
          <w:rFonts w:cs="Times New Roman"/>
          <w:i/>
          <w:iCs/>
        </w:rPr>
        <w:t xml:space="preserve">see also In Re: Bard </w:t>
      </w:r>
      <w:r>
        <w:rPr>
          <w:rFonts w:cs="Times New Roman"/>
          <w:i/>
          <w:iCs/>
        </w:rPr>
        <w:t>IVC Filters</w:t>
      </w:r>
      <w:r w:rsidRPr="00BD4BFF">
        <w:rPr>
          <w:rFonts w:cs="Times New Roman"/>
          <w:i/>
          <w:iCs/>
        </w:rPr>
        <w:t xml:space="preserve"> Prod. Liab. Litig.,</w:t>
      </w:r>
      <w:r>
        <w:rPr>
          <w:rFonts w:cs="Times New Roman"/>
        </w:rPr>
        <w:t xml:space="preserve"> MDL No. 2641 (Case Management Order No. 5 Profile Forms December 17, 2015) (Plaintiff required to submit completed profile form (abbreviated fact sheet) within 60 days of filing; defendant can send a deficiency letter within 14 days of receipt of the profile form; plaintiffs have 20 days to cure the deficiency.) and </w:t>
      </w:r>
      <w:r>
        <w:rPr>
          <w:rFonts w:cs="Times New Roman"/>
          <w:i/>
          <w:iCs/>
        </w:rPr>
        <w:t>s</w:t>
      </w:r>
      <w:r w:rsidRPr="0060162F">
        <w:rPr>
          <w:rFonts w:cs="Times New Roman"/>
          <w:i/>
          <w:iCs/>
        </w:rPr>
        <w:t xml:space="preserve">ee </w:t>
      </w:r>
      <w:r>
        <w:rPr>
          <w:rFonts w:cs="Times New Roman"/>
          <w:i/>
          <w:iCs/>
        </w:rPr>
        <w:t xml:space="preserve">also </w:t>
      </w:r>
      <w:r w:rsidRPr="0060162F">
        <w:rPr>
          <w:rFonts w:cs="Times New Roman"/>
          <w:i/>
          <w:iCs/>
        </w:rPr>
        <w:t xml:space="preserve">In Re: Bard Implanted </w:t>
      </w:r>
      <w:r>
        <w:rPr>
          <w:rFonts w:cs="Times New Roman"/>
          <w:i/>
          <w:iCs/>
        </w:rPr>
        <w:t>P</w:t>
      </w:r>
      <w:r w:rsidRPr="0060162F">
        <w:rPr>
          <w:rFonts w:cs="Times New Roman"/>
          <w:i/>
          <w:iCs/>
        </w:rPr>
        <w:t>ort Catheter Prod. Liab. Litig</w:t>
      </w:r>
      <w:r>
        <w:rPr>
          <w:rFonts w:cs="Times New Roman"/>
        </w:rPr>
        <w:t>., MDL No. 3081, Case Management Order No. 8 (Plaintiffs required to submit completed profile form (abbreviated fact sheet) within 30 days of filing; MDL Centrality alerts parties of incomplete submission; plaintiffs have 20 days to cure the deficiency, otherwise show-cause hearing for dismissal).</w:t>
      </w:r>
    </w:p>
  </w:footnote>
  <w:footnote w:id="147">
    <w:p w14:paraId="572EF475" w14:textId="77777777" w:rsidR="00F62B2D" w:rsidRPr="00F442CF" w:rsidRDefault="00F62B2D" w:rsidP="00F62B2D">
      <w:pPr>
        <w:pStyle w:val="FootnoteText"/>
        <w:jc w:val="both"/>
        <w:rPr>
          <w:rFonts w:cs="Times New Roman"/>
        </w:rPr>
      </w:pPr>
      <w:r>
        <w:rPr>
          <w:rStyle w:val="FootnoteReference"/>
        </w:rPr>
        <w:footnoteRef/>
      </w:r>
      <w:r>
        <w:t xml:space="preserve"> </w:t>
      </w:r>
      <w:r w:rsidRPr="00F442CF">
        <w:rPr>
          <w:rFonts w:cs="Times New Roman"/>
          <w:i/>
          <w:iCs/>
        </w:rPr>
        <w:t>But see</w:t>
      </w:r>
      <w:r>
        <w:rPr>
          <w:rFonts w:cs="Times New Roman"/>
        </w:rPr>
        <w:t xml:space="preserve"> comment on proposed new Rule 16.1 submitted to Advisory Committee on Civil Rules by Emily Acosta, a plaintiff lawyer from the Wagstaff law firm (Jan. 2, 2024) (asserting that “Rule 11 empowers a court to impose a broad array of sanctions to deter inappropriate behavior and provides a mechanism for the allegedly offending attorney (or law firm) to correct filings that (arguably) violate the Rule on an expedited basis to avoid the imposition of  sanctions. Put another way, there is no problem raised by commenters, like DRI, that cannot be addressed using Rule 11. To the extent that there is a problem with ‘unsupportable claims,’ the solution is not merely to enact more rules, but rather to enforce those that litigants already have.”</w:t>
      </w:r>
      <w:r w:rsidRPr="001C537D">
        <w:rPr>
          <w:rFonts w:cs="Times New Roman"/>
          <w:i/>
          <w:iCs/>
        </w:rPr>
        <w:t xml:space="preserve"> </w:t>
      </w:r>
      <w:r w:rsidRPr="003B6064">
        <w:rPr>
          <w:rFonts w:cs="Times New Roman"/>
          <w:i/>
          <w:iCs/>
        </w:rPr>
        <w:t>See</w:t>
      </w:r>
      <w:r>
        <w:rPr>
          <w:rFonts w:cs="Times New Roman"/>
        </w:rPr>
        <w:t xml:space="preserve"> </w:t>
      </w:r>
      <w:r w:rsidRPr="001C537D">
        <w:rPr>
          <w:rFonts w:cs="Times New Roman"/>
          <w:i/>
          <w:iCs/>
        </w:rPr>
        <w:t>also</w:t>
      </w:r>
      <w:r>
        <w:rPr>
          <w:rFonts w:cs="Times New Roman"/>
        </w:rPr>
        <w:t xml:space="preserve"> Vetting the Wether: One Shepherd’s View, Hon. M. Casey Rodgers, 89 UMKC Law Review No. 4, p. 873 (2021) (“The procedural safeguards used effectively in one-off cases (</w:t>
      </w:r>
      <w:r w:rsidRPr="001E0933">
        <w:rPr>
          <w:rFonts w:cs="Times New Roman"/>
          <w:i/>
          <w:iCs/>
        </w:rPr>
        <w:t>e.g.,</w:t>
      </w:r>
      <w:r>
        <w:rPr>
          <w:rFonts w:cs="Times New Roman"/>
        </w:rPr>
        <w:t xml:space="preserve"> federal pleading standards, discovery obligations, case-specific motions for summary judgment, and Rule 11 sanctions) are difficult to employ at scale in the MDL context, where the volume of individual cases in a single MDL can number in the hundreds, thousands, and even hundreds of thousands.  Left unchecked, high volumes of unsupportable claims can wreak havoc on an MDL.  They clog the docket, interfere with a court’s ability to establish a fair and informative bellwether process, frustrate efforts to assess the strengths and weaknesses of the MDL as a whole, and hamper settlement discussions.”)</w:t>
      </w:r>
    </w:p>
  </w:footnote>
  <w:footnote w:id="148">
    <w:p w14:paraId="3F651BEC" w14:textId="77777777" w:rsidR="00F62B2D" w:rsidRPr="008D2493" w:rsidRDefault="00F62B2D" w:rsidP="00F62B2D">
      <w:pPr>
        <w:pStyle w:val="FootnoteText"/>
        <w:jc w:val="both"/>
        <w:rPr>
          <w:rFonts w:cs="Times New Roman"/>
        </w:rPr>
      </w:pPr>
      <w:r>
        <w:rPr>
          <w:rStyle w:val="FootnoteReference"/>
        </w:rPr>
        <w:footnoteRef/>
      </w:r>
      <w:r>
        <w:t xml:space="preserve"> </w:t>
      </w:r>
      <w:r>
        <w:rPr>
          <w:rFonts w:cs="Times New Roman"/>
        </w:rPr>
        <w:t xml:space="preserve">Leadership counsel are appointed for their skill in reaching agreement with the other side.  Rule 11 motions poison settlement negotiations. Also, Rule 11 sanctions might not be pursued because of suspected futility and judicial antipathy. </w:t>
      </w:r>
    </w:p>
  </w:footnote>
  <w:footnote w:id="149">
    <w:p w14:paraId="24ED0A66" w14:textId="5AE1A91C" w:rsidR="00F62B2D" w:rsidRDefault="00F62B2D" w:rsidP="00F62B2D">
      <w:pPr>
        <w:pStyle w:val="FootnoteText"/>
        <w:jc w:val="both"/>
      </w:pPr>
      <w:r>
        <w:rPr>
          <w:rStyle w:val="FootnoteReference"/>
        </w:rPr>
        <w:footnoteRef/>
      </w:r>
      <w:r>
        <w:t xml:space="preserve"> </w:t>
      </w:r>
      <w:r w:rsidR="001B7640">
        <w:rPr>
          <w:rFonts w:cs="Times New Roman"/>
        </w:rPr>
        <w:t>FED. R. CIV. P.</w:t>
      </w:r>
      <w:r w:rsidRPr="00225CA9">
        <w:rPr>
          <w:rFonts w:cs="Times New Roman"/>
        </w:rPr>
        <w:t xml:space="preserve"> 11(b) and (c)</w:t>
      </w:r>
      <w:r>
        <w:rPr>
          <w:rFonts w:cs="Times New Roman"/>
        </w:rPr>
        <w:t xml:space="preserve">, </w:t>
      </w:r>
      <w:r w:rsidRPr="00225CA9">
        <w:rPr>
          <w:rFonts w:cs="Times New Roman"/>
        </w:rPr>
        <w:t xml:space="preserve">Committee Note </w:t>
      </w:r>
      <w:r>
        <w:rPr>
          <w:rFonts w:cs="Times New Roman"/>
        </w:rPr>
        <w:t>(</w:t>
      </w:r>
      <w:r w:rsidRPr="00225CA9">
        <w:rPr>
          <w:rFonts w:cs="Times New Roman"/>
        </w:rPr>
        <w:t>1993)</w:t>
      </w:r>
      <w:r>
        <w:rPr>
          <w:rFonts w:cs="Times New Roman"/>
        </w:rPr>
        <w:t xml:space="preserve">; </w:t>
      </w:r>
      <w:r w:rsidRPr="0074504C">
        <w:rPr>
          <w:rFonts w:cs="Times New Roman"/>
          <w:i/>
          <w:iCs/>
        </w:rPr>
        <w:t>see also</w:t>
      </w:r>
      <w:r>
        <w:rPr>
          <w:rFonts w:cs="Times New Roman"/>
        </w:rPr>
        <w:t xml:space="preserve"> </w:t>
      </w:r>
      <w:r w:rsidR="001B7640">
        <w:rPr>
          <w:rFonts w:cs="Times New Roman"/>
        </w:rPr>
        <w:t>FED. R. CIV. P.</w:t>
      </w:r>
      <w:r>
        <w:rPr>
          <w:rFonts w:cs="Times New Roman"/>
        </w:rPr>
        <w:t xml:space="preserve"> 11, Committee Note (1983) (“Greater attention by the district courts to pleading and motion abuses and the imposition of sanctions when appropriate, should discourage dilatory or abusive tactics and help to streamline the litigation process by lessening frivolous claims or defenses.”)</w:t>
      </w:r>
    </w:p>
  </w:footnote>
  <w:footnote w:id="150">
    <w:p w14:paraId="34B4A07B" w14:textId="04F086A5" w:rsidR="00F62B2D" w:rsidRPr="00223039"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sidRPr="00225CA9">
        <w:rPr>
          <w:rFonts w:cs="Times New Roman"/>
        </w:rPr>
        <w:t xml:space="preserve"> 11(b) and (c)</w:t>
      </w:r>
      <w:r>
        <w:rPr>
          <w:rFonts w:cs="Times New Roman"/>
        </w:rPr>
        <w:t xml:space="preserve">, </w:t>
      </w:r>
      <w:r w:rsidRPr="00225CA9">
        <w:rPr>
          <w:rFonts w:cs="Times New Roman"/>
        </w:rPr>
        <w:t xml:space="preserve">Committee Note </w:t>
      </w:r>
      <w:r>
        <w:rPr>
          <w:rFonts w:cs="Times New Roman"/>
        </w:rPr>
        <w:t>(</w:t>
      </w:r>
      <w:r w:rsidRPr="00225CA9">
        <w:rPr>
          <w:rFonts w:cs="Times New Roman"/>
        </w:rPr>
        <w:t>1993)</w:t>
      </w:r>
      <w:r>
        <w:rPr>
          <w:rFonts w:cs="Times New Roman"/>
        </w:rPr>
        <w:t xml:space="preserve"> (“Since show cause orders will ordinarily be issued only in situations that are akin to a contempt of court, the rule does not provide a ‘safe harbor’ to a litigant for withdrawing a claim, defense,</w:t>
      </w:r>
      <w:r w:rsidRPr="00CA548F">
        <w:rPr>
          <w:rFonts w:cs="Times New Roman"/>
          <w:i/>
          <w:iCs/>
        </w:rPr>
        <w:t xml:space="preserve"> etc</w:t>
      </w:r>
      <w:r>
        <w:rPr>
          <w:rFonts w:cs="Times New Roman"/>
        </w:rPr>
        <w:t xml:space="preserve">., after a show cause order has been issued on the court’s initiative.”); Several circuits have held that a </w:t>
      </w:r>
      <w:r w:rsidRPr="00B13A21">
        <w:rPr>
          <w:rFonts w:cs="Times New Roman"/>
          <w:i/>
          <w:iCs/>
        </w:rPr>
        <w:t>sua sponte</w:t>
      </w:r>
      <w:r>
        <w:rPr>
          <w:rFonts w:cs="Times New Roman"/>
        </w:rPr>
        <w:t xml:space="preserve"> sanction under Rule 11 is akin to a contempt of court and requires a showing of subjective bad faith. </w:t>
      </w:r>
      <w:r w:rsidRPr="00B13A21">
        <w:rPr>
          <w:rFonts w:cs="Times New Roman"/>
          <w:i/>
          <w:iCs/>
        </w:rPr>
        <w:t>In re Pennie &amp; Edmonds LLP</w:t>
      </w:r>
      <w:r>
        <w:rPr>
          <w:rFonts w:cs="Times New Roman"/>
        </w:rPr>
        <w:t xml:space="preserve">, 323 F.3d86, 90 (2d Cir. 2003); </w:t>
      </w:r>
      <w:r w:rsidRPr="00B13A21">
        <w:rPr>
          <w:rFonts w:cs="Times New Roman"/>
          <w:i/>
          <w:iCs/>
        </w:rPr>
        <w:t>United Nat’l Ins. Co. v. R &amp; D Latex Corp</w:t>
      </w:r>
      <w:r>
        <w:rPr>
          <w:rFonts w:cs="Times New Roman"/>
        </w:rPr>
        <w:t>., 242 F.3d 1102, 1115-1116 (9</w:t>
      </w:r>
      <w:r w:rsidRPr="00B13A21">
        <w:rPr>
          <w:rFonts w:cs="Times New Roman"/>
          <w:vertAlign w:val="superscript"/>
        </w:rPr>
        <w:t>th</w:t>
      </w:r>
      <w:r>
        <w:rPr>
          <w:rFonts w:cs="Times New Roman"/>
        </w:rPr>
        <w:t xml:space="preserve"> Cir. 2001). Other circuits apply the same standard of objective reasonableness that applies to sanctions imposed after a party moves and the 21-day safe harbor has expired. </w:t>
      </w:r>
      <w:r w:rsidRPr="00B13A21">
        <w:rPr>
          <w:rFonts w:cs="Times New Roman"/>
          <w:i/>
          <w:iCs/>
        </w:rPr>
        <w:t xml:space="preserve">Young v. City of </w:t>
      </w:r>
      <w:r>
        <w:rPr>
          <w:rFonts w:cs="Times New Roman"/>
          <w:i/>
          <w:iCs/>
        </w:rPr>
        <w:t>P</w:t>
      </w:r>
      <w:r w:rsidRPr="00B13A21">
        <w:rPr>
          <w:rFonts w:cs="Times New Roman"/>
          <w:i/>
          <w:iCs/>
        </w:rPr>
        <w:t>rovi</w:t>
      </w:r>
      <w:r>
        <w:rPr>
          <w:rFonts w:cs="Times New Roman"/>
          <w:i/>
          <w:iCs/>
        </w:rPr>
        <w:t>d</w:t>
      </w:r>
      <w:r w:rsidRPr="00B13A21">
        <w:rPr>
          <w:rFonts w:cs="Times New Roman"/>
          <w:i/>
          <w:iCs/>
        </w:rPr>
        <w:t>ence</w:t>
      </w:r>
      <w:r>
        <w:rPr>
          <w:rFonts w:cs="Times New Roman"/>
        </w:rPr>
        <w:t>, 404 F.3d 33, 39-40 (1</w:t>
      </w:r>
      <w:r w:rsidRPr="00B13A21">
        <w:rPr>
          <w:rFonts w:cs="Times New Roman"/>
          <w:vertAlign w:val="superscript"/>
        </w:rPr>
        <w:t>st</w:t>
      </w:r>
      <w:r>
        <w:rPr>
          <w:rFonts w:cs="Times New Roman"/>
        </w:rPr>
        <w:t xml:space="preserve"> Cir. 2005); </w:t>
      </w:r>
      <w:r w:rsidRPr="00B13A21">
        <w:rPr>
          <w:rFonts w:cs="Times New Roman"/>
          <w:i/>
          <w:iCs/>
        </w:rPr>
        <w:t>Lucas v. Duncan,</w:t>
      </w:r>
      <w:r>
        <w:rPr>
          <w:rFonts w:cs="Times New Roman"/>
        </w:rPr>
        <w:t xml:space="preserve"> 574 F.3d 772, 775-776 (D.C. Cir. 2009)</w:t>
      </w:r>
      <w:r w:rsidRPr="00225CA9">
        <w:rPr>
          <w:rFonts w:cs="Times New Roman"/>
        </w:rPr>
        <w:t>.</w:t>
      </w:r>
    </w:p>
  </w:footnote>
  <w:footnote w:id="151">
    <w:p w14:paraId="107D55B8" w14:textId="1A64D366" w:rsidR="00F62B2D" w:rsidRDefault="00F62B2D" w:rsidP="00F62B2D">
      <w:pPr>
        <w:pStyle w:val="FootnoteText"/>
        <w:jc w:val="both"/>
      </w:pPr>
      <w:r>
        <w:rPr>
          <w:rStyle w:val="FootnoteReference"/>
        </w:rPr>
        <w:footnoteRef/>
      </w:r>
      <w:r>
        <w:t xml:space="preserve"> </w:t>
      </w:r>
      <w:r w:rsidR="001B7640">
        <w:rPr>
          <w:rFonts w:cs="Times New Roman"/>
        </w:rPr>
        <w:t>FED. R. CIV. P.</w:t>
      </w:r>
      <w:r w:rsidRPr="00C24F45">
        <w:rPr>
          <w:rFonts w:cs="Times New Roman"/>
        </w:rPr>
        <w:t xml:space="preserve"> 11(c)(5)(B);</w:t>
      </w:r>
      <w:r>
        <w:t xml:space="preserve"> </w:t>
      </w:r>
      <w:r w:rsidR="001B7640">
        <w:rPr>
          <w:rFonts w:cs="Times New Roman"/>
        </w:rPr>
        <w:t>FED. R. CIV. P.</w:t>
      </w:r>
      <w:r w:rsidRPr="00225CA9">
        <w:rPr>
          <w:rFonts w:cs="Times New Roman"/>
        </w:rPr>
        <w:t xml:space="preserve"> 11(b) and (c)</w:t>
      </w:r>
      <w:r>
        <w:rPr>
          <w:rFonts w:cs="Times New Roman"/>
        </w:rPr>
        <w:t xml:space="preserve">, </w:t>
      </w:r>
      <w:r w:rsidRPr="00225CA9">
        <w:rPr>
          <w:rFonts w:cs="Times New Roman"/>
        </w:rPr>
        <w:t xml:space="preserve">Committee Note </w:t>
      </w:r>
      <w:r>
        <w:rPr>
          <w:rFonts w:cs="Times New Roman"/>
        </w:rPr>
        <w:t>(</w:t>
      </w:r>
      <w:r w:rsidRPr="00225CA9">
        <w:rPr>
          <w:rFonts w:cs="Times New Roman"/>
        </w:rPr>
        <w:t>1993)</w:t>
      </w:r>
      <w:r>
        <w:rPr>
          <w:rFonts w:cs="Times New Roman"/>
        </w:rPr>
        <w:t xml:space="preserve">; </w:t>
      </w:r>
      <w:r w:rsidRPr="00DA02BC">
        <w:rPr>
          <w:rFonts w:cs="Times New Roman"/>
          <w:i/>
          <w:iCs/>
        </w:rPr>
        <w:t>see</w:t>
      </w:r>
      <w:r>
        <w:rPr>
          <w:rFonts w:cs="Times New Roman"/>
        </w:rPr>
        <w:t xml:space="preserve"> </w:t>
      </w:r>
      <w:r w:rsidR="001B7640">
        <w:rPr>
          <w:rFonts w:cs="Times New Roman"/>
        </w:rPr>
        <w:t>FED. R. CIV. P.</w:t>
      </w:r>
      <w:r w:rsidRPr="00EA5977">
        <w:rPr>
          <w:rFonts w:cs="Times New Roman"/>
        </w:rPr>
        <w:t xml:space="preserve"> 11(b)(3) (</w:t>
      </w:r>
      <w:r>
        <w:rPr>
          <w:rFonts w:cs="Times New Roman"/>
        </w:rPr>
        <w:t xml:space="preserve">A lawyer filing a pleading based on information and belief must specifically identify that the factual contentions “will likely have evidentiary support after a reasonable opportunity for further investigation or discovery.”); </w:t>
      </w:r>
      <w:r w:rsidRPr="00AA3B32">
        <w:rPr>
          <w:rFonts w:cs="Times New Roman"/>
          <w:i/>
          <w:iCs/>
        </w:rPr>
        <w:t>see</w:t>
      </w:r>
      <w:r>
        <w:rPr>
          <w:rFonts w:cs="Times New Roman"/>
        </w:rPr>
        <w:t xml:space="preserve"> </w:t>
      </w:r>
      <w:r w:rsidR="001B7640">
        <w:rPr>
          <w:rFonts w:cs="Times New Roman"/>
        </w:rPr>
        <w:t>FED. R. CIV. P.</w:t>
      </w:r>
      <w:r>
        <w:rPr>
          <w:rFonts w:cs="Times New Roman"/>
        </w:rPr>
        <w:t xml:space="preserve"> 26(g), Committee Note (1983) (The duty to make a ‘reasonable inquiry’ is satisfied if the investigation undertaken by the attorney and the conclusions drawn therefrom are reasonable under the circumstances.... In making the inquiry, the attorney may rely on assertions by the client and on communications with other counsel in the case as long as that reliance is appropriate under the circumstances.”)</w:t>
      </w:r>
    </w:p>
  </w:footnote>
  <w:footnote w:id="152">
    <w:p w14:paraId="334E2ED0" w14:textId="140356F0" w:rsidR="00F62B2D" w:rsidRPr="00225CA9" w:rsidRDefault="00F62B2D" w:rsidP="00F62B2D">
      <w:pPr>
        <w:pStyle w:val="FootnoteText"/>
        <w:jc w:val="both"/>
        <w:rPr>
          <w:rFonts w:cs="Times New Roman"/>
        </w:rPr>
      </w:pPr>
      <w:r w:rsidRPr="00225CA9">
        <w:rPr>
          <w:rStyle w:val="FootnoteReference"/>
          <w:rFonts w:cs="Times New Roman"/>
        </w:rPr>
        <w:footnoteRef/>
      </w:r>
      <w:r w:rsidRPr="00225CA9">
        <w:rPr>
          <w:rFonts w:cs="Times New Roman"/>
        </w:rPr>
        <w:t xml:space="preserve"> </w:t>
      </w:r>
      <w:r w:rsidR="001B7640">
        <w:rPr>
          <w:rFonts w:cs="Times New Roman"/>
        </w:rPr>
        <w:t>FED. R. CIV. P.</w:t>
      </w:r>
      <w:r w:rsidRPr="00225CA9">
        <w:rPr>
          <w:rFonts w:cs="Times New Roman"/>
        </w:rPr>
        <w:t xml:space="preserve"> 11(b) and (c)</w:t>
      </w:r>
      <w:r>
        <w:rPr>
          <w:rFonts w:cs="Times New Roman"/>
        </w:rPr>
        <w:t xml:space="preserve">, </w:t>
      </w:r>
      <w:r w:rsidRPr="00225CA9">
        <w:rPr>
          <w:rFonts w:cs="Times New Roman"/>
        </w:rPr>
        <w:t xml:space="preserve">Committee Note </w:t>
      </w:r>
      <w:r>
        <w:rPr>
          <w:rFonts w:cs="Times New Roman"/>
        </w:rPr>
        <w:t>(</w:t>
      </w:r>
      <w:r w:rsidRPr="00225CA9">
        <w:rPr>
          <w:rFonts w:cs="Times New Roman"/>
        </w:rPr>
        <w:t>1993)</w:t>
      </w:r>
      <w:r>
        <w:rPr>
          <w:rFonts w:cs="Times New Roman"/>
        </w:rPr>
        <w:t xml:space="preserve">; </w:t>
      </w:r>
      <w:r w:rsidRPr="00816574">
        <w:rPr>
          <w:rFonts w:cs="Times New Roman"/>
          <w:i/>
          <w:iCs/>
        </w:rPr>
        <w:t>see</w:t>
      </w:r>
      <w:r>
        <w:rPr>
          <w:rFonts w:cs="Times New Roman"/>
        </w:rPr>
        <w:t xml:space="preserve"> </w:t>
      </w:r>
      <w:r w:rsidR="001B7640">
        <w:rPr>
          <w:rFonts w:cs="Times New Roman"/>
        </w:rPr>
        <w:t>FED. R. CIV. P.</w:t>
      </w:r>
      <w:r>
        <w:rPr>
          <w:rFonts w:cs="Times New Roman"/>
        </w:rPr>
        <w:t xml:space="preserve"> 11(c)(4); see also </w:t>
      </w:r>
      <w:r w:rsidR="001B7640">
        <w:rPr>
          <w:rFonts w:cs="Times New Roman"/>
        </w:rPr>
        <w:t>FED. R. CIV. P.</w:t>
      </w:r>
      <w:r>
        <w:rPr>
          <w:rFonts w:cs="Times New Roman"/>
        </w:rPr>
        <w:t xml:space="preserve"> 11(b) and (c), Committee Note (1993 (“This restriction (involving frivolous contentions of law) does not limit the court’s power to impose sanctions or remedial orders that may have collateral financial consequences upon a party, such as dismissal of a claim, preclusion of a defense, or reparation of amended pleadings.”)</w:t>
      </w:r>
    </w:p>
  </w:footnote>
  <w:footnote w:id="153">
    <w:p w14:paraId="5966B987" w14:textId="0C2F734E" w:rsidR="00F62B2D" w:rsidRPr="008959E8" w:rsidRDefault="00F62B2D" w:rsidP="00F62B2D">
      <w:pPr>
        <w:jc w:val="both"/>
        <w:rPr>
          <w:rFonts w:cs="Times New Roman"/>
        </w:rPr>
      </w:pPr>
      <w:r w:rsidRPr="008959E8">
        <w:rPr>
          <w:rStyle w:val="FootnoteReference"/>
          <w:rFonts w:cs="Times New Roman"/>
        </w:rPr>
        <w:footnoteRef/>
      </w:r>
      <w:r w:rsidRPr="008959E8">
        <w:rPr>
          <w:rFonts w:cs="Times New Roman"/>
        </w:rPr>
        <w:t xml:space="preserve"> </w:t>
      </w:r>
      <w:r w:rsidRPr="00034852">
        <w:rPr>
          <w:rFonts w:cs="Times New Roman"/>
          <w:i/>
          <w:iCs/>
          <w:sz w:val="20"/>
          <w:szCs w:val="20"/>
        </w:rPr>
        <w:t xml:space="preserve">See </w:t>
      </w:r>
      <w:r w:rsidR="001B7640">
        <w:rPr>
          <w:rFonts w:cs="Times New Roman"/>
          <w:sz w:val="20"/>
          <w:szCs w:val="20"/>
        </w:rPr>
        <w:t>FED. R. CIV. P.</w:t>
      </w:r>
      <w:r w:rsidRPr="00034852">
        <w:rPr>
          <w:rFonts w:cs="Times New Roman"/>
          <w:sz w:val="20"/>
          <w:szCs w:val="20"/>
        </w:rPr>
        <w:t xml:space="preserve"> 26(g), Committee Note (1983) (“Sanctions to deter discovery abuse would be more effective if they were diligently applied ‘not merely to penalize those whose conduct may be deemed to warrant such a sanction, but to deter those who might be tempted to such conduct in the absence of such a deterrent’....Thus the premise of Rule 26(g) is that imposing sanctions on attorneys who fail to meet the rule’s standards will significantly reduce abuse by imposing disadvantages therefor.”)</w:t>
      </w:r>
      <w:r>
        <w:rPr>
          <w:rFonts w:cs="Times New Roman"/>
          <w:sz w:val="20"/>
          <w:szCs w:val="20"/>
        </w:rPr>
        <w:t xml:space="preserve">; </w:t>
      </w:r>
      <w:r w:rsidRPr="00034852">
        <w:rPr>
          <w:rFonts w:cs="Times New Roman"/>
          <w:i/>
          <w:iCs/>
          <w:sz w:val="20"/>
          <w:szCs w:val="20"/>
        </w:rPr>
        <w:t>see also</w:t>
      </w:r>
      <w:r w:rsidRPr="00034852">
        <w:rPr>
          <w:rFonts w:cs="Times New Roman"/>
          <w:sz w:val="20"/>
          <w:szCs w:val="20"/>
        </w:rPr>
        <w:t xml:space="preserve"> </w:t>
      </w:r>
      <w:r w:rsidRPr="00034852">
        <w:rPr>
          <w:rFonts w:cs="Times New Roman"/>
          <w:i/>
          <w:iCs/>
          <w:sz w:val="20"/>
          <w:szCs w:val="20"/>
        </w:rPr>
        <w:t>Franatovich v. Allied Trust Ins. Co.,</w:t>
      </w:r>
      <w:r w:rsidRPr="00034852">
        <w:rPr>
          <w:rFonts w:eastAsia="Times New Roman" w:cs="Times New Roman"/>
          <w:i/>
          <w:iCs/>
          <w:sz w:val="20"/>
          <w:szCs w:val="20"/>
        </w:rPr>
        <w:t xml:space="preserve"> Civ. Action No. 22-2552, Eastern District of Louisiana</w:t>
      </w:r>
      <w:r w:rsidRPr="00034852">
        <w:rPr>
          <w:rFonts w:eastAsia="Times New Roman" w:cs="Times New Roman"/>
          <w:sz w:val="20"/>
          <w:szCs w:val="20"/>
        </w:rPr>
        <w:t xml:space="preserve"> (Mar. 16, 2023) (</w:t>
      </w:r>
      <w:r w:rsidRPr="00034852">
        <w:rPr>
          <w:rFonts w:cs="Times New Roman"/>
          <w:color w:val="4A4A4A"/>
          <w:sz w:val="20"/>
          <w:szCs w:val="20"/>
          <w:shd w:val="clear" w:color="auto" w:fill="FFFFFF"/>
        </w:rPr>
        <w:t xml:space="preserve">court imposes Rule 11 sanction summarily on law firm for filing frivolous actions, among other misconduct); </w:t>
      </w:r>
      <w:r w:rsidRPr="00034852">
        <w:rPr>
          <w:rFonts w:cs="Times New Roman"/>
          <w:i/>
          <w:iCs/>
          <w:color w:val="4A4A4A"/>
          <w:sz w:val="20"/>
          <w:szCs w:val="20"/>
          <w:shd w:val="clear" w:color="auto" w:fill="FFFFFF"/>
        </w:rPr>
        <w:t>see</w:t>
      </w:r>
      <w:r w:rsidRPr="00034852">
        <w:rPr>
          <w:rFonts w:cs="Times New Roman"/>
          <w:color w:val="4A4A4A"/>
          <w:sz w:val="20"/>
          <w:szCs w:val="20"/>
          <w:shd w:val="clear" w:color="auto" w:fill="FFFFFF"/>
        </w:rPr>
        <w:t xml:space="preserve"> </w:t>
      </w:r>
      <w:r w:rsidRPr="00034852">
        <w:rPr>
          <w:rFonts w:cs="Times New Roman"/>
          <w:i/>
          <w:iCs/>
          <w:sz w:val="20"/>
          <w:szCs w:val="20"/>
        </w:rPr>
        <w:t>also</w:t>
      </w:r>
      <w:r w:rsidRPr="00034852">
        <w:rPr>
          <w:rFonts w:cs="Times New Roman"/>
          <w:sz w:val="20"/>
          <w:szCs w:val="20"/>
        </w:rPr>
        <w:t xml:space="preserve"> Attachment B to Letter to Hon. Robert E. Keeton, Chairman, from Advisory Committee on Civil Rules (May 1, 1992) ([A]cknowledging that eliminating the mandatory sanction under Rule 11 would tempt some litigants “to conduct less of a pre-filing investigation tha</w:t>
      </w:r>
      <w:r w:rsidRPr="0046525A">
        <w:rPr>
          <w:rFonts w:cs="Times New Roman"/>
          <w:sz w:val="20"/>
          <w:szCs w:val="20"/>
        </w:rPr>
        <w:t>n under the current rule.  The Advisory Committee believes that this risk is justified, on balance, by the benefit from the changes.</w:t>
      </w:r>
      <w:r>
        <w:rPr>
          <w:rFonts w:cs="Times New Roman"/>
          <w:sz w:val="20"/>
          <w:szCs w:val="20"/>
        </w:rPr>
        <w:t>”</w:t>
      </w:r>
      <w:r w:rsidRPr="0046525A">
        <w:rPr>
          <w:rFonts w:cs="Times New Roman"/>
          <w:sz w:val="20"/>
          <w:szCs w:val="20"/>
        </w:rPr>
        <w:t>)</w:t>
      </w:r>
    </w:p>
  </w:footnote>
  <w:footnote w:id="154">
    <w:p w14:paraId="54E85352" w14:textId="77777777" w:rsidR="00F62B2D" w:rsidRDefault="00F62B2D" w:rsidP="00F62B2D">
      <w:pPr>
        <w:pStyle w:val="FootnoteText"/>
        <w:jc w:val="both"/>
      </w:pPr>
      <w:r>
        <w:rPr>
          <w:rStyle w:val="FootnoteReference"/>
        </w:rPr>
        <w:footnoteRef/>
      </w:r>
      <w:r>
        <w:t xml:space="preserve"> </w:t>
      </w:r>
      <w:r w:rsidRPr="006831B5">
        <w:rPr>
          <w:rFonts w:cs="Times New Roman"/>
        </w:rPr>
        <w:t xml:space="preserve">Examples </w:t>
      </w:r>
      <w:r>
        <w:rPr>
          <w:rFonts w:cs="Times New Roman"/>
        </w:rPr>
        <w:t xml:space="preserve">of bad faith in instituting or conducting litigation may include: (i) plaintiff states that they have no information concerning their exposure to the product; (ii) plaintiff has no medical evidence supporting diagnosis of disease; (iii) plaintiff claims to have used product in a form in which it never existed; and (iv) filing claims on behalf of already deceased plaintiffs.   </w:t>
      </w:r>
      <w:r w:rsidRPr="006831B5">
        <w:rPr>
          <w:rFonts w:cs="Times New Roman"/>
          <w:i/>
          <w:iCs/>
        </w:rPr>
        <w:t>See Paraquat Prod. Liab. Litig</w:t>
      </w:r>
      <w:r>
        <w:rPr>
          <w:rFonts w:cs="Times New Roman"/>
        </w:rPr>
        <w:t xml:space="preserve">., MDL No. 3004, Case Management Order No. 18, fn. 4 (May 15, 2023). </w:t>
      </w:r>
    </w:p>
  </w:footnote>
  <w:footnote w:id="155">
    <w:p w14:paraId="6FD1647A" w14:textId="77777777" w:rsidR="00F62B2D" w:rsidRPr="006745C3" w:rsidRDefault="00F62B2D" w:rsidP="00F62B2D">
      <w:pPr>
        <w:pStyle w:val="FootnoteText"/>
        <w:rPr>
          <w:rFonts w:cs="Times New Roman"/>
        </w:rPr>
      </w:pPr>
      <w:r>
        <w:rPr>
          <w:rStyle w:val="FootnoteReference"/>
        </w:rPr>
        <w:footnoteRef/>
      </w:r>
      <w:r>
        <w:t xml:space="preserve"> </w:t>
      </w:r>
      <w:r w:rsidRPr="006745C3">
        <w:rPr>
          <w:rFonts w:cs="Times New Roman"/>
          <w:i/>
          <w:iCs/>
        </w:rPr>
        <w:t>See</w:t>
      </w:r>
      <w:r>
        <w:rPr>
          <w:rFonts w:cs="Times New Roman"/>
        </w:rPr>
        <w:t xml:space="preserve"> Minutes, Civil Rules Committee meeting, page 10 (May 1991) (“Judge Bertlesman (member) reported that he often used warnings (Rule 11 sanctions) to get parties to find necessary proof or withdraw.”)</w:t>
      </w:r>
    </w:p>
  </w:footnote>
  <w:footnote w:id="156">
    <w:p w14:paraId="4F08878B" w14:textId="77777777" w:rsidR="00F62B2D" w:rsidRPr="00326626" w:rsidRDefault="00F62B2D" w:rsidP="00F62B2D">
      <w:pPr>
        <w:pStyle w:val="FootnoteText"/>
        <w:jc w:val="both"/>
        <w:rPr>
          <w:rFonts w:cs="Times New Roman"/>
        </w:rPr>
      </w:pPr>
      <w:r>
        <w:rPr>
          <w:rStyle w:val="FootnoteReference"/>
        </w:rPr>
        <w:footnoteRef/>
      </w:r>
      <w:r>
        <w:t xml:space="preserve"> </w:t>
      </w:r>
      <w:r>
        <w:rPr>
          <w:rFonts w:cs="Times New Roman"/>
        </w:rPr>
        <w:t>28 U.S.C. § 1931 (Section (a) – “Of the amounts paid to the clerk of court as a fee under section 1914(a) ... $190 shall be deposited into a special fund of the Treasury to be available to offset funds appropriated  for the operation and maintenance of the courts of the United States.” Section (b) -- “If the court  authorizes a fee under section 1914(a) ... of less than $250, the entire fee or amount, up to $190, shall be deposited  into the special fund provided in this section.”)</w:t>
      </w:r>
    </w:p>
  </w:footnote>
  <w:footnote w:id="157">
    <w:p w14:paraId="1544B6A4" w14:textId="77777777" w:rsidR="00F62B2D" w:rsidRPr="004C03D0" w:rsidRDefault="00F62B2D" w:rsidP="00F62B2D">
      <w:pPr>
        <w:pStyle w:val="FootnoteText"/>
        <w:jc w:val="both"/>
        <w:rPr>
          <w:rFonts w:cs="Times New Roman"/>
        </w:rPr>
      </w:pPr>
      <w:r>
        <w:rPr>
          <w:rStyle w:val="FootnoteReference"/>
        </w:rPr>
        <w:footnoteRef/>
      </w:r>
      <w:r>
        <w:t xml:space="preserve"> </w:t>
      </w:r>
      <w:r>
        <w:rPr>
          <w:rFonts w:cs="Times New Roman"/>
        </w:rPr>
        <w:t>28 U.S.C. § 1914(a).</w:t>
      </w:r>
    </w:p>
  </w:footnote>
  <w:footnote w:id="158">
    <w:p w14:paraId="081F6E93" w14:textId="77777777" w:rsidR="00F62B2D" w:rsidRDefault="00F62B2D" w:rsidP="00F62B2D">
      <w:pPr>
        <w:pStyle w:val="FootnoteText"/>
        <w:jc w:val="both"/>
      </w:pPr>
      <w:r>
        <w:rPr>
          <w:rStyle w:val="FootnoteReference"/>
        </w:rPr>
        <w:footnoteRef/>
      </w:r>
      <w:r>
        <w:t xml:space="preserve"> </w:t>
      </w:r>
      <w:r>
        <w:rPr>
          <w:rFonts w:cs="Times New Roman"/>
        </w:rPr>
        <w:t>28 U.S.C. § 1914, Judicial Conference Schedule of Fees – District Court Miscellaneous Fee Schedule, # 14.</w:t>
      </w:r>
    </w:p>
  </w:footnote>
  <w:footnote w:id="159">
    <w:p w14:paraId="1E6C552F" w14:textId="7026ED28" w:rsidR="00AF6312" w:rsidRPr="00EF355A" w:rsidRDefault="00AF6312" w:rsidP="00AF6312">
      <w:pPr>
        <w:pStyle w:val="FootnoteText"/>
        <w:jc w:val="both"/>
        <w:rPr>
          <w:rFonts w:cs="Times New Roman"/>
        </w:rPr>
      </w:pPr>
      <w:r w:rsidRPr="00EF355A">
        <w:rPr>
          <w:rStyle w:val="FootnoteReference"/>
          <w:rFonts w:cs="Times New Roman"/>
        </w:rPr>
        <w:footnoteRef/>
      </w:r>
      <w:r w:rsidRPr="00EF355A">
        <w:rPr>
          <w:rFonts w:cs="Times New Roman"/>
        </w:rPr>
        <w:t xml:space="preserve"> </w:t>
      </w:r>
      <w:r w:rsidR="007876EE">
        <w:rPr>
          <w:rFonts w:cs="Times New Roman"/>
        </w:rPr>
        <w:t xml:space="preserve">In the future </w:t>
      </w:r>
      <w:r w:rsidRPr="00EF355A">
        <w:rPr>
          <w:rFonts w:cs="Times New Roman"/>
        </w:rPr>
        <w:t xml:space="preserve">parties </w:t>
      </w:r>
      <w:r w:rsidR="006521CC">
        <w:rPr>
          <w:rFonts w:cs="Times New Roman"/>
        </w:rPr>
        <w:t xml:space="preserve">may elect </w:t>
      </w:r>
      <w:r w:rsidR="00C22F6B">
        <w:rPr>
          <w:rFonts w:cs="Times New Roman"/>
        </w:rPr>
        <w:t xml:space="preserve">to </w:t>
      </w:r>
      <w:r w:rsidRPr="00EF355A">
        <w:rPr>
          <w:rFonts w:cs="Times New Roman"/>
        </w:rPr>
        <w:t xml:space="preserve">search </w:t>
      </w:r>
      <w:r w:rsidR="00C22F6B">
        <w:rPr>
          <w:rFonts w:cs="Times New Roman"/>
        </w:rPr>
        <w:t>their data</w:t>
      </w:r>
      <w:r w:rsidR="00AE05A0">
        <w:rPr>
          <w:rFonts w:cs="Times New Roman"/>
        </w:rPr>
        <w:t>, which is growing exponentially</w:t>
      </w:r>
      <w:r w:rsidR="00B874CB">
        <w:rPr>
          <w:rFonts w:cs="Times New Roman"/>
        </w:rPr>
        <w:t>,</w:t>
      </w:r>
      <w:r w:rsidRPr="00EF355A">
        <w:rPr>
          <w:rFonts w:cs="Times New Roman"/>
        </w:rPr>
        <w:t xml:space="preserve"> by artificial-intelligence advanced algorithms</w:t>
      </w:r>
      <w:r w:rsidR="006521CC">
        <w:rPr>
          <w:rFonts w:cs="Times New Roman"/>
        </w:rPr>
        <w:t xml:space="preserve">. </w:t>
      </w:r>
      <w:r w:rsidRPr="00EF355A">
        <w:rPr>
          <w:rFonts w:cs="Times New Roman"/>
          <w:i/>
          <w:iCs/>
        </w:rPr>
        <w:t xml:space="preserve"> See Allergan Biocell Textured Breast Implant Prod. Liab. Litig</w:t>
      </w:r>
      <w:r w:rsidRPr="00EF355A">
        <w:rPr>
          <w:rFonts w:cs="Times New Roman"/>
        </w:rPr>
        <w:t>., Special Master Case Management Order No. 22, p. 3 (D. N.J. Oct. 25, 2022) (“Defendants submit that it has collected and indexed 9.371 terabytes of data” [one terabyte of data equals roughly 80 million pages].)</w:t>
      </w:r>
    </w:p>
  </w:footnote>
  <w:footnote w:id="160">
    <w:p w14:paraId="3D0CBAC0" w14:textId="77777777" w:rsidR="00AF6312" w:rsidRPr="00EF355A" w:rsidRDefault="00AF6312" w:rsidP="00AF6312">
      <w:pPr>
        <w:pStyle w:val="FootnoteText"/>
        <w:jc w:val="both"/>
        <w:rPr>
          <w:rFonts w:cs="Times New Roman"/>
        </w:rPr>
      </w:pPr>
      <w:r w:rsidRPr="00EF355A">
        <w:rPr>
          <w:rStyle w:val="FootnoteReference"/>
          <w:rFonts w:cs="Times New Roman"/>
        </w:rPr>
        <w:footnoteRef/>
      </w:r>
      <w:r w:rsidRPr="00EF355A">
        <w:rPr>
          <w:rFonts w:cs="Times New Roman"/>
        </w:rPr>
        <w:t xml:space="preserve"> The term “recall” is used in its generic sense and is not limited to the TAR context.</w:t>
      </w:r>
    </w:p>
  </w:footnote>
  <w:footnote w:id="161">
    <w:p w14:paraId="2C6526F3" w14:textId="77777777" w:rsidR="00AF6312" w:rsidRPr="00EF355A" w:rsidRDefault="00AF6312" w:rsidP="00AF6312">
      <w:pPr>
        <w:pStyle w:val="FootnoteText"/>
        <w:jc w:val="both"/>
        <w:rPr>
          <w:rFonts w:cs="Times New Roman"/>
        </w:rPr>
      </w:pPr>
      <w:r w:rsidRPr="00EF355A">
        <w:rPr>
          <w:rStyle w:val="FootnoteReference"/>
          <w:rFonts w:cs="Times New Roman"/>
        </w:rPr>
        <w:footnoteRef/>
      </w:r>
      <w:r w:rsidRPr="00EF355A">
        <w:rPr>
          <w:rFonts w:cs="Times New Roman"/>
        </w:rPr>
        <w:t xml:space="preserve"> </w:t>
      </w:r>
      <w:r w:rsidRPr="00EF355A">
        <w:rPr>
          <w:rFonts w:cs="Times New Roman"/>
          <w:i/>
          <w:iCs/>
        </w:rPr>
        <w:t xml:space="preserve">See </w:t>
      </w:r>
      <w:r w:rsidRPr="00EF355A">
        <w:rPr>
          <w:rFonts w:cs="Times New Roman"/>
        </w:rPr>
        <w:t xml:space="preserve">Are We Insane? The Quest for Proportionality in the Discovery Rules of the Federal Rules of Civil Procedure, Hon. Paul Grimm, </w:t>
      </w:r>
      <w:r w:rsidRPr="00EF355A">
        <w:rPr>
          <w:rFonts w:cs="Times New Roman"/>
          <w:color w:val="000000"/>
          <w:shd w:val="clear" w:color="auto" w:fill="FFFFFF"/>
        </w:rPr>
        <w:t>36 </w:t>
      </w:r>
      <w:r w:rsidRPr="00EF355A">
        <w:rPr>
          <w:rStyle w:val="Emphasis"/>
          <w:rFonts w:cs="Times New Roman"/>
          <w:color w:val="000000"/>
          <w:bdr w:val="none" w:sz="0" w:space="0" w:color="auto" w:frame="1"/>
          <w:shd w:val="clear" w:color="auto" w:fill="FFFFFF"/>
        </w:rPr>
        <w:t>Review of Litigation</w:t>
      </w:r>
      <w:r w:rsidRPr="00EF355A">
        <w:rPr>
          <w:rFonts w:cs="Times New Roman"/>
          <w:color w:val="000000"/>
          <w:shd w:val="clear" w:color="auto" w:fill="FFFFFF"/>
        </w:rPr>
        <w:t> 117-192 (2017)</w:t>
      </w:r>
      <w:r w:rsidRPr="00EF355A">
        <w:rPr>
          <w:rFonts w:cs="Times New Roman"/>
        </w:rPr>
        <w:t>. The author recognizes the problems with today’s ediscovery system.  He urges courts to provide more active case-management.   https://scholarship.law.duke.edu/cgi/viewcontent.cgi?article=6920&amp;context=faculty_scholarship</w:t>
      </w:r>
    </w:p>
  </w:footnote>
  <w:footnote w:id="162">
    <w:p w14:paraId="3F9411E4" w14:textId="77777777" w:rsidR="00AF6312" w:rsidRDefault="00AF6312" w:rsidP="00AF6312">
      <w:pPr>
        <w:pStyle w:val="FootnoteText"/>
        <w:jc w:val="both"/>
      </w:pPr>
      <w:r>
        <w:rPr>
          <w:rStyle w:val="FootnoteReference"/>
        </w:rPr>
        <w:footnoteRef/>
      </w:r>
      <w:r>
        <w:t xml:space="preserve"> </w:t>
      </w:r>
      <w:r>
        <w:rPr>
          <w:rFonts w:cs="Times New Roman"/>
        </w:rPr>
        <w:t>Limitless ediscovery is mistakenly justified on Rule 26(b)(1) proportionality grounds and flies in the face of Rule 1’s admonition to apply the rules to “secure the just, speedy, and inexpensive determination of every action and proceeding.”</w:t>
      </w:r>
    </w:p>
  </w:footnote>
  <w:footnote w:id="163">
    <w:p w14:paraId="2E7F3AF6" w14:textId="77777777" w:rsidR="00AF6312" w:rsidRPr="00EF355A" w:rsidRDefault="00AF6312" w:rsidP="00AF6312">
      <w:pPr>
        <w:pStyle w:val="FootnoteText"/>
        <w:jc w:val="both"/>
        <w:rPr>
          <w:rFonts w:cs="Times New Roman"/>
        </w:rPr>
      </w:pPr>
      <w:r w:rsidRPr="00EF355A">
        <w:rPr>
          <w:rStyle w:val="FootnoteReference"/>
          <w:rFonts w:cs="Times New Roman"/>
        </w:rPr>
        <w:footnoteRef/>
      </w:r>
      <w:r w:rsidRPr="00EF355A">
        <w:rPr>
          <w:rFonts w:cs="Times New Roman"/>
        </w:rPr>
        <w:t xml:space="preserve"> Optimum Proportionality eDiscovery Standard, Rabiej Litigation Law Center (2024) at https://rabiejcenter.org/best-practices/ediscovery/.</w:t>
      </w:r>
    </w:p>
  </w:footnote>
  <w:footnote w:id="164">
    <w:p w14:paraId="6205AEC1" w14:textId="77777777" w:rsidR="00AF6312" w:rsidRDefault="00AF6312" w:rsidP="00AF6312">
      <w:pPr>
        <w:pStyle w:val="NoSpacing"/>
        <w:jc w:val="both"/>
      </w:pPr>
      <w:r w:rsidRPr="00EF355A">
        <w:rPr>
          <w:rStyle w:val="FootnoteReference"/>
          <w:rFonts w:cs="Times New Roman"/>
          <w:sz w:val="20"/>
          <w:szCs w:val="20"/>
        </w:rPr>
        <w:footnoteRef/>
      </w:r>
      <w:r w:rsidRPr="00EF355A">
        <w:rPr>
          <w:rFonts w:cs="Times New Roman"/>
          <w:sz w:val="20"/>
          <w:szCs w:val="20"/>
        </w:rPr>
        <w:t xml:space="preserve"> Optimum Proportionality eDiscovery Standard, Guideline 1, Rabiej Litigation Law Center (2024) at https://rabiejcenter.org/best-practices/ediscovery/. Rule 26(b)(1) was amended more than eight years ago to reduce discovery of “matters that are otherwise proper subjects of inquiry,” while fully satisfying the parties’ needs for</w:t>
      </w:r>
      <w:r w:rsidRPr="00A21EFE">
        <w:rPr>
          <w:sz w:val="20"/>
          <w:szCs w:val="20"/>
        </w:rPr>
        <w:t xml:space="preserve"> discovery. And OPES is designed to achieve this goal by better informing the requesting party of the responding party’s decisions classifying information that is important in resolving the issues and confirming that the classifications are acceptable within a reasonable margin of error.</w:t>
      </w:r>
    </w:p>
  </w:footnote>
  <w:footnote w:id="165">
    <w:p w14:paraId="0F0E1595" w14:textId="7732E71F" w:rsidR="00AF6312" w:rsidRPr="00AD7540" w:rsidRDefault="00AF6312" w:rsidP="00AF6312">
      <w:pPr>
        <w:pStyle w:val="FootnoteText"/>
        <w:jc w:val="both"/>
        <w:rPr>
          <w:rFonts w:cs="Times New Roman"/>
        </w:rPr>
      </w:pPr>
      <w:r w:rsidRPr="00DA64A5">
        <w:rPr>
          <w:rStyle w:val="FootnoteReference"/>
          <w:rFonts w:cs="Times New Roman"/>
        </w:rPr>
        <w:footnoteRef/>
      </w:r>
      <w:r w:rsidRPr="00DA64A5">
        <w:rPr>
          <w:rFonts w:cs="Times New Roman"/>
        </w:rPr>
        <w:t xml:space="preserve"> Three </w:t>
      </w:r>
      <w:r w:rsidRPr="00AD7540">
        <w:rPr>
          <w:rFonts w:cs="Times New Roman"/>
        </w:rPr>
        <w:t xml:space="preserve">seminal ediscovery cases focused on the value and importance of the requested ediscovery in resolving the issues as the key factor, including: </w:t>
      </w:r>
      <w:r w:rsidRPr="00AD7540">
        <w:rPr>
          <w:rFonts w:cs="Times New Roman"/>
          <w:i/>
          <w:iCs/>
        </w:rPr>
        <w:t>Zubulake v. UBS Warburg LLC</w:t>
      </w:r>
      <w:r w:rsidRPr="00AD7540">
        <w:rPr>
          <w:rFonts w:cs="Times New Roman"/>
        </w:rPr>
        <w:t xml:space="preserve">, 217 F.R.D. 309 (S.D.N.Y. 2003); </w:t>
      </w:r>
      <w:r w:rsidRPr="00AD7540">
        <w:rPr>
          <w:rFonts w:cs="Times New Roman"/>
          <w:i/>
          <w:iCs/>
        </w:rPr>
        <w:t>Rowe Entertainment, Inc. v. William Morris Agency</w:t>
      </w:r>
      <w:r w:rsidRPr="00AD7540">
        <w:rPr>
          <w:rFonts w:cs="Times New Roman"/>
        </w:rPr>
        <w:t xml:space="preserve">, 205 F.R.D. 421 (S.D.N.Y. 2002); and </w:t>
      </w:r>
      <w:r w:rsidRPr="00AD7540">
        <w:rPr>
          <w:rFonts w:cs="Times New Roman"/>
          <w:i/>
          <w:iCs/>
        </w:rPr>
        <w:t>McPeek v. Ashcroft</w:t>
      </w:r>
      <w:r w:rsidRPr="00AD7540">
        <w:rPr>
          <w:rFonts w:cs="Times New Roman"/>
        </w:rPr>
        <w:t xml:space="preserve">, 202 F.R.D. 31 (D.D.C. 2001), cited in the Preliminary Draft of Proposed Amendments to </w:t>
      </w:r>
      <w:r w:rsidR="001B7640">
        <w:rPr>
          <w:rFonts w:cs="Times New Roman"/>
        </w:rPr>
        <w:t>FED. R. CIV. P.</w:t>
      </w:r>
      <w:r w:rsidRPr="00AD7540">
        <w:rPr>
          <w:rFonts w:cs="Times New Roman"/>
        </w:rPr>
        <w:t xml:space="preserve"> 26(b)(2), Agenda Book Advisory Committee on Civil Rules, p. 25 </w:t>
      </w:r>
      <w:r>
        <w:rPr>
          <w:rFonts w:cs="Times New Roman"/>
        </w:rPr>
        <w:t>(</w:t>
      </w:r>
      <w:r w:rsidRPr="00AD7540">
        <w:rPr>
          <w:rFonts w:cs="Times New Roman"/>
        </w:rPr>
        <w:t>April 14-15</w:t>
      </w:r>
      <w:r>
        <w:rPr>
          <w:rFonts w:cs="Times New Roman"/>
        </w:rPr>
        <w:t>,</w:t>
      </w:r>
      <w:r w:rsidRPr="00AD7540">
        <w:rPr>
          <w:rFonts w:cs="Times New Roman"/>
        </w:rPr>
        <w:t xml:space="preserve"> 2005</w:t>
      </w:r>
      <w:r>
        <w:rPr>
          <w:rFonts w:cs="Times New Roman"/>
        </w:rPr>
        <w:t>)</w:t>
      </w:r>
      <w:r w:rsidRPr="00AD7540">
        <w:rPr>
          <w:rFonts w:cs="Times New Roman"/>
        </w:rPr>
        <w:t xml:space="preserve">.  </w:t>
      </w:r>
    </w:p>
  </w:footnote>
  <w:footnote w:id="166">
    <w:p w14:paraId="54A04C30" w14:textId="603124CB" w:rsidR="003F6C1A" w:rsidRDefault="003F6C1A" w:rsidP="00FC3DEE">
      <w:pPr>
        <w:pStyle w:val="FootnoteText"/>
        <w:jc w:val="both"/>
      </w:pPr>
      <w:r w:rsidRPr="00D63B51">
        <w:rPr>
          <w:rStyle w:val="FootnoteReference"/>
        </w:rPr>
        <w:footnoteRef/>
      </w:r>
      <w:r w:rsidRPr="00D63B51">
        <w:t xml:space="preserve"> </w:t>
      </w:r>
      <w:r w:rsidRPr="00D63B51">
        <w:rPr>
          <w:i/>
          <w:iCs/>
        </w:rPr>
        <w:t>See</w:t>
      </w:r>
      <w:r w:rsidR="00D10172" w:rsidRPr="00D63B51">
        <w:t xml:space="preserve"> Permanent No. </w:t>
      </w:r>
      <w:r w:rsidR="00D10172" w:rsidRPr="00D63B51">
        <w:rPr>
          <w:rFonts w:cs="Times New Roman"/>
        </w:rPr>
        <w:t>MDL-§ 18(b)(i)</w:t>
      </w:r>
      <w:r w:rsidR="00FC3DEE" w:rsidRPr="00D63B51">
        <w:rPr>
          <w:rFonts w:cs="Times New Roman"/>
        </w:rPr>
        <w:t>, which recommends</w:t>
      </w:r>
      <w:r w:rsidRPr="00D63B51">
        <w:rPr>
          <w:rFonts w:eastAsia="Times New Roman" w:cs="Times New Roman"/>
          <w:color w:val="222222"/>
        </w:rPr>
        <w:t xml:space="preserve"> </w:t>
      </w:r>
      <w:r w:rsidR="00FC3DEE" w:rsidRPr="00D63B51">
        <w:rPr>
          <w:rFonts w:eastAsia="Times New Roman" w:cs="Times New Roman"/>
          <w:color w:val="222222"/>
        </w:rPr>
        <w:t xml:space="preserve">that a responding party also disclose nonresponsive documents used in training and validation, </w:t>
      </w:r>
      <w:r w:rsidRPr="00D63B51">
        <w:rPr>
          <w:rFonts w:eastAsia="Times New Roman" w:cs="Times New Roman"/>
          <w:color w:val="222222"/>
        </w:rPr>
        <w:t xml:space="preserve">subject to an </w:t>
      </w:r>
      <w:r w:rsidRPr="00D63B51">
        <w:rPr>
          <w:rFonts w:eastAsia="Times New Roman" w:cs="Times New Roman"/>
          <w:i/>
          <w:iCs/>
          <w:color w:val="222222"/>
        </w:rPr>
        <w:t>in camera</w:t>
      </w:r>
      <w:r w:rsidRPr="00D63B51">
        <w:rPr>
          <w:rFonts w:eastAsia="Times New Roman" w:cs="Times New Roman"/>
          <w:color w:val="222222"/>
        </w:rPr>
        <w:t xml:space="preserve"> inspection by a magistrate judge or special master of documents withh</w:t>
      </w:r>
      <w:r w:rsidR="00FC3DEE" w:rsidRPr="00D63B51">
        <w:rPr>
          <w:rFonts w:eastAsia="Times New Roman" w:cs="Times New Roman"/>
          <w:color w:val="222222"/>
        </w:rPr>
        <w:t>e</w:t>
      </w:r>
      <w:r w:rsidRPr="00D63B51">
        <w:rPr>
          <w:rFonts w:eastAsia="Times New Roman" w:cs="Times New Roman"/>
          <w:color w:val="222222"/>
        </w:rPr>
        <w:t>ld</w:t>
      </w:r>
      <w:r w:rsidR="00FC3DEE" w:rsidRPr="00D63B51">
        <w:rPr>
          <w:rFonts w:eastAsia="Times New Roman" w:cs="Times New Roman"/>
          <w:color w:val="222222"/>
        </w:rPr>
        <w:t xml:space="preserve"> by the responding party</w:t>
      </w:r>
      <w:r w:rsidRPr="00D63B51">
        <w:rPr>
          <w:rFonts w:eastAsia="Times New Roman" w:cs="Times New Roman"/>
          <w:color w:val="222222"/>
        </w:rPr>
        <w:t xml:space="preserve">.  </w:t>
      </w:r>
    </w:p>
  </w:footnote>
  <w:footnote w:id="167">
    <w:p w14:paraId="6E3E68F0" w14:textId="6E862848" w:rsidR="00EC3277" w:rsidRDefault="00AF6312" w:rsidP="00FC3DEE">
      <w:pPr>
        <w:jc w:val="both"/>
        <w:rPr>
          <w:sz w:val="20"/>
          <w:szCs w:val="20"/>
        </w:rPr>
      </w:pPr>
      <w:r>
        <w:rPr>
          <w:rStyle w:val="FootnoteReference"/>
        </w:rPr>
        <w:footnoteRef/>
      </w:r>
      <w:r>
        <w:t xml:space="preserve"> </w:t>
      </w:r>
      <w:r>
        <w:rPr>
          <w:sz w:val="20"/>
          <w:szCs w:val="20"/>
        </w:rPr>
        <w:t>Generative-AI could be applied to a set of nonresponsive documents and asked to find documents that are “consequential,” which were not included in the set of responsive documents.</w:t>
      </w:r>
      <w:r w:rsidR="00C13C66">
        <w:rPr>
          <w:sz w:val="20"/>
          <w:szCs w:val="20"/>
        </w:rPr>
        <w:t xml:space="preserve"> As Paul McVoy, the first-ever Chief </w:t>
      </w:r>
      <w:r w:rsidR="00C65877">
        <w:rPr>
          <w:sz w:val="20"/>
          <w:szCs w:val="20"/>
        </w:rPr>
        <w:t>D</w:t>
      </w:r>
      <w:r w:rsidR="00C13C66">
        <w:rPr>
          <w:sz w:val="20"/>
          <w:szCs w:val="20"/>
        </w:rPr>
        <w:t xml:space="preserve">iscovery Officer </w:t>
      </w:r>
      <w:r w:rsidR="00607C0D">
        <w:rPr>
          <w:sz w:val="20"/>
          <w:szCs w:val="20"/>
        </w:rPr>
        <w:t>at any law firm during his tenure at Milberg LLP and previously Litigation</w:t>
      </w:r>
      <w:r w:rsidR="00C65877">
        <w:rPr>
          <w:sz w:val="20"/>
          <w:szCs w:val="20"/>
        </w:rPr>
        <w:t xml:space="preserve"> </w:t>
      </w:r>
      <w:r w:rsidR="00607C0D">
        <w:rPr>
          <w:sz w:val="20"/>
          <w:szCs w:val="20"/>
        </w:rPr>
        <w:t>Support Manager at Jones Day</w:t>
      </w:r>
      <w:r w:rsidR="00C65877">
        <w:rPr>
          <w:sz w:val="20"/>
          <w:szCs w:val="20"/>
        </w:rPr>
        <w:t>, explained in September 2025:</w:t>
      </w:r>
      <w:r>
        <w:rPr>
          <w:sz w:val="20"/>
          <w:szCs w:val="20"/>
        </w:rPr>
        <w:t xml:space="preserve"> </w:t>
      </w:r>
    </w:p>
    <w:p w14:paraId="79C7778A" w14:textId="77777777" w:rsidR="00EC3277" w:rsidRDefault="00EC3277" w:rsidP="00FC3DEE">
      <w:pPr>
        <w:jc w:val="both"/>
        <w:rPr>
          <w:sz w:val="20"/>
          <w:szCs w:val="20"/>
        </w:rPr>
      </w:pPr>
    </w:p>
    <w:p w14:paraId="2A5EA516" w14:textId="6B4CBBA4" w:rsidR="00AF6312" w:rsidRPr="00433EE2" w:rsidRDefault="00AF6312" w:rsidP="004F5824">
      <w:pPr>
        <w:ind w:left="720" w:right="720"/>
        <w:jc w:val="both"/>
        <w:rPr>
          <w:rFonts w:eastAsia="Times New Roman" w:cs="Times New Roman"/>
          <w:sz w:val="20"/>
          <w:szCs w:val="20"/>
        </w:rPr>
      </w:pPr>
      <w:r>
        <w:rPr>
          <w:rFonts w:eastAsia="Times New Roman" w:cs="Times New Roman"/>
          <w:color w:val="000000"/>
          <w:sz w:val="20"/>
          <w:szCs w:val="20"/>
        </w:rPr>
        <w:t>“</w:t>
      </w:r>
      <w:r w:rsidRPr="00433EE2">
        <w:rPr>
          <w:rFonts w:eastAsia="Times New Roman" w:cs="Times New Roman"/>
          <w:color w:val="000000"/>
          <w:sz w:val="20"/>
          <w:szCs w:val="20"/>
        </w:rPr>
        <w:t>TAR tools kind of require the exact language and exact themes in order to really target what you're going for. Gen</w:t>
      </w:r>
      <w:r>
        <w:rPr>
          <w:rFonts w:eastAsia="Times New Roman" w:cs="Times New Roman"/>
          <w:color w:val="000000"/>
          <w:sz w:val="20"/>
          <w:szCs w:val="20"/>
        </w:rPr>
        <w:t>erative-</w:t>
      </w:r>
      <w:r w:rsidRPr="00433EE2">
        <w:rPr>
          <w:rFonts w:eastAsia="Times New Roman" w:cs="Times New Roman"/>
          <w:color w:val="000000"/>
          <w:sz w:val="20"/>
          <w:szCs w:val="20"/>
        </w:rPr>
        <w:t>AI is not that way. 1200 words of generally how you're going to use the language will pull back a reasonably high percentage of documents, even if those documents are not in English. And that's very telling, because you can say, I'm looking and I'm going to use an antitrust thing because I think that's more widely applicable here.</w:t>
      </w:r>
      <w:r>
        <w:rPr>
          <w:rFonts w:eastAsia="Times New Roman" w:cs="Times New Roman"/>
          <w:color w:val="000000"/>
          <w:sz w:val="20"/>
          <w:szCs w:val="20"/>
        </w:rPr>
        <w:t>”</w:t>
      </w:r>
    </w:p>
    <w:p w14:paraId="0BEFFA10" w14:textId="77777777" w:rsidR="00AF6312" w:rsidRPr="00433EE2" w:rsidRDefault="00AF6312" w:rsidP="004F5824">
      <w:pPr>
        <w:ind w:left="720" w:right="720"/>
        <w:jc w:val="both"/>
        <w:rPr>
          <w:rFonts w:eastAsia="Times New Roman" w:cs="Times New Roman"/>
          <w:sz w:val="20"/>
          <w:szCs w:val="20"/>
        </w:rPr>
      </w:pPr>
    </w:p>
    <w:p w14:paraId="1058ECB7" w14:textId="49E55B6B" w:rsidR="00AF6312" w:rsidRDefault="00AF6312" w:rsidP="004F5824">
      <w:pPr>
        <w:ind w:left="720" w:right="720"/>
        <w:jc w:val="both"/>
        <w:rPr>
          <w:rFonts w:eastAsia="Times New Roman" w:cs="Times New Roman"/>
          <w:color w:val="000000"/>
          <w:sz w:val="20"/>
          <w:szCs w:val="20"/>
        </w:rPr>
      </w:pPr>
      <w:r>
        <w:rPr>
          <w:rFonts w:eastAsia="Times New Roman" w:cs="Times New Roman"/>
          <w:color w:val="000000"/>
          <w:sz w:val="20"/>
          <w:szCs w:val="20"/>
        </w:rPr>
        <w:t>“</w:t>
      </w:r>
      <w:r w:rsidRPr="00433EE2">
        <w:rPr>
          <w:rFonts w:eastAsia="Times New Roman" w:cs="Times New Roman"/>
          <w:color w:val="000000"/>
          <w:sz w:val="20"/>
          <w:szCs w:val="20"/>
        </w:rPr>
        <w:t>But if you can go in and say, I think company X was conspiring with company Y to fix prices in this market. And I'm thinking this because I see these results. That's all you need to say for it to have a very, very, very good understanding, where before you had to give document examples, you'd have to give it results from the market, you'd have to give it empiric information of how the market has risen or lowered. The AI tools understand what you're looking for and why you're looking for it.</w:t>
      </w:r>
      <w:r>
        <w:rPr>
          <w:rFonts w:eastAsia="Times New Roman" w:cs="Times New Roman"/>
          <w:color w:val="000000"/>
          <w:sz w:val="20"/>
          <w:szCs w:val="20"/>
        </w:rPr>
        <w:t xml:space="preserve">” </w:t>
      </w:r>
    </w:p>
    <w:p w14:paraId="6FD5722A" w14:textId="77777777" w:rsidR="00DC6995" w:rsidRDefault="00DC6995" w:rsidP="00AF6312">
      <w:pPr>
        <w:jc w:val="both"/>
        <w:rPr>
          <w:rFonts w:eastAsia="Times New Roman" w:cs="Times New Roman"/>
          <w:color w:val="000000"/>
          <w:sz w:val="20"/>
          <w:szCs w:val="20"/>
        </w:rPr>
      </w:pPr>
    </w:p>
    <w:p w14:paraId="3BE17135" w14:textId="35568724" w:rsidR="00DC6995" w:rsidRDefault="00DC6995" w:rsidP="00AF6312">
      <w:pPr>
        <w:jc w:val="both"/>
      </w:pPr>
      <w:r>
        <w:rPr>
          <w:rFonts w:eastAsia="Times New Roman" w:cs="Times New Roman"/>
          <w:color w:val="000000"/>
          <w:sz w:val="20"/>
          <w:szCs w:val="20"/>
        </w:rPr>
        <w:t>Rabiej Litigation Law Center, Webinar transcript posted on Center’s Past Events webpage</w:t>
      </w:r>
      <w:r w:rsidR="004F5824">
        <w:rPr>
          <w:rFonts w:eastAsia="Times New Roman" w:cs="Times New Roman"/>
          <w:color w:val="000000"/>
          <w:sz w:val="20"/>
          <w:szCs w:val="20"/>
        </w:rPr>
        <w:t xml:space="preserve"> </w:t>
      </w:r>
      <w:r>
        <w:rPr>
          <w:rFonts w:eastAsia="Times New Roman" w:cs="Times New Roman"/>
          <w:color w:val="000000"/>
          <w:sz w:val="20"/>
          <w:szCs w:val="20"/>
        </w:rPr>
        <w:t>at</w:t>
      </w:r>
      <w:r w:rsidR="004F5824">
        <w:rPr>
          <w:rFonts w:eastAsia="Times New Roman" w:cs="Times New Roman"/>
          <w:color w:val="000000"/>
          <w:sz w:val="20"/>
          <w:szCs w:val="20"/>
        </w:rPr>
        <w:t xml:space="preserve"> </w:t>
      </w:r>
      <w:hyperlink r:id="rId13" w:history="1">
        <w:r w:rsidR="004F5824" w:rsidRPr="00251F34">
          <w:rPr>
            <w:rStyle w:val="Hyperlink"/>
            <w:rFonts w:eastAsia="Times New Roman" w:cs="Times New Roman"/>
            <w:sz w:val="20"/>
            <w:szCs w:val="20"/>
          </w:rPr>
          <w:t>https://rabiejcenter.org/past-events/</w:t>
        </w:r>
      </w:hyperlink>
      <w:r w:rsidR="004F5824">
        <w:rPr>
          <w:rFonts w:eastAsia="Times New Roman" w:cs="Times New Roman"/>
          <w:color w:val="000000"/>
          <w:sz w:val="20"/>
          <w:szCs w:val="20"/>
        </w:rPr>
        <w:t xml:space="preserve">. </w:t>
      </w:r>
    </w:p>
  </w:footnote>
  <w:footnote w:id="168">
    <w:p w14:paraId="3E7DE519" w14:textId="40544625" w:rsidR="00AF6312" w:rsidRPr="00B92BB4" w:rsidRDefault="00AF6312" w:rsidP="00AF6312">
      <w:pPr>
        <w:pStyle w:val="FootnoteText"/>
        <w:jc w:val="both"/>
        <w:rPr>
          <w:rFonts w:cs="Times New Roman"/>
        </w:rPr>
      </w:pPr>
      <w:r>
        <w:rPr>
          <w:rStyle w:val="FootnoteReference"/>
        </w:rPr>
        <w:footnoteRef/>
      </w:r>
      <w:r>
        <w:t xml:space="preserve"> </w:t>
      </w:r>
      <w:r w:rsidR="001B7640">
        <w:rPr>
          <w:rFonts w:cs="Times New Roman"/>
        </w:rPr>
        <w:t>FED. R. CIV. P.</w:t>
      </w:r>
      <w:r>
        <w:rPr>
          <w:rFonts w:cs="Times New Roman"/>
        </w:rPr>
        <w:t xml:space="preserve"> 16.1(b)(3)(C), Committee Note (December 1, 2025) (“</w:t>
      </w:r>
      <w:r>
        <w:t xml:space="preserve">A major task for the MDL transferee judge is to supervise discovery in an efficient manner. The principal issues in the MDL proceeding may help guide the discovery plan and avoid inefficiencies and unnecessary duplication.”); </w:t>
      </w:r>
      <w:r w:rsidRPr="00186F66">
        <w:rPr>
          <w:i/>
          <w:iCs/>
        </w:rPr>
        <w:t>see</w:t>
      </w:r>
      <w:r>
        <w:t xml:space="preserve"> </w:t>
      </w:r>
      <w:r w:rsidR="001B7640">
        <w:rPr>
          <w:rFonts w:cs="Times New Roman"/>
          <w:color w:val="333333"/>
          <w:szCs w:val="24"/>
        </w:rPr>
        <w:t>FED. R. CIV. P.</w:t>
      </w:r>
      <w:r w:rsidRPr="00731494">
        <w:rPr>
          <w:rFonts w:cs="Times New Roman"/>
          <w:color w:val="333333"/>
          <w:szCs w:val="24"/>
        </w:rPr>
        <w:t xml:space="preserve">  1, </w:t>
      </w:r>
      <w:r>
        <w:rPr>
          <w:rFonts w:cs="Times New Roman"/>
          <w:color w:val="333333"/>
          <w:szCs w:val="24"/>
        </w:rPr>
        <w:t>[</w:t>
      </w:r>
      <w:r w:rsidRPr="00731494">
        <w:rPr>
          <w:rFonts w:cs="Times New Roman"/>
          <w:color w:val="333333"/>
          <w:szCs w:val="24"/>
        </w:rPr>
        <w:t>a court should</w:t>
      </w:r>
      <w:r>
        <w:rPr>
          <w:rFonts w:cs="Times New Roman"/>
          <w:color w:val="333333"/>
          <w:szCs w:val="24"/>
        </w:rPr>
        <w:t>]</w:t>
      </w:r>
      <w:r w:rsidRPr="00731494">
        <w:rPr>
          <w:rFonts w:cs="Times New Roman"/>
          <w:color w:val="333333"/>
          <w:szCs w:val="24"/>
        </w:rPr>
        <w:t xml:space="preserve"> “construe, administer, and employ the rules to secure the just, speedy, and inexpensive determination of </w:t>
      </w:r>
      <w:r w:rsidRPr="00731494">
        <w:rPr>
          <w:rFonts w:cs="Times New Roman"/>
          <w:i/>
          <w:iCs/>
          <w:color w:val="333333"/>
          <w:szCs w:val="24"/>
        </w:rPr>
        <w:t>every</w:t>
      </w:r>
      <w:r w:rsidRPr="00731494">
        <w:rPr>
          <w:rFonts w:cs="Times New Roman"/>
          <w:color w:val="333333"/>
          <w:szCs w:val="24"/>
        </w:rPr>
        <w:t xml:space="preserve"> action and proceeding,” including mass-tort MDLs. Although incurring tens of millions of dollars of expense in ediscovery might arguably be acceptable under Rule 26 as proportional to the </w:t>
      </w:r>
      <w:r>
        <w:rPr>
          <w:rFonts w:cs="Times New Roman"/>
          <w:color w:val="333333"/>
          <w:szCs w:val="24"/>
        </w:rPr>
        <w:t>“case” but not to the “</w:t>
      </w:r>
      <w:r w:rsidRPr="00731494">
        <w:rPr>
          <w:rFonts w:cs="Times New Roman"/>
          <w:color w:val="333333"/>
          <w:szCs w:val="24"/>
        </w:rPr>
        <w:t>needs of the case</w:t>
      </w:r>
      <w:r>
        <w:rPr>
          <w:rFonts w:cs="Times New Roman"/>
          <w:color w:val="333333"/>
          <w:szCs w:val="24"/>
        </w:rPr>
        <w:t>” as the rule states</w:t>
      </w:r>
      <w:r w:rsidRPr="00731494">
        <w:rPr>
          <w:rFonts w:cs="Times New Roman"/>
          <w:color w:val="333333"/>
          <w:szCs w:val="24"/>
        </w:rPr>
        <w:t xml:space="preserve">, it is not “inexpensive.”  Nor does it facilitate “speedy” determinations. </w:t>
      </w:r>
      <w:r w:rsidRPr="002A6529">
        <w:rPr>
          <w:rFonts w:cs="Times New Roman"/>
          <w:i/>
          <w:iCs/>
          <w:color w:val="333333"/>
          <w:szCs w:val="24"/>
        </w:rPr>
        <w:t>See also</w:t>
      </w:r>
      <w:r>
        <w:rPr>
          <w:rFonts w:cs="Times New Roman"/>
          <w:color w:val="333333"/>
          <w:szCs w:val="24"/>
        </w:rPr>
        <w:t xml:space="preserve"> Research, Rabiej Litigation Law Center for tables showing mass-tort MDLs that are five and more years old at </w:t>
      </w:r>
      <w:hyperlink r:id="rId14" w:history="1">
        <w:r w:rsidRPr="004C607E">
          <w:rPr>
            <w:rStyle w:val="Hyperlink"/>
            <w:rFonts w:cs="Times New Roman"/>
            <w:szCs w:val="24"/>
          </w:rPr>
          <w:t>https://rabiejcenter.org/research/mass-tort-mdl/</w:t>
        </w:r>
      </w:hyperlink>
      <w:r>
        <w:rPr>
          <w:rFonts w:cs="Times New Roman"/>
          <w:color w:val="333333"/>
          <w:szCs w:val="24"/>
        </w:rPr>
        <w:t xml:space="preserve">. </w:t>
      </w:r>
    </w:p>
  </w:footnote>
  <w:footnote w:id="169">
    <w:p w14:paraId="7ECAC7E5" w14:textId="77777777" w:rsidR="00AF6312" w:rsidRPr="00EF355A" w:rsidRDefault="00AF6312" w:rsidP="00AF6312">
      <w:pPr>
        <w:pStyle w:val="FootnoteText"/>
        <w:jc w:val="both"/>
        <w:rPr>
          <w:rFonts w:cs="Times New Roman"/>
        </w:rPr>
      </w:pPr>
      <w:r w:rsidRPr="00B27050">
        <w:rPr>
          <w:rStyle w:val="FootnoteReference"/>
          <w:rFonts w:cs="Times New Roman"/>
        </w:rPr>
        <w:footnoteRef/>
      </w:r>
      <w:r w:rsidRPr="00B27050">
        <w:rPr>
          <w:rFonts w:cs="Times New Roman"/>
        </w:rPr>
        <w:t xml:space="preserve"> In the </w:t>
      </w:r>
      <w:r w:rsidRPr="00B27050">
        <w:rPr>
          <w:rFonts w:cs="Times New Roman"/>
          <w:i/>
          <w:iCs/>
        </w:rPr>
        <w:t>Biomet</w:t>
      </w:r>
      <w:r w:rsidRPr="00B27050">
        <w:rPr>
          <w:rFonts w:cs="Times New Roman"/>
        </w:rPr>
        <w:t xml:space="preserve"> MDL, 2.5 million documents were produced; in the </w:t>
      </w:r>
      <w:r w:rsidRPr="00B27050">
        <w:rPr>
          <w:rFonts w:cs="Times New Roman"/>
          <w:i/>
          <w:iCs/>
        </w:rPr>
        <w:t xml:space="preserve">Allergan Biocell </w:t>
      </w:r>
      <w:r w:rsidRPr="00B27050">
        <w:rPr>
          <w:rFonts w:cs="Times New Roman"/>
        </w:rPr>
        <w:t>MDL, 3 million documents were produced and 9 terabytes or very roughly 750 million documents were collected and processed;</w:t>
      </w:r>
      <w:r w:rsidRPr="00B27050">
        <w:rPr>
          <w:rFonts w:cs="Times New Roman"/>
          <w:i/>
          <w:iCs/>
        </w:rPr>
        <w:t xml:space="preserve"> see also, Allergan Biocell Textured Breast Implant Prod. Liab. Litig</w:t>
      </w:r>
      <w:r w:rsidRPr="00B27050">
        <w:rPr>
          <w:rFonts w:cs="Times New Roman"/>
        </w:rPr>
        <w:t xml:space="preserve">., Special Master Case Management Order No. 22 (D. N.J. Oct. 25, 2022) (citing other cases and information). </w:t>
      </w:r>
    </w:p>
  </w:footnote>
  <w:footnote w:id="170">
    <w:p w14:paraId="446397E6" w14:textId="77777777" w:rsidR="00AF6312" w:rsidRDefault="00AF6312" w:rsidP="00AF6312">
      <w:pPr>
        <w:pStyle w:val="FootnoteText"/>
        <w:jc w:val="both"/>
      </w:pPr>
      <w:r>
        <w:rPr>
          <w:rStyle w:val="FootnoteReference"/>
        </w:rPr>
        <w:footnoteRef/>
      </w:r>
      <w:r>
        <w:t xml:space="preserve"> I</w:t>
      </w:r>
      <w:r w:rsidRPr="00731494">
        <w:rPr>
          <w:rFonts w:cs="Times New Roman"/>
          <w:color w:val="333333"/>
          <w:szCs w:val="24"/>
        </w:rPr>
        <w:t>t is difficult to justify reviewing millions of inconsequential documents as “jus</w:t>
      </w:r>
      <w:r>
        <w:rPr>
          <w:rFonts w:cs="Times New Roman"/>
          <w:color w:val="333333"/>
          <w:szCs w:val="24"/>
        </w:rPr>
        <w:t xml:space="preserve">t.” </w:t>
      </w:r>
      <w:r w:rsidRPr="00AA4FCF">
        <w:rPr>
          <w:rFonts w:cs="Times New Roman"/>
        </w:rPr>
        <w:t xml:space="preserve">The Second Circuit’s admonition in </w:t>
      </w:r>
      <w:r w:rsidRPr="00AA4FCF">
        <w:rPr>
          <w:rFonts w:cs="Times New Roman"/>
          <w:i/>
          <w:iCs/>
        </w:rPr>
        <w:t>In re Repetitive Stress Injuries</w:t>
      </w:r>
      <w:r w:rsidRPr="00AA4FCF">
        <w:rPr>
          <w:rFonts w:cs="Times New Roman"/>
        </w:rPr>
        <w:t>, 11 F.3d 368 (2d Cir. 1993) in another context ring</w:t>
      </w:r>
      <w:r>
        <w:rPr>
          <w:rFonts w:cs="Times New Roman"/>
        </w:rPr>
        <w:t>s</w:t>
      </w:r>
      <w:r w:rsidRPr="00AA4FCF">
        <w:rPr>
          <w:rFonts w:cs="Times New Roman"/>
        </w:rPr>
        <w:t xml:space="preserve"> true in these circumstances: “A party may </w:t>
      </w:r>
      <w:r>
        <w:rPr>
          <w:rFonts w:cs="Times New Roman"/>
        </w:rPr>
        <w:t>n</w:t>
      </w:r>
      <w:r w:rsidRPr="00AA4FCF">
        <w:rPr>
          <w:rFonts w:cs="Times New Roman"/>
        </w:rPr>
        <w:t>ot use aggregation as a method of increasing the costs of its adversaries whether plaintiffs or defendants by forcing them to participate in discovery or other proceedings that are irrelevant to their case.  It may be that such increased costs would make settlement easier to achieve, but that would occur at the cost</w:t>
      </w:r>
      <w:r>
        <w:rPr>
          <w:rFonts w:cs="Times New Roman"/>
        </w:rPr>
        <w:t xml:space="preserve"> of</w:t>
      </w:r>
      <w:r w:rsidRPr="00AA4FCF">
        <w:rPr>
          <w:rFonts w:cs="Times New Roman"/>
        </w:rPr>
        <w:t xml:space="preserve"> fundamental fairness.”</w:t>
      </w:r>
    </w:p>
  </w:footnote>
  <w:footnote w:id="171">
    <w:p w14:paraId="3BC72833" w14:textId="77777777" w:rsidR="00AF6312" w:rsidRDefault="00AF6312" w:rsidP="00AF6312">
      <w:pPr>
        <w:pStyle w:val="FootnoteText"/>
        <w:jc w:val="both"/>
      </w:pPr>
      <w:r>
        <w:rPr>
          <w:rStyle w:val="FootnoteReference"/>
        </w:rPr>
        <w:footnoteRef/>
      </w:r>
      <w:r>
        <w:t xml:space="preserve"> </w:t>
      </w:r>
      <w:r w:rsidRPr="00EF355A">
        <w:rPr>
          <w:rFonts w:cs="Times New Roman"/>
          <w:i/>
          <w:iCs/>
        </w:rPr>
        <w:t>See Allergan Biocell Textured Breast Implant Prod. Liab. Litig</w:t>
      </w:r>
      <w:r w:rsidRPr="00EF355A">
        <w:rPr>
          <w:rFonts w:cs="Times New Roman"/>
        </w:rPr>
        <w:t>., Special Master Case Management Order No. 22, p. 3 (D. N.J. Oct. 25, 2022) (“Defendants submit that it has collected and indexed 9.371 terabytes of data” [one terabyte of data equals roughly 80 million pages].)</w:t>
      </w:r>
      <w:r>
        <w:rPr>
          <w:rFonts w:cs="Times New Roman"/>
        </w:rPr>
        <w:t>; s</w:t>
      </w:r>
      <w:r w:rsidRPr="00EF355A">
        <w:rPr>
          <w:rFonts w:cs="Times New Roman"/>
          <w:i/>
          <w:iCs/>
        </w:rPr>
        <w:t>ee</w:t>
      </w:r>
      <w:r>
        <w:rPr>
          <w:rFonts w:cs="Times New Roman"/>
          <w:i/>
          <w:iCs/>
        </w:rPr>
        <w:t xml:space="preserve"> also,</w:t>
      </w:r>
      <w:r w:rsidRPr="00EF355A">
        <w:rPr>
          <w:rFonts w:cs="Times New Roman"/>
          <w:i/>
          <w:iCs/>
        </w:rPr>
        <w:t xml:space="preserve"> </w:t>
      </w:r>
      <w:r w:rsidRPr="00EF355A">
        <w:rPr>
          <w:rFonts w:cs="Times New Roman"/>
        </w:rPr>
        <w:t xml:space="preserve">Are We Insane? The Quest for Proportionality in the Discovery Rules of the Federal Rules of Civil Procedure, Hon. Paul Grimm, </w:t>
      </w:r>
      <w:r w:rsidRPr="00EF355A">
        <w:rPr>
          <w:rFonts w:cs="Times New Roman"/>
          <w:color w:val="000000"/>
          <w:shd w:val="clear" w:color="auto" w:fill="FFFFFF"/>
        </w:rPr>
        <w:t>36 </w:t>
      </w:r>
      <w:r w:rsidRPr="00EF355A">
        <w:rPr>
          <w:rStyle w:val="Emphasis"/>
          <w:rFonts w:cs="Times New Roman"/>
          <w:color w:val="000000"/>
          <w:bdr w:val="none" w:sz="0" w:space="0" w:color="auto" w:frame="1"/>
          <w:shd w:val="clear" w:color="auto" w:fill="FFFFFF"/>
        </w:rPr>
        <w:t>Review of Litigation</w:t>
      </w:r>
      <w:r w:rsidRPr="00EF355A">
        <w:rPr>
          <w:rFonts w:cs="Times New Roman"/>
          <w:color w:val="000000"/>
          <w:shd w:val="clear" w:color="auto" w:fill="FFFFFF"/>
        </w:rPr>
        <w:t> 117-192 (2017)</w:t>
      </w:r>
      <w:r w:rsidRPr="00EF355A">
        <w:rPr>
          <w:rFonts w:cs="Times New Roman"/>
        </w:rPr>
        <w:t xml:space="preserve">. </w:t>
      </w:r>
    </w:p>
  </w:footnote>
  <w:footnote w:id="172">
    <w:p w14:paraId="625DF79B" w14:textId="77777777" w:rsidR="00AF6312" w:rsidRDefault="00AF6312" w:rsidP="00AF6312">
      <w:pPr>
        <w:pStyle w:val="FootnoteText"/>
        <w:jc w:val="both"/>
      </w:pPr>
      <w:r>
        <w:rPr>
          <w:rStyle w:val="FootnoteReference"/>
        </w:rPr>
        <w:footnoteRef/>
      </w:r>
      <w:r>
        <w:t xml:space="preserve"> Keyword searches produced millions of documents in discovery, as reported in seven mass-tort MDLs.  The cost of the discovery is about $25 - $30 million to produce 2.6 million documents from 5,000 GBs, as estimated using the Center’s cost calculator.  The cost of a TAR search, similarly calculated for the same 5,000 GBs, is an estimated $7 - $12 million. The cost savings are consistent with findings of the RAND Discovery Cost Study, </w:t>
      </w:r>
      <w:r w:rsidRPr="00FF0563">
        <w:rPr>
          <w:i/>
          <w:iCs/>
        </w:rPr>
        <w:t>Where the Money Goes</w:t>
      </w:r>
      <w:r>
        <w:t>, issued 13 years ago. There is some anecdotal evidence, which suggests, however, that the number of parties using advanced technology to search and produce ediscovery is gradually growing.   As AI-search tools mature this trend may accelerate.</w:t>
      </w:r>
    </w:p>
  </w:footnote>
  <w:footnote w:id="173">
    <w:p w14:paraId="49F0CF4C" w14:textId="202CFC5D" w:rsidR="00AF6312" w:rsidRDefault="00AF6312" w:rsidP="00AF6312">
      <w:pPr>
        <w:pStyle w:val="FootnoteText"/>
        <w:jc w:val="both"/>
      </w:pPr>
      <w:r>
        <w:rPr>
          <w:rStyle w:val="FootnoteReference"/>
        </w:rPr>
        <w:footnoteRef/>
      </w:r>
      <w:r>
        <w:t xml:space="preserve"> </w:t>
      </w:r>
      <w:r w:rsidRPr="00CB164E">
        <w:rPr>
          <w:i/>
          <w:iCs/>
        </w:rPr>
        <w:t>See</w:t>
      </w:r>
      <w:r>
        <w:t xml:space="preserve"> </w:t>
      </w:r>
      <w:r w:rsidR="001B7640">
        <w:t>FED. R. CIV. P.</w:t>
      </w:r>
      <w:r>
        <w:t xml:space="preserve"> 26(b)(1), Committee Note (2015) (“</w:t>
      </w:r>
      <w:r>
        <w:rPr>
          <w:rFonts w:ascii="Open Sans" w:hAnsi="Open Sans" w:cs="Open Sans"/>
          <w:color w:val="333333"/>
          <w:shd w:val="clear" w:color="auto" w:fill="FFFFFF"/>
        </w:rPr>
        <w:t>C</w:t>
      </w:r>
      <w:r w:rsidRPr="00CB164E">
        <w:rPr>
          <w:rFonts w:cs="Times New Roman"/>
          <w:color w:val="333333"/>
          <w:shd w:val="clear" w:color="auto" w:fill="FFFFFF"/>
        </w:rPr>
        <w:t>omputer-based methods of searching such information continue to develop, particularly for cases involving large volumes of electronically stored information. Courts and parties should be willing to consider the opportunities for reducing the burden or expense of discovery as reliable means of searching electronically stored information become available.</w:t>
      </w:r>
      <w:r>
        <w:rPr>
          <w:rFonts w:cs="Times New Roman"/>
          <w:color w:val="333333"/>
          <w:shd w:val="clear" w:color="auto" w:fill="FFFFFF"/>
        </w:rPr>
        <w:t xml:space="preserve">”) Keyword searches may be effective as a first-pass screening method, which narrows the corpus of documents to be reviewed by TAR or generative-AI tool.  But if used, the screening process should be transparent and agreed upon.  </w:t>
      </w:r>
    </w:p>
  </w:footnote>
  <w:footnote w:id="174">
    <w:p w14:paraId="364D7638" w14:textId="68E04624" w:rsidR="00AF6312" w:rsidRPr="009B0515" w:rsidRDefault="00AF6312" w:rsidP="00AF6312">
      <w:pPr>
        <w:pStyle w:val="FootnoteText"/>
        <w:jc w:val="both"/>
        <w:rPr>
          <w:rFonts w:cs="Times New Roman"/>
        </w:rPr>
      </w:pPr>
      <w:r>
        <w:rPr>
          <w:rStyle w:val="FootnoteReference"/>
        </w:rPr>
        <w:footnoteRef/>
      </w:r>
      <w:r>
        <w:t xml:space="preserve"> </w:t>
      </w:r>
      <w:r w:rsidRPr="0043515C">
        <w:rPr>
          <w:rFonts w:cs="Times New Roman"/>
          <w:i/>
          <w:iCs/>
        </w:rPr>
        <w:t>See</w:t>
      </w:r>
      <w:r>
        <w:rPr>
          <w:rFonts w:cs="Times New Roman"/>
        </w:rPr>
        <w:t xml:space="preserve"> </w:t>
      </w:r>
      <w:r w:rsidR="001B7640">
        <w:rPr>
          <w:rFonts w:cs="Times New Roman"/>
        </w:rPr>
        <w:t>FED. R. CIV. P.</w:t>
      </w:r>
      <w:r>
        <w:rPr>
          <w:rFonts w:cs="Times New Roman"/>
        </w:rPr>
        <w:t xml:space="preserve"> 1, Committee Note (2007) (“The purpose of the revision ... is to recognize the affirmative duty of the court to exercise the authority conferred by these rules to ensure that civil litigation is resolved not only fairly, but also without undue cost or delay.  As officers of the court, attorneys share this responsibility with the judge to whom the case is assigned.”)</w:t>
      </w:r>
    </w:p>
  </w:footnote>
  <w:footnote w:id="175">
    <w:p w14:paraId="54BD137D" w14:textId="51CE3FB9" w:rsidR="00AF6312" w:rsidRPr="0059426E" w:rsidRDefault="00AF6312" w:rsidP="00AF6312">
      <w:pPr>
        <w:pStyle w:val="FootnoteText"/>
        <w:jc w:val="both"/>
      </w:pPr>
      <w:r>
        <w:rPr>
          <w:rStyle w:val="FootnoteReference"/>
        </w:rPr>
        <w:footnoteRef/>
      </w:r>
      <w:r>
        <w:t xml:space="preserve"> </w:t>
      </w:r>
      <w:r w:rsidR="001B7640">
        <w:t>FED. R. CIV. P.</w:t>
      </w:r>
      <w:r>
        <w:t xml:space="preserve"> 26 takes no position on which discovery-search method should be used, because the rules committees concluded that any recommended technology would soon be outdated. Private organizations, like the Sedona Conference, filled the absence of judicial guidance and issued their own advice: “Responding parties are best situated to evaluate the procedures, methodologies, and technologies appropriate for preserving and producing their own electronically stored information.”  Unfortunately, many construe the recommendation to prevent any questioning of it, no matter how valid the critique. </w:t>
      </w:r>
      <w:r w:rsidRPr="005D6B88">
        <w:rPr>
          <w:i/>
          <w:iCs/>
        </w:rPr>
        <w:t>See also</w:t>
      </w:r>
      <w:r>
        <w:t xml:space="preserve"> Report from the Committee on Rules of Practice and Procedure to Judicial Conference of the United States recommending  proposed amendments to Rule 26 on cost shifting, Committee Note (September 1999) (“The amended rule also makes explicit the authority that the Committee believes already exists under subdivision (b)(2) to condition marginal discovery on cost-bearing – to offer a party that has sought discovery beyond the limitations of subdivision (b)(2)(i), (ii), or (iii) the alternative of bearing part or all of the cost of that peripheral discovery rather than to forbid it altogether.... In any situation in which discovery requests are challenged as exceeding the limitations of subdivision (b)(2), the court may fashion an appropriate order including cost-bearing.” The Judicial Conference rejected the proposed amendments because the courts already have the power.)</w:t>
      </w:r>
    </w:p>
  </w:footnote>
  <w:footnote w:id="176">
    <w:p w14:paraId="74A197BF" w14:textId="77777777" w:rsidR="00AF6312" w:rsidRDefault="00AF6312" w:rsidP="00AF6312">
      <w:pPr>
        <w:pStyle w:val="FootnoteText"/>
        <w:jc w:val="both"/>
      </w:pPr>
      <w:r>
        <w:rPr>
          <w:rStyle w:val="FootnoteReference"/>
        </w:rPr>
        <w:footnoteRef/>
      </w:r>
      <w:r>
        <w:t xml:space="preserve"> The keyword and TAR calculators are contained in Appendices F and J as Excel worksheets on the Center’s website at </w:t>
      </w:r>
      <w:hyperlink r:id="rId15" w:history="1">
        <w:r w:rsidRPr="002571DC">
          <w:rPr>
            <w:rStyle w:val="Hyperlink"/>
          </w:rPr>
          <w:t>https://rabiejcenter.org/discovery-proportionality-model-a-new-framework-2/</w:t>
        </w:r>
      </w:hyperlink>
      <w:r>
        <w:t xml:space="preserve"> .</w:t>
      </w:r>
    </w:p>
  </w:footnote>
  <w:footnote w:id="177">
    <w:p w14:paraId="76476575" w14:textId="146652D6" w:rsidR="00AF6312" w:rsidRDefault="00AF6312" w:rsidP="00AF6312">
      <w:pPr>
        <w:pStyle w:val="FootnoteText"/>
        <w:jc w:val="both"/>
      </w:pPr>
      <w:r>
        <w:rPr>
          <w:rStyle w:val="FootnoteReference"/>
        </w:rPr>
        <w:footnoteRef/>
      </w:r>
      <w:r>
        <w:t xml:space="preserve"> </w:t>
      </w:r>
      <w:r w:rsidR="001B7640">
        <w:t>FED. R. CIV. P.</w:t>
      </w:r>
      <w:r>
        <w:t xml:space="preserve"> 16.1, Committee Note (2025); </w:t>
      </w:r>
      <w:r w:rsidRPr="00A32BF5">
        <w:rPr>
          <w:i/>
          <w:iCs/>
        </w:rPr>
        <w:t>see</w:t>
      </w:r>
      <w:r>
        <w:t xml:space="preserve"> </w:t>
      </w:r>
      <w:r w:rsidRPr="00597BB9">
        <w:rPr>
          <w:i/>
          <w:iCs/>
        </w:rPr>
        <w:t>In Re: Depo-Provera (Depot Medroxyprogesterone Acetatae) Prod. Liab. Litig</w:t>
      </w:r>
      <w:r>
        <w:t>., MDL No. 3140 (2025).</w:t>
      </w:r>
      <w:r w:rsidR="00D17574">
        <w:t xml:space="preserve"> A</w:t>
      </w:r>
      <w:r w:rsidR="00F11EB5">
        <w:t xml:space="preserve"> </w:t>
      </w:r>
      <w:r w:rsidR="00436F75">
        <w:t xml:space="preserve">budget </w:t>
      </w:r>
      <w:r w:rsidR="00D17574">
        <w:t xml:space="preserve">projecting expected expenditures from both sides </w:t>
      </w:r>
      <w:r w:rsidR="00477C85">
        <w:t>provides</w:t>
      </w:r>
      <w:r w:rsidR="00D17574">
        <w:t xml:space="preserve"> </w:t>
      </w:r>
      <w:r w:rsidR="00477C85">
        <w:t>a</w:t>
      </w:r>
      <w:r w:rsidR="00D17574">
        <w:t xml:space="preserve"> court with </w:t>
      </w:r>
      <w:r w:rsidR="00477C85">
        <w:t xml:space="preserve">information </w:t>
      </w:r>
      <w:r w:rsidR="003A017C">
        <w:t xml:space="preserve">essential </w:t>
      </w:r>
      <w:r w:rsidR="00477C85">
        <w:t xml:space="preserve">to </w:t>
      </w:r>
      <w:r w:rsidR="009606FF">
        <w:t xml:space="preserve">manage discovery and </w:t>
      </w:r>
      <w:r w:rsidR="00477C85">
        <w:t>comply</w:t>
      </w:r>
      <w:r w:rsidR="003A017C">
        <w:t xml:space="preserve"> with </w:t>
      </w:r>
      <w:r w:rsidR="001B7640">
        <w:t>FED. R. CIV. P.</w:t>
      </w:r>
      <w:r w:rsidR="00E26CEB">
        <w:t xml:space="preserve"> 1 and 26</w:t>
      </w:r>
      <w:r w:rsidR="00C36DCE">
        <w:t xml:space="preserve">. </w:t>
      </w:r>
      <w:r w:rsidR="00A41F99">
        <w:t xml:space="preserve"> </w:t>
      </w:r>
      <w:r w:rsidR="0020512C">
        <w:t>Under the rules, a court is obligated</w:t>
      </w:r>
      <w:r w:rsidR="00152699">
        <w:t xml:space="preserve"> to limit </w:t>
      </w:r>
      <w:r w:rsidR="00E26CEB">
        <w:t xml:space="preserve">excessive </w:t>
      </w:r>
      <w:r w:rsidR="00152699">
        <w:t>discovery</w:t>
      </w:r>
      <w:r w:rsidR="00A41F99">
        <w:t xml:space="preserve">. </w:t>
      </w:r>
      <w:r w:rsidR="00F11EB5">
        <w:t xml:space="preserve"> </w:t>
      </w:r>
      <w:r w:rsidR="00D464A4">
        <w:t>“</w:t>
      </w:r>
      <w:r w:rsidR="00152699" w:rsidRPr="00152699">
        <w:t>On motion or on its own, the court must limit the frequency or extent of discovery otherwise allowed by these rules or by local rule</w:t>
      </w:r>
      <w:r w:rsidR="00D464A4">
        <w:t>...”</w:t>
      </w:r>
      <w:r w:rsidR="005B5F79">
        <w:t xml:space="preserve"> </w:t>
      </w:r>
      <w:r w:rsidR="001B7640">
        <w:t>FED. R. CIV. P.</w:t>
      </w:r>
      <w:r w:rsidR="0020512C">
        <w:t xml:space="preserve"> 26(b)(2)(C). “</w:t>
      </w:r>
      <w:r w:rsidR="008C640F" w:rsidRPr="008C640F">
        <w:rPr>
          <w:rFonts w:cs="Times New Roman"/>
          <w:color w:val="333333"/>
          <w:shd w:val="clear" w:color="auto" w:fill="FFFFFF"/>
        </w:rPr>
        <w:t>The parties and the court have a collective responsibility to consider the proportionality of all discovery</w:t>
      </w:r>
      <w:r w:rsidR="005B5F79">
        <w:rPr>
          <w:rFonts w:cs="Times New Roman"/>
          <w:color w:val="333333"/>
          <w:shd w:val="clear" w:color="auto" w:fill="FFFFFF"/>
        </w:rPr>
        <w:t>....”</w:t>
      </w:r>
      <w:r w:rsidR="008C640F" w:rsidRPr="008C640F">
        <w:rPr>
          <w:rFonts w:cs="Times New Roman"/>
          <w:color w:val="333333"/>
          <w:shd w:val="clear" w:color="auto" w:fill="FFFFFF"/>
        </w:rPr>
        <w:t xml:space="preserve"> </w:t>
      </w:r>
      <w:r w:rsidR="0020512C">
        <w:rPr>
          <w:rFonts w:cs="Times New Roman"/>
          <w:color w:val="333333"/>
          <w:shd w:val="clear" w:color="auto" w:fill="FFFFFF"/>
        </w:rPr>
        <w:t>Committee Note 2015.</w:t>
      </w:r>
    </w:p>
  </w:footnote>
  <w:footnote w:id="178">
    <w:p w14:paraId="2C0C2913" w14:textId="77777777" w:rsidR="00AF6312" w:rsidRDefault="00AF6312" w:rsidP="00AF6312">
      <w:pPr>
        <w:pStyle w:val="FootnoteText"/>
        <w:jc w:val="both"/>
      </w:pPr>
      <w:r>
        <w:rPr>
          <w:rStyle w:val="FootnoteReference"/>
        </w:rPr>
        <w:footnoteRef/>
      </w:r>
      <w:r>
        <w:t xml:space="preserve"> </w:t>
      </w:r>
      <w:r w:rsidRPr="008D748E">
        <w:rPr>
          <w:rFonts w:cs="Times New Roman"/>
          <w:i/>
          <w:iCs/>
        </w:rPr>
        <w:t>See</w:t>
      </w:r>
      <w:r>
        <w:rPr>
          <w:rFonts w:cs="Times New Roman"/>
        </w:rPr>
        <w:t xml:space="preserve"> Empirical Research on Civil Discovery, Judith McKenna &amp; Elizabeth Wiggins, 39 B.C.L.Rev. 785,794-795 (1998) (authors cite surveys from Wayne Brazil in 1980 showing high percentage of surveyed lawyers who either possessed arguably significant information that the opposing counsel had failed to discover in at least one case or who were surprised at least once with undiscovered information at trial).</w:t>
      </w:r>
    </w:p>
  </w:footnote>
  <w:footnote w:id="179">
    <w:p w14:paraId="69908335" w14:textId="77777777" w:rsidR="00AF6312" w:rsidRDefault="00AF6312" w:rsidP="00AF6312">
      <w:pPr>
        <w:pStyle w:val="FootnoteText"/>
        <w:jc w:val="both"/>
      </w:pPr>
      <w:r>
        <w:rPr>
          <w:rStyle w:val="FootnoteReference"/>
        </w:rPr>
        <w:footnoteRef/>
      </w:r>
      <w:r>
        <w:t xml:space="preserve"> The defendant counsel’s client likely would strongly object to disclosing information that is not relevant and potentially harmful to its interests unless required. </w:t>
      </w:r>
    </w:p>
  </w:footnote>
  <w:footnote w:id="180">
    <w:p w14:paraId="68068921" w14:textId="77777777" w:rsidR="00AF6312" w:rsidRDefault="00AF6312" w:rsidP="00AF6312">
      <w:pPr>
        <w:pStyle w:val="FootnoteText"/>
        <w:jc w:val="both"/>
      </w:pPr>
      <w:r>
        <w:rPr>
          <w:rStyle w:val="FootnoteReference"/>
        </w:rPr>
        <w:footnoteRef/>
      </w:r>
      <w:r>
        <w:t xml:space="preserve"> Having both parties meet and negotiate their understanding of relevancy on individual, randomly selected documents for training purposes results in actual deliverables that lead to a “meeting of the minds” on what information both parties deem to be important. </w:t>
      </w:r>
      <w:r w:rsidRPr="00E47B1D">
        <w:rPr>
          <w:rFonts w:eastAsia="Times New Roman" w:cs="Times New Roman"/>
          <w:color w:val="222222"/>
          <w:szCs w:val="24"/>
        </w:rPr>
        <w:t>But (and here is the key point) absent disclosure of the nonresponsive documents, the requesting party will not accept at face value the responding party’s assertions that no document important in resolving the issues was found in the sample based solely on the responding party’s decisionmaking</w:t>
      </w:r>
      <w:r>
        <w:rPr>
          <w:rFonts w:eastAsia="Times New Roman" w:cs="Times New Roman"/>
          <w:color w:val="222222"/>
          <w:szCs w:val="24"/>
        </w:rPr>
        <w:t xml:space="preserve">. </w:t>
      </w:r>
      <w:r w:rsidRPr="00CB2B81">
        <w:rPr>
          <w:rFonts w:cs="Times New Roman"/>
          <w:i/>
          <w:iCs/>
        </w:rPr>
        <w:t>See In re Valsartan, Losartan, &amp; Irbesartan Prod. Liab. Litig</w:t>
      </w:r>
      <w:r>
        <w:rPr>
          <w:rFonts w:cs="Times New Roman"/>
        </w:rPr>
        <w:t>., Civil No. 19-2875 (RBK/JS), at *24 (D. N.J. Dec. 2, 2020) (“Defendant argues plaintiffs should accept their protocol and validation at face value.  It argues, ‘after additional review, no validation protocol is necessary, as Teva has detailed data to demonstrate to plaintiffs, and also the Court, that its CMML platform (TAR CAL) is working consistent with Teva’s representations.’  If we lived in a perfect world devoid of the skepticism and doubt that pervades litigation, perhaps this could occur. However, we know this is not the case.”)</w:t>
      </w:r>
    </w:p>
  </w:footnote>
  <w:footnote w:id="181">
    <w:p w14:paraId="5DC7A103" w14:textId="77777777" w:rsidR="00AF6312" w:rsidRDefault="00AF6312" w:rsidP="00AF6312">
      <w:pPr>
        <w:pStyle w:val="FootnoteText"/>
        <w:jc w:val="both"/>
      </w:pPr>
      <w:r>
        <w:rPr>
          <w:rStyle w:val="FootnoteReference"/>
        </w:rPr>
        <w:footnoteRef/>
      </w:r>
      <w:r>
        <w:t xml:space="preserve"> </w:t>
      </w:r>
      <w:r w:rsidRPr="00F141F9">
        <w:rPr>
          <w:rFonts w:cs="Times New Roman"/>
          <w:i/>
          <w:iCs/>
        </w:rPr>
        <w:t>See</w:t>
      </w:r>
      <w:r w:rsidRPr="00F141F9">
        <w:rPr>
          <w:rFonts w:cs="Times New Roman"/>
        </w:rPr>
        <w:t xml:space="preserve"> </w:t>
      </w:r>
      <w:r w:rsidRPr="00F141F9">
        <w:rPr>
          <w:rFonts w:cs="Times New Roman"/>
          <w:i/>
          <w:iCs/>
        </w:rPr>
        <w:t>Allergan</w:t>
      </w:r>
      <w:r w:rsidRPr="00A03200">
        <w:rPr>
          <w:rFonts w:cs="Times New Roman"/>
          <w:i/>
          <w:iCs/>
        </w:rPr>
        <w:t xml:space="preserve"> Biocell Textured Breast Implant </w:t>
      </w:r>
      <w:r>
        <w:rPr>
          <w:rFonts w:cs="Times New Roman"/>
          <w:i/>
          <w:iCs/>
        </w:rPr>
        <w:t>P</w:t>
      </w:r>
      <w:r w:rsidRPr="00A03200">
        <w:rPr>
          <w:rFonts w:cs="Times New Roman"/>
          <w:i/>
          <w:iCs/>
        </w:rPr>
        <w:t>rod. Liab. Litig</w:t>
      </w:r>
      <w:r>
        <w:rPr>
          <w:rFonts w:cs="Times New Roman"/>
        </w:rPr>
        <w:t>., Special Master Case Management Order No. 31, p. 2 (D. N.J. Sept. 7, 2023) (A</w:t>
      </w:r>
      <w:r w:rsidRPr="00E47B1D">
        <w:rPr>
          <w:rFonts w:cs="Times New Roman"/>
          <w:color w:val="333333"/>
          <w:szCs w:val="24"/>
        </w:rPr>
        <w:t>n order provided the responding party an opportunity to withhold documents from random sampling</w:t>
      </w:r>
      <w:r>
        <w:rPr>
          <w:rFonts w:cs="Times New Roman"/>
          <w:color w:val="333333"/>
          <w:szCs w:val="24"/>
        </w:rPr>
        <w:t xml:space="preserve"> used for validation </w:t>
      </w:r>
      <w:r w:rsidRPr="00E47B1D">
        <w:rPr>
          <w:rFonts w:cs="Times New Roman"/>
          <w:color w:val="333333"/>
          <w:szCs w:val="24"/>
        </w:rPr>
        <w:t>for reasons other than nonrelevance, if it determined in good faith that they should be reviewed by the court</w:t>
      </w:r>
      <w:r>
        <w:rPr>
          <w:rFonts w:cs="Times New Roman"/>
          <w:color w:val="333333"/>
          <w:szCs w:val="24"/>
        </w:rPr>
        <w:t xml:space="preserve">).  </w:t>
      </w:r>
    </w:p>
  </w:footnote>
  <w:footnote w:id="182">
    <w:p w14:paraId="4E78CAC1" w14:textId="77777777" w:rsidR="00AF6312" w:rsidRDefault="00AF6312" w:rsidP="00AF6312">
      <w:pPr>
        <w:pStyle w:val="FootnoteText"/>
        <w:jc w:val="both"/>
      </w:pPr>
      <w:r>
        <w:rPr>
          <w:rStyle w:val="FootnoteReference"/>
        </w:rPr>
        <w:footnoteRef/>
      </w:r>
      <w:r>
        <w:t xml:space="preserve"> </w:t>
      </w:r>
      <w:r w:rsidRPr="00E47B1D">
        <w:rPr>
          <w:rFonts w:cs="Times New Roman"/>
          <w:color w:val="333333"/>
          <w:szCs w:val="24"/>
        </w:rPr>
        <w:t xml:space="preserve">A similar provision is contained in </w:t>
      </w:r>
      <w:r>
        <w:rPr>
          <w:rFonts w:cs="Times New Roman"/>
          <w:color w:val="333333"/>
          <w:szCs w:val="24"/>
        </w:rPr>
        <w:t xml:space="preserve">the Center’s </w:t>
      </w:r>
      <w:r w:rsidRPr="00E47B1D">
        <w:rPr>
          <w:rFonts w:cs="Times New Roman"/>
          <w:color w:val="333333"/>
          <w:szCs w:val="24"/>
        </w:rPr>
        <w:t xml:space="preserve">OPES, but it provides the responding party the absolute right to withhold any document that it has concerns with. </w:t>
      </w:r>
      <w:r w:rsidRPr="00E47B1D">
        <w:rPr>
          <w:rFonts w:eastAsia="Times New Roman" w:cs="Times New Roman"/>
          <w:color w:val="222222"/>
          <w:szCs w:val="24"/>
        </w:rPr>
        <w:t>Providing the responding party the right to keep selected nonresponsive documents confidential addresses their main concern about opening a can of worms and unwarranted fishing expeditions.</w:t>
      </w:r>
      <w:r w:rsidRPr="006500EB">
        <w:rPr>
          <w:rFonts w:cs="Times New Roman"/>
        </w:rPr>
        <w:t xml:space="preserve"> </w:t>
      </w:r>
      <w:r>
        <w:rPr>
          <w:rFonts w:cs="Times New Roman"/>
        </w:rPr>
        <w:t xml:space="preserve">For example, the nonresponsive documents could include “smoking-gun” evidence of an unrelated employment-discrimination claim.  </w:t>
      </w:r>
    </w:p>
  </w:footnote>
  <w:footnote w:id="183">
    <w:p w14:paraId="0B071FB7" w14:textId="77777777" w:rsidR="00AF6312" w:rsidRDefault="00AF6312" w:rsidP="00AF6312">
      <w:pPr>
        <w:pStyle w:val="FootnoteText"/>
        <w:jc w:val="both"/>
      </w:pPr>
      <w:r>
        <w:rPr>
          <w:rStyle w:val="FootnoteReference"/>
        </w:rPr>
        <w:footnoteRef/>
      </w:r>
      <w:r>
        <w:t xml:space="preserve"> The 25-document limit is arbitrary, but it is based on discussions with several judges who say that such review would be manageable. Defendant counsel also confirm that such a limit is reasonable when dealing with a sample size of 1,750 documents, a subset of which is nonresponsive and subject to withholding. They expect to withhold a much smaller number of documents, only those that are truly embarrassing or sensitive.</w:t>
      </w:r>
    </w:p>
  </w:footnote>
  <w:footnote w:id="184">
    <w:p w14:paraId="2B585B8A" w14:textId="77777777" w:rsidR="00AF6312" w:rsidRDefault="00AF6312" w:rsidP="00AF6312">
      <w:pPr>
        <w:pStyle w:val="FootnoteText"/>
        <w:jc w:val="both"/>
      </w:pPr>
      <w:r>
        <w:rPr>
          <w:rStyle w:val="FootnoteReference"/>
        </w:rPr>
        <w:footnoteRef/>
      </w:r>
      <w:r>
        <w:t xml:space="preserve"> </w:t>
      </w:r>
      <w:r w:rsidRPr="00C84C5C">
        <w:rPr>
          <w:i/>
          <w:iCs/>
        </w:rPr>
        <w:t>See OPES</w:t>
      </w:r>
      <w:r>
        <w:t xml:space="preserve"> Guideline 5, Rabiej Litigation Law Center (April 14, 2024)(the original guideline suggests a default maximum of 100 documents that can be withheld for an </w:t>
      </w:r>
      <w:r w:rsidRPr="00A25D36">
        <w:rPr>
          <w:i/>
          <w:iCs/>
        </w:rPr>
        <w:t>in camera</w:t>
      </w:r>
      <w:r>
        <w:t xml:space="preserve"> examination, but includes several options, including setting a lower maximum number, appointing a special master at the responding party’s expense to review the withheld documents, conducting a random sample and reviewing a lower number of documents, and requiring written reasons for withholding the documents, all of which could be considered as appropriate adjustments).</w:t>
      </w:r>
    </w:p>
  </w:footnote>
  <w:footnote w:id="185">
    <w:p w14:paraId="77BC8F7A" w14:textId="77777777" w:rsidR="00AF6312" w:rsidRDefault="00AF6312" w:rsidP="00AF6312">
      <w:pPr>
        <w:pStyle w:val="FootnoteText"/>
        <w:jc w:val="both"/>
      </w:pPr>
      <w:r>
        <w:rPr>
          <w:rStyle w:val="FootnoteReference"/>
        </w:rPr>
        <w:footnoteRef/>
      </w:r>
      <w:r>
        <w:t xml:space="preserve"> In </w:t>
      </w:r>
      <w:r w:rsidRPr="002F34D2">
        <w:rPr>
          <w:i/>
          <w:iCs/>
        </w:rPr>
        <w:t>See 3M Combat Arms Earplug Prod. Liab. Litig</w:t>
      </w:r>
      <w:r>
        <w:t>., MDL No. 2885, Pretrial Order No. 12, TAR Protocol, Doc. 472, p. 3 (July 7, 2019), the “corpus [of documents] shall include populations of (i) documents associated with or related to the custodians reasonably believed to possess relevant information identified by the Plaintiffs or the 3M Defendants, agreed to by the parties, or ordered by the Court....”)</w:t>
      </w:r>
    </w:p>
  </w:footnote>
  <w:footnote w:id="186">
    <w:p w14:paraId="17D92D10" w14:textId="77777777" w:rsidR="00AF6312" w:rsidRDefault="00AF6312" w:rsidP="00AF6312">
      <w:pPr>
        <w:pStyle w:val="FootnoteText"/>
        <w:jc w:val="both"/>
      </w:pPr>
      <w:r>
        <w:rPr>
          <w:rStyle w:val="FootnoteReference"/>
        </w:rPr>
        <w:footnoteRef/>
      </w:r>
      <w:r>
        <w:t xml:space="preserve"> </w:t>
      </w:r>
      <w:r w:rsidRPr="002F34D2">
        <w:rPr>
          <w:i/>
          <w:iCs/>
        </w:rPr>
        <w:t>See 3M Combat Arms Earplug Prod. Liab. Litig</w:t>
      </w:r>
      <w:r>
        <w:t>., MDL No. 2885, Pretrial Order No. 12, TAR Protocol, Doc. 472, p. 3 (July 7, 2019) (“The TAR tool automatically selects documents likely to be relevant or improve the predictive model and presents those documents to reviewers on an ongoing basis, continually updating the predictive model based on the results of that human review.”); s</w:t>
      </w:r>
      <w:r w:rsidRPr="002F34D2">
        <w:rPr>
          <w:i/>
          <w:iCs/>
        </w:rPr>
        <w:t xml:space="preserve">ee </w:t>
      </w:r>
      <w:r>
        <w:rPr>
          <w:i/>
          <w:iCs/>
        </w:rPr>
        <w:t xml:space="preserve">also </w:t>
      </w:r>
      <w:r w:rsidRPr="002F34D2">
        <w:rPr>
          <w:i/>
          <w:iCs/>
        </w:rPr>
        <w:t>3M Combat Arms Earplug Prod. Liab. Litig</w:t>
      </w:r>
      <w:r>
        <w:t xml:space="preserve">., MDL No. 2885, Pretrial Order No. 12, TAR Protocol, Doc. 472, p.7 (July 7, 2019) (“After sufficient review of the prioritized queue such that the 3M Defendants believe that further training is unlikely to yield benefit to the TAR model, the 3M Defendants shall notify Plaintiffs that they believe it is appropriate to freeze training and declare a Classification Cutoff.  The Parties shall cooperate in the exchange of information and subsequent conferral to determine whether it is appropriate to set a Classification Cut off at that point.”) A major side-benefit of the documents ranking is to limit burdensome document-by-document logging privilege only for documents that are important in resolving the issues.  Asserted privilege claims for lower-ranked documents can be identified in categorical or metadata-privilege logs. The parties must state their views in the discovery plan on how they will inform the other party of the asserted privilege and protection claims under amendments to Rule 26(f), effective December 1, 2025.  </w:t>
      </w:r>
    </w:p>
  </w:footnote>
  <w:footnote w:id="187">
    <w:p w14:paraId="01A28E77" w14:textId="77777777" w:rsidR="00AF6312" w:rsidRDefault="00AF6312" w:rsidP="00AF6312">
      <w:pPr>
        <w:pStyle w:val="FootnoteText"/>
        <w:jc w:val="both"/>
      </w:pPr>
      <w:r>
        <w:rPr>
          <w:rStyle w:val="FootnoteReference"/>
        </w:rPr>
        <w:footnoteRef/>
      </w:r>
      <w:r>
        <w:t xml:space="preserve"> Metrics can include the total number of documents in the corpus when created, and a provisional estimate (subject to updates) of the number of documents being reviewed outside the TAR process.</w:t>
      </w:r>
    </w:p>
  </w:footnote>
  <w:footnote w:id="188">
    <w:p w14:paraId="544021ED" w14:textId="77777777" w:rsidR="00AF6312" w:rsidRDefault="00AF6312" w:rsidP="00AF6312">
      <w:pPr>
        <w:pStyle w:val="FootnoteText"/>
        <w:jc w:val="both"/>
      </w:pPr>
      <w:r>
        <w:rPr>
          <w:rStyle w:val="FootnoteReference"/>
        </w:rPr>
        <w:footnoteRef/>
      </w:r>
      <w:r>
        <w:t xml:space="preserve"> An elusion sample. The parties can agree on disclosure of metrics documenting the elusion test, including the estimated elusion rate, the number of documents in the elusion test sample, the number of documents determined to be responsive, and the number of documents determined to be nonresponsive. </w:t>
      </w:r>
    </w:p>
  </w:footnote>
  <w:footnote w:id="189">
    <w:p w14:paraId="3B6271DE" w14:textId="77777777" w:rsidR="00AF6312" w:rsidRDefault="00AF6312" w:rsidP="00AF6312">
      <w:pPr>
        <w:pStyle w:val="FootnoteText"/>
        <w:jc w:val="both"/>
      </w:pPr>
      <w:r>
        <w:rPr>
          <w:rStyle w:val="FootnoteReference"/>
        </w:rPr>
        <w:footnoteRef/>
      </w:r>
      <w:r>
        <w:t xml:space="preserve"> </w:t>
      </w:r>
      <w:r w:rsidRPr="002F34D2">
        <w:rPr>
          <w:i/>
          <w:iCs/>
        </w:rPr>
        <w:t>See 3M Combat Arms Earplug Prod. Liab. Litig</w:t>
      </w:r>
      <w:r>
        <w:t>., MDL No. 2885, Pretrial Order No. 12, TAR Protocol, Doc. 472, 4 (July 7, 2019) (“The Sample Set will be created by drawing a simple random sample of 1,750 documents from the Corpus.”) The deadline for the review was fixed on July 26, 2019 – 25 days from filing the protocol.</w:t>
      </w:r>
    </w:p>
  </w:footnote>
  <w:footnote w:id="190">
    <w:p w14:paraId="4AB71EC0" w14:textId="77777777" w:rsidR="00AF6312" w:rsidRDefault="00AF6312" w:rsidP="00AF6312">
      <w:pPr>
        <w:pStyle w:val="FootnoteText"/>
        <w:jc w:val="both"/>
      </w:pPr>
      <w:r>
        <w:rPr>
          <w:rStyle w:val="FootnoteReference"/>
        </w:rPr>
        <w:footnoteRef/>
      </w:r>
      <w:r>
        <w:t xml:space="preserve"> </w:t>
      </w:r>
      <w:r w:rsidRPr="002F34D2">
        <w:rPr>
          <w:i/>
          <w:iCs/>
        </w:rPr>
        <w:t>See 3M Combat Arms Earplug Prod. Liab. Litig</w:t>
      </w:r>
      <w:r>
        <w:t>., MDL No. 2885, Pretrial Order No. 12, TAR Protocol, Doc. 472, (July 7, 2019) (“The 3M Defendants will conduct the first review of the Sample Set, and code each document as Responsive or Not Responsive and Privileged and Not Privileged.”)</w:t>
      </w:r>
    </w:p>
  </w:footnote>
  <w:footnote w:id="191">
    <w:p w14:paraId="6E238211" w14:textId="77777777" w:rsidR="00AF6312" w:rsidRDefault="00AF6312" w:rsidP="00AF6312">
      <w:pPr>
        <w:pStyle w:val="FootnoteText"/>
        <w:jc w:val="both"/>
      </w:pPr>
      <w:r>
        <w:rPr>
          <w:rStyle w:val="FootnoteReference"/>
        </w:rPr>
        <w:footnoteRef/>
      </w:r>
      <w:r>
        <w:t xml:space="preserve"> </w:t>
      </w:r>
      <w:r w:rsidRPr="00FE481D">
        <w:rPr>
          <w:i/>
          <w:iCs/>
        </w:rPr>
        <w:t>In Re: Allergan Biocell Textured Breast Implant Prod. Liab. Litig</w:t>
      </w:r>
      <w:r>
        <w:t>., MDL No. 2921, Special Master CMO No. 33, Doc. 462, p. 3, 5 (January 16, 2024) (“Plaintiffs suggest that 60 documents [from a random sampling of 750 documents produced directly to Plaintiffs) were improperly coded as ‘non-responsive.’” The special master found that 30 were non-responsive and 31 were marginally relevant, which was an adequate level of recall, particularly when compared to the 80% recall rates routinely agreed upon by parties using TAR.  “Put differently, I am not aware of any instance where a party was ordered to achieve perfection in its document review process. The</w:t>
      </w:r>
      <w:r>
        <w:rPr>
          <w:spacing w:val="-13"/>
        </w:rPr>
        <w:t xml:space="preserve"> </w:t>
      </w:r>
      <w:r>
        <w:t>reason</w:t>
      </w:r>
      <w:r>
        <w:rPr>
          <w:spacing w:val="-13"/>
        </w:rPr>
        <w:t xml:space="preserve"> </w:t>
      </w:r>
      <w:r>
        <w:t>for</w:t>
      </w:r>
      <w:r>
        <w:rPr>
          <w:spacing w:val="-13"/>
        </w:rPr>
        <w:t xml:space="preserve"> </w:t>
      </w:r>
      <w:r>
        <w:t>that</w:t>
      </w:r>
      <w:r>
        <w:rPr>
          <w:spacing w:val="-13"/>
        </w:rPr>
        <w:t xml:space="preserve"> </w:t>
      </w:r>
      <w:r>
        <w:t>is</w:t>
      </w:r>
      <w:r>
        <w:rPr>
          <w:spacing w:val="-13"/>
        </w:rPr>
        <w:t xml:space="preserve"> </w:t>
      </w:r>
      <w:r>
        <w:t>clear.</w:t>
      </w:r>
      <w:r>
        <w:rPr>
          <w:spacing w:val="-13"/>
        </w:rPr>
        <w:t xml:space="preserve"> </w:t>
      </w:r>
      <w:r>
        <w:t>Perfection</w:t>
      </w:r>
      <w:r>
        <w:rPr>
          <w:spacing w:val="-13"/>
        </w:rPr>
        <w:t xml:space="preserve"> </w:t>
      </w:r>
      <w:r>
        <w:t>is</w:t>
      </w:r>
      <w:r>
        <w:rPr>
          <w:spacing w:val="-12"/>
        </w:rPr>
        <w:t xml:space="preserve"> </w:t>
      </w:r>
      <w:r>
        <w:t>not</w:t>
      </w:r>
      <w:r>
        <w:rPr>
          <w:spacing w:val="-13"/>
        </w:rPr>
        <w:t xml:space="preserve"> </w:t>
      </w:r>
      <w:r>
        <w:t>the</w:t>
      </w:r>
      <w:r>
        <w:rPr>
          <w:spacing w:val="-13"/>
        </w:rPr>
        <w:t xml:space="preserve"> </w:t>
      </w:r>
      <w:r>
        <w:t>standard;</w:t>
      </w:r>
      <w:r>
        <w:rPr>
          <w:spacing w:val="-13"/>
        </w:rPr>
        <w:t xml:space="preserve"> </w:t>
      </w:r>
      <w:r>
        <w:t>reasonableness</w:t>
      </w:r>
      <w:r>
        <w:rPr>
          <w:spacing w:val="-13"/>
        </w:rPr>
        <w:t xml:space="preserve"> </w:t>
      </w:r>
      <w:r>
        <w:t>is</w:t>
      </w:r>
      <w:r>
        <w:rPr>
          <w:spacing w:val="-13"/>
        </w:rPr>
        <w:t xml:space="preserve"> </w:t>
      </w:r>
      <w:r>
        <w:t>the</w:t>
      </w:r>
      <w:r>
        <w:rPr>
          <w:spacing w:val="-12"/>
        </w:rPr>
        <w:t xml:space="preserve"> </w:t>
      </w:r>
      <w:r>
        <w:t>standard.”)</w:t>
      </w:r>
    </w:p>
  </w:footnote>
  <w:footnote w:id="192">
    <w:p w14:paraId="6341A99B" w14:textId="77777777" w:rsidR="00AF6312" w:rsidRDefault="00AF6312" w:rsidP="00AF6312">
      <w:pPr>
        <w:pStyle w:val="FootnoteText"/>
        <w:jc w:val="both"/>
      </w:pPr>
      <w:r>
        <w:rPr>
          <w:rStyle w:val="FootnoteReference"/>
        </w:rPr>
        <w:footnoteRef/>
      </w:r>
      <w:r>
        <w:t xml:space="preserve"> </w:t>
      </w:r>
      <w:r w:rsidRPr="002F34D2">
        <w:rPr>
          <w:i/>
          <w:iCs/>
        </w:rPr>
        <w:t>See 3M Combat Arms Earplug Prod. Liab. Litig</w:t>
      </w:r>
      <w:r>
        <w:t xml:space="preserve">., MDL No. 2885, Pretrial Order No. 12, TAR Protocol, Doc. 472, p. 5 (July 7, 2019) (“Plaintiffs’ Leadership may designate up to five individuals (plus up to three consultants) to aid in the review to be given access to review the Sample Set. This review may take place at such dates and times as the Parties mutually agree.”) </w:t>
      </w:r>
    </w:p>
  </w:footnote>
  <w:footnote w:id="193">
    <w:p w14:paraId="69147AA5" w14:textId="51E2D506" w:rsidR="00AF6312" w:rsidRDefault="00AF6312" w:rsidP="00AF6312">
      <w:pPr>
        <w:pStyle w:val="FootnoteText"/>
        <w:jc w:val="both"/>
      </w:pPr>
      <w:r>
        <w:rPr>
          <w:rStyle w:val="FootnoteReference"/>
        </w:rPr>
        <w:footnoteRef/>
      </w:r>
      <w:r w:rsidR="000D31B2" w:rsidRPr="00966057">
        <w:rPr>
          <w:i/>
          <w:iCs/>
        </w:rPr>
        <w:t>See 3M Combat Arms Earplug Prod. Liab. Litig</w:t>
      </w:r>
      <w:r w:rsidR="000D31B2" w:rsidRPr="00966057">
        <w:t>., MDL No. 2885, Pretrial Order No. 12, TAR Protocol, Doc. 472, (July 1, 2019) (providing that documents coded not responsive and shared with the opposing party are shared solely for the purpose of “raising and resolving disagreements, if any, regarding the coding calls made by [the reviewing party]” and prohibiting the removal of the documents from an agreed location as well as the copying, recording, and transmitting of the documents outside of the designated review).</w:t>
      </w:r>
      <w:r>
        <w:t xml:space="preserve"> </w:t>
      </w:r>
    </w:p>
  </w:footnote>
  <w:footnote w:id="194">
    <w:p w14:paraId="308D1223" w14:textId="73513436" w:rsidR="0089283E" w:rsidRPr="00154525" w:rsidRDefault="0089283E" w:rsidP="0089283E">
      <w:pPr>
        <w:pStyle w:val="FootnoteText"/>
        <w:jc w:val="both"/>
      </w:pPr>
      <w:r>
        <w:rPr>
          <w:rStyle w:val="FootnoteReference"/>
        </w:rPr>
        <w:footnoteRef/>
      </w:r>
      <w:r>
        <w:t xml:space="preserve"> </w:t>
      </w:r>
      <w:r>
        <w:rPr>
          <w:i/>
          <w:iCs/>
        </w:rPr>
        <w:t xml:space="preserve">Id. </w:t>
      </w:r>
      <w:r w:rsidRPr="00154525">
        <w:t>(de</w:t>
      </w:r>
      <w:r w:rsidRPr="00EF714E">
        <w:t>scribing document classification scoring</w:t>
      </w:r>
      <w:r w:rsidR="00A17FC5">
        <w:t xml:space="preserve"> </w:t>
      </w:r>
      <w:r w:rsidR="00B02B22">
        <w:t>–</w:t>
      </w:r>
      <w:r w:rsidR="00A17FC5" w:rsidRPr="00A17FC5">
        <w:t xml:space="preserve"> </w:t>
      </w:r>
      <w:r w:rsidR="00A17FC5">
        <w:t>Relativity Active Learning Xact Data Discovery tool “automatically assign[s] a Classification Score to each document in the review population.” In addition, “Based on the reviewer coding of other documents, each document will eventually receive a score from 0-100 (the Classification Score), with documents with a Classification Score closer to zero being predicted as less likely to be relevant and documents with a Classification Score closer to 100 being predicted as more likely to be relevant.”)</w:t>
      </w:r>
      <w:r w:rsidR="00B02B22">
        <w:t>.</w:t>
      </w:r>
    </w:p>
  </w:footnote>
  <w:footnote w:id="195">
    <w:p w14:paraId="2EFDA0C2" w14:textId="77777777" w:rsidR="0089283E" w:rsidRDefault="0089283E" w:rsidP="0089283E">
      <w:pPr>
        <w:pStyle w:val="FootnoteText"/>
        <w:jc w:val="both"/>
      </w:pPr>
      <w:r>
        <w:rPr>
          <w:rStyle w:val="FootnoteReference"/>
        </w:rPr>
        <w:footnoteRef/>
      </w:r>
      <w:r>
        <w:t xml:space="preserve"> </w:t>
      </w:r>
      <w:r w:rsidRPr="00EF714E">
        <w:rPr>
          <w:i/>
          <w:iCs/>
        </w:rPr>
        <w:t>See, e.g</w:t>
      </w:r>
      <w:r>
        <w:t>., i</w:t>
      </w:r>
      <w:r>
        <w:rPr>
          <w:i/>
          <w:iCs/>
        </w:rPr>
        <w:t>d.</w:t>
      </w:r>
      <w:r>
        <w:t xml:space="preserve"> (“The Classification Cutoff will be set at the lowest score of any document manually classified as responsive.”)</w:t>
      </w:r>
    </w:p>
  </w:footnote>
  <w:footnote w:id="196">
    <w:p w14:paraId="530CF65C" w14:textId="77777777" w:rsidR="0089283E" w:rsidRDefault="0089283E" w:rsidP="0089283E">
      <w:pPr>
        <w:pStyle w:val="FootnoteText"/>
        <w:jc w:val="both"/>
      </w:pPr>
      <w:r>
        <w:rPr>
          <w:rStyle w:val="FootnoteReference"/>
        </w:rPr>
        <w:footnoteRef/>
      </w:r>
      <w:r>
        <w:t xml:space="preserve"> </w:t>
      </w:r>
      <w:r w:rsidRPr="002F34D2">
        <w:rPr>
          <w:i/>
          <w:iCs/>
        </w:rPr>
        <w:t>See 3M Combat Arms Earplug Prod. Liab. Litig</w:t>
      </w:r>
      <w:r>
        <w:t>., MDL No. 2885, Pretrial Order No. 12, TAR Protocol, Doc. 472, p.8 (July 7, 2019) (“A simple random sample of 1,750 documents will be drawn from those un-reviewed documents in the Corpus with a Classification Score below the Classification Cutoff (the ‘Elusion Test Sample’)”.)</w:t>
      </w:r>
    </w:p>
  </w:footnote>
  <w:footnote w:id="197">
    <w:p w14:paraId="335416FE" w14:textId="77777777" w:rsidR="0089283E" w:rsidRPr="008D748E" w:rsidRDefault="0089283E" w:rsidP="00DD3CF2">
      <w:pPr>
        <w:pStyle w:val="FootnoteText"/>
        <w:jc w:val="both"/>
        <w:rPr>
          <w:rFonts w:cs="Times New Roman"/>
        </w:rPr>
      </w:pPr>
      <w:r>
        <w:rPr>
          <w:rStyle w:val="FootnoteReference"/>
        </w:rPr>
        <w:footnoteRef/>
      </w:r>
      <w:r>
        <w:t xml:space="preserve"> </w:t>
      </w:r>
      <w:r w:rsidRPr="008D748E">
        <w:rPr>
          <w:rFonts w:cs="Times New Roman"/>
          <w:i/>
          <w:iCs/>
        </w:rPr>
        <w:t>See</w:t>
      </w:r>
      <w:r>
        <w:rPr>
          <w:rFonts w:cs="Times New Roman"/>
        </w:rPr>
        <w:t xml:space="preserve"> Empirical Research on Civil Discovery, Judith McKenna &amp; Elizabeth Wiggins, 39 B.C.L.Rev. 785,794-795 (1998) (authors cite 1980 surveys showing high percentage of surveyed lawyers reported that in at least one case they possessed arguably significant information that the opposing counsel had failed to discover or  were surprised with undiscovered information at trial).</w:t>
      </w:r>
    </w:p>
  </w:footnote>
  <w:footnote w:id="198">
    <w:p w14:paraId="3C02D382" w14:textId="77777777" w:rsidR="0089283E" w:rsidRDefault="0089283E" w:rsidP="00DD3CF2">
      <w:pPr>
        <w:pStyle w:val="FootnoteText"/>
        <w:jc w:val="both"/>
      </w:pPr>
      <w:r>
        <w:rPr>
          <w:rStyle w:val="FootnoteReference"/>
        </w:rPr>
        <w:footnoteRef/>
      </w:r>
      <w:r>
        <w:t xml:space="preserve"> </w:t>
      </w:r>
      <w:r w:rsidRPr="00CB2B81">
        <w:rPr>
          <w:rFonts w:cs="Times New Roman"/>
          <w:i/>
          <w:iCs/>
        </w:rPr>
        <w:t>See In re Valsartan, Losartan, &amp; Irbesartan Prod. Liab. Litig</w:t>
      </w:r>
      <w:r>
        <w:rPr>
          <w:rFonts w:cs="Times New Roman"/>
        </w:rPr>
        <w:t>., Civil No. 19-2875 (RBK/JS), at *24 (D. N.J. Dec. 2, 2020) (noting that because we do not “live[] in a perfect world devoid of the skepticism and doubt that pervades litigation” the requesting party will not accept the responding party’s representation that the TAR was adequately validated).</w:t>
      </w:r>
    </w:p>
  </w:footnote>
  <w:footnote w:id="199">
    <w:p w14:paraId="5378F5C5" w14:textId="77777777" w:rsidR="0089283E" w:rsidRPr="00A21EFE" w:rsidRDefault="0089283E" w:rsidP="00DD3CF2">
      <w:pPr>
        <w:pStyle w:val="FootnoteText"/>
        <w:jc w:val="both"/>
      </w:pPr>
      <w:r>
        <w:rPr>
          <w:rStyle w:val="FootnoteReference"/>
        </w:rPr>
        <w:footnoteRef/>
      </w:r>
      <w:r>
        <w:t xml:space="preserve"> </w:t>
      </w:r>
      <w:r w:rsidRPr="00A21EFE">
        <w:rPr>
          <w:rFonts w:cs="Times New Roman"/>
        </w:rPr>
        <w:t>The root cause of these disagreements is that lawyers on opposing sides, and even on the same side, will in good faith always disagree on what “relevant” means in their particular case. Optimum Proportionality eDiscovery Standard, Rabiej Litigation Law Center (2024) at https://rabiejcenter.org/best-practices/ediscovery/.</w:t>
      </w:r>
    </w:p>
  </w:footnote>
  <w:footnote w:id="200">
    <w:p w14:paraId="627974B6" w14:textId="4543A000" w:rsidR="0089283E" w:rsidRDefault="0089283E" w:rsidP="00DD3CF2">
      <w:pPr>
        <w:pStyle w:val="FootnoteText"/>
        <w:jc w:val="both"/>
      </w:pPr>
      <w:r>
        <w:rPr>
          <w:rStyle w:val="FootnoteReference"/>
        </w:rPr>
        <w:footnoteRef/>
      </w:r>
      <w:r>
        <w:t xml:space="preserve"> </w:t>
      </w:r>
      <w:r w:rsidRPr="00F141F9">
        <w:rPr>
          <w:rFonts w:cs="Times New Roman"/>
          <w:i/>
          <w:iCs/>
        </w:rPr>
        <w:t>See</w:t>
      </w:r>
      <w:r w:rsidRPr="00F141F9">
        <w:rPr>
          <w:rFonts w:cs="Times New Roman"/>
        </w:rPr>
        <w:t xml:space="preserve"> </w:t>
      </w:r>
      <w:r w:rsidRPr="00F141F9">
        <w:rPr>
          <w:rFonts w:cs="Times New Roman"/>
          <w:i/>
          <w:iCs/>
        </w:rPr>
        <w:t>Allergan</w:t>
      </w:r>
      <w:r w:rsidRPr="00A03200">
        <w:rPr>
          <w:rFonts w:cs="Times New Roman"/>
          <w:i/>
          <w:iCs/>
        </w:rPr>
        <w:t xml:space="preserve"> Biocell Textured Breast Implant </w:t>
      </w:r>
      <w:r>
        <w:rPr>
          <w:rFonts w:cs="Times New Roman"/>
          <w:i/>
          <w:iCs/>
        </w:rPr>
        <w:t>P</w:t>
      </w:r>
      <w:r w:rsidRPr="00A03200">
        <w:rPr>
          <w:rFonts w:cs="Times New Roman"/>
          <w:i/>
          <w:iCs/>
        </w:rPr>
        <w:t>rod. Liab. Litig</w:t>
      </w:r>
      <w:r>
        <w:rPr>
          <w:rFonts w:cs="Times New Roman"/>
        </w:rPr>
        <w:t>., Special Master Case Management Order No. 31, p. 2 (D. N.J. Sept. 7, 2023) (A</w:t>
      </w:r>
      <w:r w:rsidRPr="00E47B1D">
        <w:rPr>
          <w:rFonts w:cs="Times New Roman"/>
          <w:color w:val="333333"/>
          <w:szCs w:val="24"/>
        </w:rPr>
        <w:t>n order provided the responding party an opportunity to withhold documents from random sampling</w:t>
      </w:r>
      <w:r>
        <w:rPr>
          <w:rFonts w:cs="Times New Roman"/>
          <w:color w:val="333333"/>
          <w:szCs w:val="24"/>
        </w:rPr>
        <w:t xml:space="preserve"> used for validation </w:t>
      </w:r>
      <w:r w:rsidRPr="00E47B1D">
        <w:rPr>
          <w:rFonts w:cs="Times New Roman"/>
          <w:color w:val="333333"/>
          <w:szCs w:val="24"/>
        </w:rPr>
        <w:t>for reasons other than nonrelevance, if it determined in good faith that they should be reviewed by the court</w:t>
      </w:r>
      <w:r w:rsidR="004A638F">
        <w:rPr>
          <w:rFonts w:cs="Times New Roman"/>
          <w:color w:val="333333"/>
          <w:szCs w:val="24"/>
        </w:rPr>
        <w:t>.</w:t>
      </w:r>
      <w:r>
        <w:rPr>
          <w:rFonts w:cs="Times New Roman"/>
          <w:color w:val="333333"/>
          <w:szCs w:val="24"/>
        </w:rPr>
        <w:t xml:space="preserve">); </w:t>
      </w:r>
      <w:r w:rsidR="004A638F">
        <w:rPr>
          <w:rFonts w:cs="Times New Roman"/>
          <w:color w:val="333333"/>
          <w:szCs w:val="24"/>
        </w:rPr>
        <w:t>s</w:t>
      </w:r>
      <w:r w:rsidRPr="00ED60AD">
        <w:rPr>
          <w:rFonts w:cs="Times New Roman"/>
          <w:i/>
          <w:iCs/>
        </w:rPr>
        <w:t xml:space="preserve">ee </w:t>
      </w:r>
      <w:r w:rsidR="004A638F">
        <w:rPr>
          <w:rFonts w:cs="Times New Roman"/>
          <w:i/>
          <w:iCs/>
        </w:rPr>
        <w:t xml:space="preserve">also </w:t>
      </w:r>
      <w:r>
        <w:rPr>
          <w:rFonts w:cs="Times New Roman"/>
        </w:rPr>
        <w:t xml:space="preserve">Department of Justice TAR Protocol Antitrust Division, Tracy Greer, Senior Litigation Counsel eDiscovery (describing how the DOJ “consistently has asked the responding party to provide a statistically significant sample of </w:t>
      </w:r>
      <w:r w:rsidRPr="00ED60AD">
        <w:rPr>
          <w:rFonts w:cs="Times New Roman"/>
          <w:i/>
          <w:iCs/>
        </w:rPr>
        <w:t>nonresponsive</w:t>
      </w:r>
      <w:r>
        <w:rPr>
          <w:rFonts w:cs="Times New Roman"/>
        </w:rPr>
        <w:t xml:space="preserve"> documents to ensure that facially responsive documents were not excluded from the collection”).</w:t>
      </w:r>
    </w:p>
  </w:footnote>
  <w:footnote w:id="201">
    <w:p w14:paraId="687F4467" w14:textId="77777777" w:rsidR="0089283E" w:rsidRPr="00335A9C" w:rsidRDefault="0089283E" w:rsidP="00DD3CF2">
      <w:pPr>
        <w:pStyle w:val="FootnoteText"/>
        <w:jc w:val="both"/>
        <w:rPr>
          <w:rFonts w:cs="Times New Roman"/>
          <w:b/>
          <w:bCs/>
        </w:rPr>
      </w:pPr>
      <w:r w:rsidRPr="00AD7540">
        <w:rPr>
          <w:rStyle w:val="FootnoteReference"/>
          <w:rFonts w:cs="Times New Roman"/>
        </w:rPr>
        <w:footnoteRef/>
      </w:r>
      <w:r w:rsidRPr="00AD7540">
        <w:rPr>
          <w:rFonts w:cs="Times New Roman"/>
        </w:rPr>
        <w:t xml:space="preserve"> </w:t>
      </w:r>
      <w:r>
        <w:rPr>
          <w:rFonts w:cs="Times New Roman"/>
        </w:rPr>
        <w:t xml:space="preserve">For example, the nonresponsive documents could include “smoking-gun” evidence of an unrelated employment-discrimination claim.  </w:t>
      </w:r>
    </w:p>
  </w:footnote>
  <w:footnote w:id="202">
    <w:p w14:paraId="75701EE6" w14:textId="39E05939" w:rsidR="0089283E" w:rsidRDefault="0089283E" w:rsidP="0089283E">
      <w:pPr>
        <w:pStyle w:val="FootnoteText"/>
        <w:jc w:val="both"/>
      </w:pPr>
      <w:r>
        <w:rPr>
          <w:rStyle w:val="FootnoteReference"/>
        </w:rPr>
        <w:footnoteRef/>
      </w:r>
      <w:r>
        <w:t xml:space="preserve"> </w:t>
      </w:r>
      <w:r w:rsidRPr="00EF355A">
        <w:rPr>
          <w:rFonts w:cs="Times New Roman"/>
        </w:rPr>
        <w:t xml:space="preserve">Optimum Proportionality eDiscovery Standard, Rabiej Litigation Law Center (2024) at </w:t>
      </w:r>
      <w:hyperlink r:id="rId16" w:history="1">
        <w:r w:rsidR="00F63F0D" w:rsidRPr="006578A1">
          <w:rPr>
            <w:rStyle w:val="Hyperlink"/>
            <w:rFonts w:cs="Times New Roman"/>
          </w:rPr>
          <w:t>https://rabiejcenter.org/best-practices/ediscovery/</w:t>
        </w:r>
      </w:hyperlink>
      <w:r w:rsidR="00F63F0D">
        <w:rPr>
          <w:rFonts w:cs="Times New Roman"/>
        </w:rPr>
        <w:t xml:space="preserve">; </w:t>
      </w:r>
      <w:r w:rsidR="00F63F0D" w:rsidRPr="009D75B2">
        <w:rPr>
          <w:rFonts w:cs="Times New Roman"/>
          <w:i/>
          <w:iCs/>
        </w:rPr>
        <w:t>see</w:t>
      </w:r>
      <w:r w:rsidR="00F63F0D">
        <w:rPr>
          <w:rFonts w:cs="Times New Roman"/>
        </w:rPr>
        <w:t xml:space="preserve"> Permanent </w:t>
      </w:r>
      <w:r w:rsidR="00C04C11">
        <w:rPr>
          <w:rFonts w:cs="Times New Roman"/>
        </w:rPr>
        <w:t>No. MDL-§18(b)(</w:t>
      </w:r>
      <w:r w:rsidR="009D75B2">
        <w:rPr>
          <w:rFonts w:cs="Times New Roman"/>
        </w:rPr>
        <w:t xml:space="preserve">ii)), which </w:t>
      </w:r>
      <w:r w:rsidR="00C37F00">
        <w:rPr>
          <w:rFonts w:cs="Times New Roman"/>
        </w:rPr>
        <w:t xml:space="preserve">suggests a maximum of 25 documents </w:t>
      </w:r>
      <w:r w:rsidR="00114AAD">
        <w:rPr>
          <w:rFonts w:cs="Times New Roman"/>
        </w:rPr>
        <w:t>that can be withheld</w:t>
      </w:r>
      <w:r w:rsidRPr="00EF355A">
        <w:rPr>
          <w:rFonts w:cs="Times New Roman"/>
        </w:rPr>
        <w:t>.</w:t>
      </w:r>
    </w:p>
  </w:footnote>
  <w:footnote w:id="203">
    <w:p w14:paraId="4A71AFC6" w14:textId="57278C2E" w:rsidR="002B4937" w:rsidRDefault="002B4937">
      <w:pPr>
        <w:pStyle w:val="FootnoteText"/>
      </w:pPr>
      <w:r>
        <w:rPr>
          <w:rStyle w:val="FootnoteReference"/>
        </w:rPr>
        <w:footnoteRef/>
      </w:r>
      <w:r>
        <w:t xml:space="preserve"> Discussions with several judges indicate that a review of 25 documents would be manageable.</w:t>
      </w:r>
    </w:p>
  </w:footnote>
  <w:footnote w:id="204">
    <w:p w14:paraId="695E4494" w14:textId="77777777" w:rsidR="0089283E" w:rsidRPr="00F7410B" w:rsidRDefault="0089283E" w:rsidP="0089283E">
      <w:pPr>
        <w:pStyle w:val="FootnoteText"/>
        <w:jc w:val="both"/>
        <w:rPr>
          <w:rFonts w:cs="Times New Roman"/>
        </w:rPr>
      </w:pPr>
      <w:r>
        <w:rPr>
          <w:rStyle w:val="FootnoteReference"/>
        </w:rPr>
        <w:footnoteRef/>
      </w:r>
      <w:r>
        <w:t xml:space="preserve"> </w:t>
      </w:r>
      <w:r w:rsidRPr="00F7410B">
        <w:rPr>
          <w:rFonts w:cs="Times New Roman"/>
        </w:rPr>
        <w:t xml:space="preserve">Although </w:t>
      </w:r>
      <w:r>
        <w:rPr>
          <w:rFonts w:cs="Times New Roman"/>
        </w:rPr>
        <w:t xml:space="preserve">OPES targets only documents important in resolving the issues, “relevant documents” found in the </w:t>
      </w:r>
      <w:r w:rsidRPr="00F7410B">
        <w:rPr>
          <w:rFonts w:cs="Times New Roman"/>
          <w:i/>
          <w:iCs/>
        </w:rPr>
        <w:t>in camera</w:t>
      </w:r>
      <w:r>
        <w:rPr>
          <w:rFonts w:cs="Times New Roman"/>
        </w:rPr>
        <w:t xml:space="preserve"> examination would be disclosed to the requesting party so that they can determine for themselves whether the documents are important in resolving the issues. </w:t>
      </w:r>
    </w:p>
  </w:footnote>
  <w:footnote w:id="205">
    <w:p w14:paraId="573EDDC9" w14:textId="77777777" w:rsidR="00AF6312" w:rsidRDefault="00AF6312" w:rsidP="00AF6312">
      <w:pPr>
        <w:pStyle w:val="FootnoteText"/>
        <w:jc w:val="both"/>
      </w:pPr>
      <w:r>
        <w:rPr>
          <w:rStyle w:val="FootnoteReference"/>
        </w:rPr>
        <w:footnoteRef/>
      </w:r>
      <w:r>
        <w:t xml:space="preserve"> </w:t>
      </w:r>
      <w:r>
        <w:rPr>
          <w:rFonts w:cs="Times New Roman"/>
          <w:color w:val="333333"/>
        </w:rPr>
        <w:t xml:space="preserve">Although incurring tens of millions of dollars of expense in ediscovery might arguably be acceptable as proportional to the case, it is not “inexpensive.”  Nor does it facilitate “speedy” determinations. And it is difficult to justify reviewing millions of inconsequential documents as “just” and “proportional to the needs of the case.”  </w:t>
      </w:r>
      <w:r w:rsidRPr="00AA4FCF">
        <w:rPr>
          <w:rFonts w:cs="Times New Roman"/>
        </w:rPr>
        <w:t xml:space="preserve">The Second Circuit’s admonition in </w:t>
      </w:r>
      <w:r w:rsidRPr="00AA4FCF">
        <w:rPr>
          <w:rFonts w:cs="Times New Roman"/>
          <w:i/>
          <w:iCs/>
        </w:rPr>
        <w:t>In re Repetitive Stress Injuries</w:t>
      </w:r>
      <w:r w:rsidRPr="00AA4FCF">
        <w:rPr>
          <w:rFonts w:cs="Times New Roman"/>
        </w:rPr>
        <w:t>, 11 F.3d 368 (2d Cir. 1993) in another context ring</w:t>
      </w:r>
      <w:r>
        <w:rPr>
          <w:rFonts w:cs="Times New Roman"/>
        </w:rPr>
        <w:t>s</w:t>
      </w:r>
      <w:r w:rsidRPr="00AA4FCF">
        <w:rPr>
          <w:rFonts w:cs="Times New Roman"/>
        </w:rPr>
        <w:t xml:space="preserve"> true in these circumstances: “A party may </w:t>
      </w:r>
      <w:r>
        <w:rPr>
          <w:rFonts w:cs="Times New Roman"/>
        </w:rPr>
        <w:t>n</w:t>
      </w:r>
      <w:r w:rsidRPr="00AA4FCF">
        <w:rPr>
          <w:rFonts w:cs="Times New Roman"/>
        </w:rPr>
        <w:t>ot use aggregation as a method of increasing the costs of its adversaries whether plaintiffs or defendants by forcing them to participate in discovery or other proceedings that are irrelevant to their case.  It may be that such increased costs would make settlement easier to achieve, but that would occur at the cost</w:t>
      </w:r>
      <w:r>
        <w:rPr>
          <w:rFonts w:cs="Times New Roman"/>
        </w:rPr>
        <w:t xml:space="preserve"> of</w:t>
      </w:r>
      <w:r w:rsidRPr="00AA4FCF">
        <w:rPr>
          <w:rFonts w:cs="Times New Roman"/>
        </w:rPr>
        <w:t xml:space="preserve"> fundamental fairness.”</w:t>
      </w:r>
    </w:p>
  </w:footnote>
  <w:footnote w:id="206">
    <w:p w14:paraId="21CF4DED" w14:textId="5E8C6106" w:rsidR="00AF6312" w:rsidRDefault="00AF6312" w:rsidP="00AF6312">
      <w:pPr>
        <w:pStyle w:val="FootnoteText"/>
        <w:jc w:val="both"/>
      </w:pPr>
      <w:r>
        <w:rPr>
          <w:rStyle w:val="FootnoteReference"/>
        </w:rPr>
        <w:footnoteRef/>
      </w:r>
      <w:r>
        <w:t xml:space="preserve"> </w:t>
      </w:r>
      <w:r>
        <w:rPr>
          <w:rFonts w:cs="Times New Roman"/>
          <w:szCs w:val="24"/>
        </w:rPr>
        <w:t xml:space="preserve">Rule 26(b)(1) requires that requested discovery be “proportional to the needs of the case” not “proportional to the case.”  </w:t>
      </w:r>
      <w:r w:rsidRPr="00514E6C">
        <w:rPr>
          <w:rFonts w:cs="Times New Roman"/>
          <w:szCs w:val="24"/>
        </w:rPr>
        <w:t xml:space="preserve">Limitless ediscovery </w:t>
      </w:r>
      <w:r>
        <w:rPr>
          <w:rFonts w:cs="Times New Roman"/>
          <w:szCs w:val="24"/>
        </w:rPr>
        <w:t xml:space="preserve">in mass-tort MDLs </w:t>
      </w:r>
      <w:r w:rsidRPr="00514E6C">
        <w:rPr>
          <w:rFonts w:cs="Times New Roman"/>
          <w:szCs w:val="24"/>
        </w:rPr>
        <w:t xml:space="preserve">is mistakenly justified on the basis of Rule 26(b)(1) proportionality grounds and flies in the face of Rule 1’s admonition to apply the rules to “secure the just, speedy, and inexpensive determination of every action and proceeding.” </w:t>
      </w:r>
      <w:r>
        <w:rPr>
          <w:rFonts w:cs="Times New Roman"/>
          <w:szCs w:val="24"/>
        </w:rPr>
        <w:t xml:space="preserve">Rule 26 was amended in 2015 </w:t>
      </w:r>
      <w:r>
        <w:rPr>
          <w:rFonts w:ascii="Open Sans" w:hAnsi="Open Sans" w:cs="Open Sans"/>
          <w:color w:val="333333"/>
          <w:shd w:val="clear" w:color="auto" w:fill="FFFFFF"/>
        </w:rPr>
        <w:t>“</w:t>
      </w:r>
      <w:r w:rsidRPr="00181A27">
        <w:rPr>
          <w:rFonts w:cs="Times New Roman"/>
          <w:color w:val="333333"/>
          <w:shd w:val="clear" w:color="auto" w:fill="FFFFFF"/>
        </w:rPr>
        <w:t xml:space="preserve">to guard against redundant or disproportionate discovery by giving the court authority to reduce the amount of discovery that may be directed to matters </w:t>
      </w:r>
      <w:r w:rsidRPr="00D83042">
        <w:rPr>
          <w:rFonts w:cs="Times New Roman"/>
          <w:i/>
          <w:iCs/>
          <w:color w:val="333333"/>
          <w:shd w:val="clear" w:color="auto" w:fill="FFFFFF"/>
        </w:rPr>
        <w:t>that are otherwise proper subjects of inquiry</w:t>
      </w:r>
      <w:r>
        <w:rPr>
          <w:rFonts w:cs="Times New Roman"/>
          <w:i/>
          <w:iCs/>
          <w:color w:val="333333"/>
          <w:shd w:val="clear" w:color="auto" w:fill="FFFFFF"/>
        </w:rPr>
        <w:t xml:space="preserve">” </w:t>
      </w:r>
      <w:r>
        <w:rPr>
          <w:rFonts w:cs="Times New Roman"/>
          <w:color w:val="333333"/>
          <w:shd w:val="clear" w:color="auto" w:fill="FFFFFF"/>
        </w:rPr>
        <w:t xml:space="preserve">(emphasis added); </w:t>
      </w:r>
      <w:r w:rsidRPr="00374119">
        <w:rPr>
          <w:rFonts w:cs="Times New Roman"/>
          <w:i/>
          <w:iCs/>
          <w:color w:val="333333"/>
          <w:shd w:val="clear" w:color="auto" w:fill="FFFFFF"/>
        </w:rPr>
        <w:t>see</w:t>
      </w:r>
      <w:r>
        <w:rPr>
          <w:rFonts w:cs="Times New Roman"/>
          <w:color w:val="333333"/>
          <w:shd w:val="clear" w:color="auto" w:fill="FFFFFF"/>
        </w:rPr>
        <w:t xml:space="preserve"> </w:t>
      </w:r>
      <w:r w:rsidR="001B7640">
        <w:t>FED. R. CIV. P.</w:t>
      </w:r>
      <w:r>
        <w:t xml:space="preserve"> 26(b)(1), Committee Note (2015).</w:t>
      </w:r>
    </w:p>
  </w:footnote>
  <w:footnote w:id="207">
    <w:p w14:paraId="28ED31C6" w14:textId="77777777" w:rsidR="00AF6312" w:rsidRDefault="00AF6312" w:rsidP="00AF6312">
      <w:pPr>
        <w:pStyle w:val="FootnoteText"/>
        <w:jc w:val="both"/>
      </w:pPr>
      <w:r>
        <w:rPr>
          <w:rStyle w:val="FootnoteReference"/>
        </w:rPr>
        <w:footnoteRef/>
      </w:r>
      <w:r>
        <w:t xml:space="preserve"> </w:t>
      </w:r>
      <w:r w:rsidRPr="00514E6C">
        <w:rPr>
          <w:rFonts w:eastAsia="Times New Roman" w:cs="Times New Roman"/>
          <w:color w:val="222222"/>
          <w:szCs w:val="24"/>
        </w:rPr>
        <w:t>In accordance with OPES, the parties should consider suggesting to the court in their report on discovery that ediscovery be limited to matter that is important in resolving the issues</w:t>
      </w:r>
    </w:p>
  </w:footnote>
  <w:footnote w:id="208">
    <w:p w14:paraId="2E9B4702" w14:textId="77777777" w:rsidR="00AF6312" w:rsidRDefault="00AF6312" w:rsidP="00AF6312">
      <w:pPr>
        <w:pStyle w:val="FootnoteText"/>
        <w:jc w:val="both"/>
      </w:pPr>
      <w:r>
        <w:rPr>
          <w:rStyle w:val="FootnoteReference"/>
        </w:rPr>
        <w:footnoteRef/>
      </w:r>
      <w:r>
        <w:t xml:space="preserve"> </w:t>
      </w:r>
      <w:r w:rsidRPr="007B3940">
        <w:rPr>
          <w:i/>
          <w:iCs/>
        </w:rPr>
        <w:t>See In re 3M Combat Arms Earplug Prod. Liab. Litig</w:t>
      </w:r>
      <w:r>
        <w:t>., MDL No. 2885, Pretrial Order No. 33, p.1 (April 24, 2020) (“Between June 2019 and April 2020, extensive corporate and government discovery took place.  In that time, Defendants produced more than 11 million documents” pursuant to a TAR protocol”). The court in a later order (Pretrial Order No. 44 (July 15, 2020) adopted the parties supplemental TAR protocol because they could not reach agreement regarding the number of relevant documents in the elusion test sample. The goal was to capture all “relevant” documents, even though 11 million documents had been ranked and produced. Perfection is not demanded under the rules. Nor is such a policy consistent with Rule 26(b)(1) proportionality principles, which exclude marginally relevant documents that are otherwise relevant.  Claims that such excessive discovery is appropriate because it is “proportional to the case” because the MDL involves thousands of actions and billions of dollars are misplaced.  The rule explicitly provides that discovery must be “proportional to the needs of the case,” a different criterion.</w:t>
      </w:r>
    </w:p>
  </w:footnote>
  <w:footnote w:id="209">
    <w:p w14:paraId="11B67960" w14:textId="3B9BE558" w:rsidR="00487D91" w:rsidRDefault="00487D91" w:rsidP="00487D91">
      <w:pPr>
        <w:pStyle w:val="FootnoteText"/>
        <w:jc w:val="both"/>
      </w:pPr>
      <w:r>
        <w:rPr>
          <w:rStyle w:val="FootnoteReference"/>
        </w:rPr>
        <w:footnoteRef/>
      </w:r>
      <w:r>
        <w:t xml:space="preserve"> </w:t>
      </w:r>
      <w:r w:rsidR="001B7640">
        <w:t>FED. R. CIV. P.</w:t>
      </w:r>
      <w:r>
        <w:t xml:space="preserve"> 26(f)(3)(C). </w:t>
      </w:r>
    </w:p>
  </w:footnote>
  <w:footnote w:id="210">
    <w:p w14:paraId="205B12D9" w14:textId="128E5BF1" w:rsidR="00487D91" w:rsidRDefault="00487D91" w:rsidP="00487D91">
      <w:pPr>
        <w:pStyle w:val="FootnoteText"/>
        <w:jc w:val="both"/>
      </w:pPr>
      <w:r>
        <w:rPr>
          <w:rStyle w:val="FootnoteReference"/>
        </w:rPr>
        <w:footnoteRef/>
      </w:r>
      <w:r>
        <w:t xml:space="preserve"> </w:t>
      </w:r>
      <w:r w:rsidR="001B7640">
        <w:t>FED. R. CIV. P.</w:t>
      </w:r>
      <w:r>
        <w:t xml:space="preserve"> 34(b)(1)(C), Committee Note (2006) (“Specification of the desired form or forms may facilitate the orderly, efficient, and cost effective discovery of electronically stored information.”).</w:t>
      </w:r>
    </w:p>
  </w:footnote>
  <w:footnote w:id="211">
    <w:p w14:paraId="60EED770" w14:textId="4C2E6DEB" w:rsidR="00487D91" w:rsidRDefault="00487D91" w:rsidP="00487D91">
      <w:pPr>
        <w:pStyle w:val="FootnoteText"/>
        <w:jc w:val="both"/>
      </w:pPr>
      <w:r>
        <w:rPr>
          <w:rStyle w:val="FootnoteReference"/>
        </w:rPr>
        <w:footnoteRef/>
      </w:r>
      <w:r>
        <w:t xml:space="preserve"> </w:t>
      </w:r>
      <w:r w:rsidR="001B7640">
        <w:t>FED. R. CIV. P.</w:t>
      </w:r>
      <w:r>
        <w:t xml:space="preserve"> 37(a)(2)(B).</w:t>
      </w:r>
    </w:p>
  </w:footnote>
  <w:footnote w:id="212">
    <w:p w14:paraId="45CBBDE7" w14:textId="0A988D4A" w:rsidR="00487D91" w:rsidRDefault="00487D91" w:rsidP="00487D91">
      <w:pPr>
        <w:pStyle w:val="FootnoteText"/>
        <w:jc w:val="both"/>
      </w:pPr>
      <w:r>
        <w:rPr>
          <w:rStyle w:val="FootnoteReference"/>
        </w:rPr>
        <w:footnoteRef/>
      </w:r>
      <w:r>
        <w:t xml:space="preserve"> </w:t>
      </w:r>
      <w:r w:rsidR="001B7640">
        <w:t>FED. R. CIV. P.</w:t>
      </w:r>
      <w:r>
        <w:t xml:space="preserve"> 34 (b), Committee Note 2006; s</w:t>
      </w:r>
      <w:r w:rsidRPr="00D54571">
        <w:rPr>
          <w:i/>
          <w:iCs/>
        </w:rPr>
        <w:t>ee Allergan Biocell Textured Breast Implant</w:t>
      </w:r>
      <w:r>
        <w:t xml:space="preserve"> </w:t>
      </w:r>
      <w:r w:rsidRPr="00817244">
        <w:rPr>
          <w:i/>
          <w:iCs/>
        </w:rPr>
        <w:t>Prod. Liab. Litig</w:t>
      </w:r>
      <w:r>
        <w:t>., MDL No. 2921, Doc. 127, p. 3 (June 5, 2020) (Letter brief in support of proposed ESI order submitted by plaintiffs explaining that Tiff-Plus format of Word document includes three components; (a) a static electronic image or picture of the document; (b) a text file that contains the words contained in the original Word Document (to make the image searchable); and (c) some, but not all, metadata from the original native file. Native-file format refers to the format in which the document was originally created and kept by the producing party in the ordinary course of business.).</w:t>
      </w:r>
    </w:p>
  </w:footnote>
  <w:footnote w:id="213">
    <w:p w14:paraId="34411512" w14:textId="77777777" w:rsidR="00487D91" w:rsidRDefault="00487D91" w:rsidP="00487D91">
      <w:pPr>
        <w:pStyle w:val="FootnoteText"/>
        <w:jc w:val="both"/>
      </w:pPr>
      <w:r>
        <w:rPr>
          <w:rStyle w:val="FootnoteReference"/>
        </w:rPr>
        <w:footnoteRef/>
      </w:r>
      <w:r>
        <w:t xml:space="preserve"> </w:t>
      </w:r>
      <w:r w:rsidRPr="009E2D78">
        <w:rPr>
          <w:i/>
          <w:iCs/>
        </w:rPr>
        <w:t>See The Sedona Principles</w:t>
      </w:r>
      <w:r>
        <w:t>, Third Editon (2018) (“The most common way to produce ESI for more than a decade has been to create a static electronic image in [TIFF], to place extracted text from the document into a text file, and to place the selected metadata and other non-apparent data into one or more separate load files.”).</w:t>
      </w:r>
    </w:p>
  </w:footnote>
  <w:footnote w:id="214">
    <w:p w14:paraId="3FD21853" w14:textId="7AD56557" w:rsidR="00487D91" w:rsidRDefault="00487D91" w:rsidP="00487D91">
      <w:pPr>
        <w:pStyle w:val="FootnoteText"/>
        <w:jc w:val="both"/>
      </w:pPr>
      <w:r>
        <w:rPr>
          <w:rStyle w:val="FootnoteReference"/>
        </w:rPr>
        <w:footnoteRef/>
      </w:r>
      <w:r>
        <w:t xml:space="preserve"> </w:t>
      </w:r>
      <w:r w:rsidR="009A5948">
        <w:t xml:space="preserve">Caselaw underscores the </w:t>
      </w:r>
      <w:r w:rsidR="009003F3">
        <w:t>unpredictability.</w:t>
      </w:r>
      <w:r w:rsidR="009003F3" w:rsidRPr="00E03591">
        <w:rPr>
          <w:i/>
          <w:iCs/>
        </w:rPr>
        <w:t xml:space="preserve"> See</w:t>
      </w:r>
      <w:r>
        <w:t xml:space="preserve"> </w:t>
      </w:r>
      <w:r w:rsidRPr="00D54571">
        <w:rPr>
          <w:i/>
          <w:iCs/>
        </w:rPr>
        <w:t>Allergan Biocell Textured Breast Implant</w:t>
      </w:r>
      <w:r>
        <w:t xml:space="preserve"> Prod. Liab. Litig., MDL No. 2921, Doc. 126, p. 6 (June 5, 2020) (</w:t>
      </w:r>
      <w:r w:rsidR="009003F3">
        <w:t>d</w:t>
      </w:r>
      <w:r>
        <w:t xml:space="preserve">efendant’s letter brief in support of TIFF-Image format listing </w:t>
      </w:r>
      <w:r w:rsidRPr="003E3564">
        <w:rPr>
          <w:i/>
          <w:iCs/>
        </w:rPr>
        <w:t>In re Ben</w:t>
      </w:r>
      <w:r>
        <w:rPr>
          <w:i/>
          <w:iCs/>
        </w:rPr>
        <w:t>i</w:t>
      </w:r>
      <w:r w:rsidRPr="003E3564">
        <w:rPr>
          <w:i/>
          <w:iCs/>
        </w:rPr>
        <w:t>car</w:t>
      </w:r>
      <w:r>
        <w:t xml:space="preserve">, MDL No. 2606; </w:t>
      </w:r>
      <w:r w:rsidRPr="003E3564">
        <w:rPr>
          <w:i/>
          <w:iCs/>
        </w:rPr>
        <w:t>In re Testosterone Replacement Therapy</w:t>
      </w:r>
      <w:r>
        <w:t xml:space="preserve">, MDL No. 2545, and </w:t>
      </w:r>
      <w:r w:rsidRPr="003E3564">
        <w:rPr>
          <w:i/>
          <w:iCs/>
        </w:rPr>
        <w:t>In re Avandia</w:t>
      </w:r>
      <w:r>
        <w:t xml:space="preserve">, MDL No.1871, which adopt TIFF-Plus Image form of production; </w:t>
      </w:r>
      <w:r w:rsidRPr="00BA6AC2">
        <w:rPr>
          <w:i/>
          <w:iCs/>
        </w:rPr>
        <w:t>see also</w:t>
      </w:r>
      <w:r>
        <w:t xml:space="preserve"> recent mass-tort MDLs using TIFF-Plus</w:t>
      </w:r>
      <w:r w:rsidRPr="00974813">
        <w:t xml:space="preserve"> </w:t>
      </w:r>
      <w:r>
        <w:t xml:space="preserve">Image, including </w:t>
      </w:r>
      <w:r w:rsidRPr="008F6755">
        <w:rPr>
          <w:i/>
          <w:iCs/>
        </w:rPr>
        <w:t>Juul Labs. Inc</w:t>
      </w:r>
      <w:r>
        <w:t xml:space="preserve">., MDL No. 2913; </w:t>
      </w:r>
      <w:r w:rsidRPr="00BA6AC2">
        <w:rPr>
          <w:i/>
          <w:iCs/>
        </w:rPr>
        <w:t>In re Paragard IUD</w:t>
      </w:r>
      <w:r>
        <w:t xml:space="preserve">, MDL No. 2974; </w:t>
      </w:r>
      <w:r w:rsidRPr="008F6755">
        <w:rPr>
          <w:i/>
          <w:iCs/>
        </w:rPr>
        <w:t>In re Bard Implanted Catheter</w:t>
      </w:r>
      <w:r>
        <w:t xml:space="preserve">, MDL No. 3081, and </w:t>
      </w:r>
      <w:r w:rsidRPr="008F6755">
        <w:rPr>
          <w:i/>
          <w:iCs/>
        </w:rPr>
        <w:t>Elmiron</w:t>
      </w:r>
      <w:r>
        <w:rPr>
          <w:i/>
          <w:iCs/>
        </w:rPr>
        <w:t>,</w:t>
      </w:r>
      <w:r>
        <w:t xml:space="preserve"> MDL No. 2973; </w:t>
      </w:r>
      <w:r w:rsidRPr="0047672C">
        <w:rPr>
          <w:i/>
          <w:iCs/>
        </w:rPr>
        <w:t>contra</w:t>
      </w:r>
      <w:r>
        <w:t xml:space="preserve"> </w:t>
      </w:r>
      <w:r w:rsidRPr="0047672C">
        <w:rPr>
          <w:i/>
          <w:iCs/>
        </w:rPr>
        <w:t>In re Proton-Pump Inhibitor</w:t>
      </w:r>
      <w:r>
        <w:t xml:space="preserve">, MDL No. 2789, </w:t>
      </w:r>
      <w:r w:rsidRPr="00C015EB">
        <w:rPr>
          <w:i/>
          <w:iCs/>
        </w:rPr>
        <w:t>3</w:t>
      </w:r>
      <w:r>
        <w:rPr>
          <w:i/>
          <w:iCs/>
        </w:rPr>
        <w:t>M</w:t>
      </w:r>
      <w:r w:rsidRPr="00C015EB">
        <w:rPr>
          <w:i/>
          <w:iCs/>
        </w:rPr>
        <w:t xml:space="preserve"> Combat Arms Earplug</w:t>
      </w:r>
      <w:r>
        <w:t xml:space="preserve">, MDL No. 2885, and </w:t>
      </w:r>
      <w:r w:rsidRPr="00C015EB">
        <w:rPr>
          <w:i/>
          <w:iCs/>
        </w:rPr>
        <w:t>In re Philips Recalled CPAP, Bi-Level PAP, and Mechanical Ventilator</w:t>
      </w:r>
      <w:r>
        <w:t>, MDL No. 3014.</w:t>
      </w:r>
      <w:r w:rsidRPr="00C015EB">
        <w:t xml:space="preserve"> </w:t>
      </w:r>
      <w:r>
        <w:t>which adopted native-file format).</w:t>
      </w:r>
    </w:p>
  </w:footnote>
  <w:footnote w:id="215">
    <w:p w14:paraId="79FBF83F" w14:textId="77777777" w:rsidR="00487D91" w:rsidRDefault="00487D91" w:rsidP="00487D91">
      <w:pPr>
        <w:pStyle w:val="FootnoteText"/>
        <w:jc w:val="both"/>
      </w:pPr>
      <w:r>
        <w:rPr>
          <w:rStyle w:val="FootnoteReference"/>
        </w:rPr>
        <w:footnoteRef/>
      </w:r>
      <w:r>
        <w:t xml:space="preserve"> </w:t>
      </w:r>
      <w:r w:rsidRPr="00D54571">
        <w:rPr>
          <w:i/>
          <w:iCs/>
        </w:rPr>
        <w:t>Allergan Biocell Textured Breast Implant</w:t>
      </w:r>
      <w:r>
        <w:t xml:space="preserve"> </w:t>
      </w:r>
      <w:r w:rsidRPr="00817244">
        <w:rPr>
          <w:i/>
          <w:iCs/>
        </w:rPr>
        <w:t>Prod. Liab. Litig</w:t>
      </w:r>
      <w:r>
        <w:t>., MDL No. 2921, Docs. 126, 127, 174, and 194 (2020).</w:t>
      </w:r>
    </w:p>
  </w:footnote>
  <w:footnote w:id="216">
    <w:p w14:paraId="526F8FC2" w14:textId="1FFC6DB3" w:rsidR="00487D91" w:rsidRDefault="00487D91" w:rsidP="00487D91">
      <w:pPr>
        <w:pStyle w:val="FootnoteText"/>
      </w:pPr>
      <w:r>
        <w:rPr>
          <w:rStyle w:val="FootnoteReference"/>
        </w:rPr>
        <w:footnoteRef/>
      </w:r>
      <w:r>
        <w:t xml:space="preserve"> </w:t>
      </w:r>
      <w:r w:rsidR="001B7640">
        <w:t>FED. R. CIV. P.</w:t>
      </w:r>
      <w:r>
        <w:t xml:space="preserve"> 16.1(b)(3)(C), effective December 1, 2025.</w:t>
      </w:r>
    </w:p>
  </w:footnote>
  <w:footnote w:id="217">
    <w:p w14:paraId="1CEADD85" w14:textId="24F8D34B" w:rsidR="00487D91" w:rsidRDefault="00487D91" w:rsidP="00487D91">
      <w:pPr>
        <w:pStyle w:val="FootnoteText"/>
      </w:pPr>
      <w:r>
        <w:rPr>
          <w:rStyle w:val="FootnoteReference"/>
        </w:rPr>
        <w:footnoteRef/>
      </w:r>
      <w:r>
        <w:t xml:space="preserve"> </w:t>
      </w:r>
      <w:r w:rsidR="001B7640">
        <w:t>FED. R. CIV. P.</w:t>
      </w:r>
      <w:r>
        <w:t xml:space="preserve"> 26(f)((3)(C) (Discovery plan must state the parties’ views and proposals on: “any issues about ... discovery... including the form or forms” of electronically stored information that should be produced).</w:t>
      </w:r>
    </w:p>
  </w:footnote>
  <w:footnote w:id="218">
    <w:p w14:paraId="7940FB33" w14:textId="77777777" w:rsidR="00487D91" w:rsidRDefault="00487D91" w:rsidP="00487D91">
      <w:pPr>
        <w:pStyle w:val="FootnoteText"/>
        <w:jc w:val="both"/>
      </w:pPr>
      <w:r>
        <w:rPr>
          <w:rStyle w:val="FootnoteReference"/>
        </w:rPr>
        <w:footnoteRef/>
      </w:r>
      <w:r>
        <w:t xml:space="preserve"> Many ESI protocols require that all TIFF production images be provided as a black-and-white, single-page Group IV TIFF of at least 300 DPI resolution with corresponding multi-page text and necessary load files. </w:t>
      </w:r>
      <w:r w:rsidRPr="00140E2A">
        <w:rPr>
          <w:i/>
          <w:iCs/>
        </w:rPr>
        <w:t>See</w:t>
      </w:r>
      <w:r>
        <w:t xml:space="preserve">, for example, </w:t>
      </w:r>
      <w:r w:rsidRPr="005D7FE9">
        <w:rPr>
          <w:i/>
          <w:iCs/>
        </w:rPr>
        <w:t>In Re Paragard IUD</w:t>
      </w:r>
      <w:r>
        <w:t xml:space="preserve"> MDL No. 2974, Case-Management Order Regarding Production of Electronically Stored Information and Paper, Doc. 128 (June 14, 2021).</w:t>
      </w:r>
    </w:p>
  </w:footnote>
  <w:footnote w:id="219">
    <w:p w14:paraId="4CF1C318" w14:textId="2B9083FF" w:rsidR="00487D91" w:rsidRDefault="00487D91" w:rsidP="00487D91">
      <w:pPr>
        <w:pStyle w:val="FootnoteText"/>
        <w:jc w:val="both"/>
      </w:pPr>
      <w:r>
        <w:rPr>
          <w:rStyle w:val="FootnoteReference"/>
        </w:rPr>
        <w:footnoteRef/>
      </w:r>
      <w:r>
        <w:t xml:space="preserve"> </w:t>
      </w:r>
      <w:r w:rsidR="001B7640">
        <w:t>FED. R. CIV. P.</w:t>
      </w:r>
      <w:r>
        <w:t xml:space="preserve"> 34(b), Committee Note (2006) (“Rule 34(a) requires that, if necessary, a responding party ‘translate’ information it produces into a ‘reasonably usable’ form.  Under some circumstances, the responding party may need to provide some reasonable amount of technical support, information on application software, or other reasonable assistance to enable the requesting party to use the information. ... Some electronically stored information may be ordinarily maintained in a form that is not reasonably usable by any party.  One example is ‘legacy’ data that can be used only by superseded systems.”) </w:t>
      </w:r>
    </w:p>
  </w:footnote>
  <w:footnote w:id="220">
    <w:p w14:paraId="71C56157" w14:textId="3253CF57" w:rsidR="00AF6312" w:rsidRDefault="00AF6312" w:rsidP="00AF6312">
      <w:pPr>
        <w:pStyle w:val="FootnoteText"/>
      </w:pPr>
      <w:r>
        <w:rPr>
          <w:rStyle w:val="FootnoteReference"/>
        </w:rPr>
        <w:footnoteRef/>
      </w:r>
      <w:r>
        <w:t xml:space="preserve"> </w:t>
      </w:r>
      <w:r w:rsidR="001B7640">
        <w:t>FED. R. CIV. P.</w:t>
      </w:r>
      <w:r>
        <w:t xml:space="preserve"> 34(b), Committee Note (2006).</w:t>
      </w:r>
    </w:p>
  </w:footnote>
  <w:footnote w:id="221">
    <w:p w14:paraId="3C343B58" w14:textId="77777777" w:rsidR="00AF6312" w:rsidRDefault="00AF6312" w:rsidP="00AF6312">
      <w:pPr>
        <w:pStyle w:val="FootnoteText"/>
        <w:jc w:val="both"/>
      </w:pPr>
      <w:r>
        <w:rPr>
          <w:rStyle w:val="FootnoteReference"/>
        </w:rPr>
        <w:footnoteRef/>
      </w:r>
      <w:r>
        <w:t xml:space="preserve"> See </w:t>
      </w:r>
      <w:r w:rsidRPr="005D7FE9">
        <w:rPr>
          <w:i/>
          <w:iCs/>
        </w:rPr>
        <w:t>In Re Paragard IUD</w:t>
      </w:r>
      <w:r>
        <w:t xml:space="preserve"> MDL No. 2974, Case-Management Order Regarding Production of Electronically Stored Information and Paper, Doc. 128, p.5 (June 14, 2021) (“”Hidden content, tracked changes, edits, comments, notes, and other similar information viewable within the native file shall, to the extent reasonably practicable, also be imaged so that the information is captured on the produced image file.”).</w:t>
      </w:r>
    </w:p>
  </w:footnote>
  <w:footnote w:id="222">
    <w:p w14:paraId="3AD578CF" w14:textId="77777777" w:rsidR="00AF6312" w:rsidRDefault="00AF6312" w:rsidP="00AF6312">
      <w:pPr>
        <w:pStyle w:val="FootnoteText"/>
        <w:jc w:val="both"/>
      </w:pPr>
      <w:r>
        <w:rPr>
          <w:rStyle w:val="FootnoteReference"/>
        </w:rPr>
        <w:footnoteRef/>
      </w:r>
      <w:r>
        <w:t xml:space="preserve"> </w:t>
      </w:r>
      <w:r w:rsidRPr="00D76D39">
        <w:rPr>
          <w:i/>
          <w:iCs/>
        </w:rPr>
        <w:t>See</w:t>
      </w:r>
      <w:r>
        <w:t xml:space="preserve"> </w:t>
      </w:r>
      <w:r w:rsidRPr="00B964ED">
        <w:rPr>
          <w:i/>
          <w:iCs/>
        </w:rPr>
        <w:t>In Re: Allergan Biocell Textured Breast Implant</w:t>
      </w:r>
      <w:r>
        <w:t xml:space="preserve"> MDL No. 2921, Case Management Order No. 15, Doc. 194, p. 3 (September 4, 2020); </w:t>
      </w:r>
      <w:r w:rsidRPr="003D3E23">
        <w:rPr>
          <w:i/>
          <w:iCs/>
        </w:rPr>
        <w:t>see also In Re: Elmiron (Pentosan Polysulfate Sodium</w:t>
      </w:r>
      <w:r>
        <w:t>) MDL No. 2973, Case Management Order No. 6, Doc. 2-8, p. 2 (December 18, 2020).</w:t>
      </w:r>
    </w:p>
  </w:footnote>
  <w:footnote w:id="223">
    <w:p w14:paraId="2A886EDF" w14:textId="77777777" w:rsidR="00AF6312" w:rsidRPr="00EE70F2" w:rsidRDefault="00AF6312" w:rsidP="00AF6312">
      <w:pPr>
        <w:pStyle w:val="FootnoteText"/>
        <w:rPr>
          <w:rFonts w:cs="Times New Roman"/>
        </w:rPr>
      </w:pPr>
      <w:r>
        <w:rPr>
          <w:rStyle w:val="FootnoteReference"/>
        </w:rPr>
        <w:footnoteRef/>
      </w:r>
      <w:r>
        <w:t xml:space="preserve"> </w:t>
      </w:r>
      <w:r w:rsidRPr="00EE70F2">
        <w:rPr>
          <w:rFonts w:cs="Times New Roman"/>
          <w:i/>
          <w:iCs/>
        </w:rPr>
        <w:t>See</w:t>
      </w:r>
      <w:r>
        <w:t xml:space="preserve"> </w:t>
      </w:r>
      <w:r w:rsidRPr="00EE70F2">
        <w:rPr>
          <w:rFonts w:cs="Times New Roman"/>
        </w:rPr>
        <w:t>Optimum Proportionality eDiscovery Standard, Guideline 1, Rabiej Litigation Law Center (2024) at https://rabiejcenter.org/best-practices/ediscovery/.</w:t>
      </w:r>
    </w:p>
  </w:footnote>
  <w:footnote w:id="224">
    <w:p w14:paraId="4F123A67" w14:textId="1D70C0C4" w:rsidR="00AF6312" w:rsidRDefault="00AF6312" w:rsidP="00AF6312">
      <w:pPr>
        <w:pStyle w:val="FootnoteText"/>
        <w:jc w:val="both"/>
      </w:pPr>
      <w:r>
        <w:rPr>
          <w:rStyle w:val="FootnoteReference"/>
        </w:rPr>
        <w:footnoteRef/>
      </w:r>
      <w:r>
        <w:t xml:space="preserve"> </w:t>
      </w:r>
      <w:r w:rsidR="001B7640">
        <w:t>FED. R. CIV. P.</w:t>
      </w:r>
      <w:r>
        <w:t xml:space="preserve"> 26(f)(3)(C) (“A discovery plan must state the parties’ views and proposals on any issues about disclosure, discovery, or preservation of electronically stored information, including the form or forms in which it should be produced; any issues about claims or privileges or of protection as trial preparation materials, including – if the parties agree on a procedure to assert these claims after production – whether to ask the court to include their agreement in an order under Federal Rules of Evidence 502 ....”).</w:t>
      </w:r>
    </w:p>
  </w:footnote>
  <w:footnote w:id="225">
    <w:p w14:paraId="09574FA6" w14:textId="533FB06F" w:rsidR="00AF6312" w:rsidRDefault="00AF6312" w:rsidP="00AF6312">
      <w:pPr>
        <w:pStyle w:val="FootnoteText"/>
      </w:pPr>
      <w:r>
        <w:rPr>
          <w:rStyle w:val="FootnoteReference"/>
        </w:rPr>
        <w:footnoteRef/>
      </w:r>
      <w:r>
        <w:t xml:space="preserve"> </w:t>
      </w:r>
      <w:r w:rsidRPr="00815AD6">
        <w:rPr>
          <w:i/>
          <w:iCs/>
        </w:rPr>
        <w:t>See</w:t>
      </w:r>
      <w:r>
        <w:t xml:space="preserve"> </w:t>
      </w:r>
      <w:r w:rsidR="001B7640">
        <w:t>FED. R. CIV. P.</w:t>
      </w:r>
      <w:r>
        <w:t xml:space="preserve"> 26(f)2) (parties are to submit “to the court within 14 days after the conference a written report outlining the plan”).</w:t>
      </w:r>
    </w:p>
  </w:footnote>
  <w:footnote w:id="226">
    <w:p w14:paraId="759738B1" w14:textId="77777777" w:rsidR="00AF6312" w:rsidRPr="003E680A" w:rsidRDefault="00AF6312" w:rsidP="00AF6312">
      <w:pPr>
        <w:pStyle w:val="FootnoteText"/>
        <w:jc w:val="both"/>
        <w:rPr>
          <w:rFonts w:cs="Times New Roman"/>
        </w:rPr>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2 (Sept. 19, 2023) (court ordered parties to prepare proposed protective order, including Fed. R. Evid. 502 provisions, and proposed preservation order five weeks after initial-management conference).</w:t>
      </w:r>
    </w:p>
  </w:footnote>
  <w:footnote w:id="227">
    <w:p w14:paraId="4566D0A4" w14:textId="77777777" w:rsidR="00AF6312" w:rsidRPr="00867D72" w:rsidRDefault="00AF6312" w:rsidP="00AF6312">
      <w:pPr>
        <w:pStyle w:val="FootnoteText"/>
        <w:jc w:val="both"/>
        <w:rPr>
          <w:rFonts w:cs="Times New Roman"/>
        </w:rPr>
      </w:pPr>
      <w:r>
        <w:rPr>
          <w:rStyle w:val="FootnoteReference"/>
        </w:rPr>
        <w:footnoteRef/>
      </w:r>
      <w:r>
        <w:t xml:space="preserve"> </w:t>
      </w:r>
      <w:r w:rsidRPr="00867D72">
        <w:rPr>
          <w:rFonts w:cs="Times New Roman"/>
          <w:smallCaps/>
        </w:rPr>
        <w:t>Advice to a</w:t>
      </w:r>
      <w:r w:rsidRPr="00867D72">
        <w:rPr>
          <w:rFonts w:cs="Times New Roman"/>
        </w:rPr>
        <w:t xml:space="preserve"> </w:t>
      </w:r>
      <w:r w:rsidRPr="00867D72">
        <w:rPr>
          <w:rFonts w:cs="Times New Roman"/>
          <w:smallCaps/>
        </w:rPr>
        <w:t>New MDL Judge on Discovery management</w:t>
      </w:r>
      <w:r w:rsidRPr="00867D72">
        <w:rPr>
          <w:rFonts w:cs="Times New Roman"/>
        </w:rPr>
        <w:t>, Judge David Campbell &amp; Jeffrey Kilmark, 89.4 UMKC Law Review 889 (2021). The items were recommended by Judge David Campbell, former chair of the Advisory Committee on Civil Rules</w:t>
      </w:r>
      <w:r>
        <w:rPr>
          <w:rFonts w:cs="Times New Roman"/>
        </w:rPr>
        <w:t xml:space="preserve">, former chair of the Committee on Rules of Practice and Procedure, </w:t>
      </w:r>
      <w:r w:rsidRPr="00867D72">
        <w:rPr>
          <w:rFonts w:cs="Times New Roman"/>
        </w:rPr>
        <w:t>and preeminent jurist in a law review article</w:t>
      </w:r>
      <w:r>
        <w:rPr>
          <w:rFonts w:cs="Times New Roman"/>
        </w:rPr>
        <w:t>; s</w:t>
      </w:r>
      <w:r w:rsidRPr="0060162F">
        <w:rPr>
          <w:rFonts w:cs="Times New Roman"/>
          <w:i/>
          <w:iCs/>
        </w:rPr>
        <w:t>ee</w:t>
      </w:r>
      <w:r>
        <w:rPr>
          <w:rFonts w:cs="Times New Roman"/>
          <w:i/>
          <w:iCs/>
        </w:rPr>
        <w:t xml:space="preserve"> also</w:t>
      </w:r>
      <w:r w:rsidRPr="0060162F">
        <w:rPr>
          <w:rFonts w:cs="Times New Roman"/>
          <w:i/>
          <w:iCs/>
        </w:rPr>
        <w:t xml:space="preserve"> In Re: Bard Implanted </w:t>
      </w:r>
      <w:r>
        <w:rPr>
          <w:rFonts w:cs="Times New Roman"/>
          <w:i/>
          <w:iCs/>
        </w:rPr>
        <w:t>P</w:t>
      </w:r>
      <w:r w:rsidRPr="0060162F">
        <w:rPr>
          <w:rFonts w:cs="Times New Roman"/>
          <w:i/>
          <w:iCs/>
        </w:rPr>
        <w:t>ort Catheter Prod. Liab. Litig</w:t>
      </w:r>
      <w:r>
        <w:rPr>
          <w:rFonts w:cs="Times New Roman"/>
        </w:rPr>
        <w:t>., MDL No. 3081, Case Management Order No. 19 (April 4, 2024) (case-management order containing privilege-log protocol).</w:t>
      </w:r>
    </w:p>
  </w:footnote>
  <w:footnote w:id="228">
    <w:p w14:paraId="7EA8D150" w14:textId="77777777" w:rsidR="009602B5" w:rsidRDefault="009602B5" w:rsidP="009602B5">
      <w:pPr>
        <w:pStyle w:val="FootnoteText"/>
        <w:jc w:val="both"/>
      </w:pPr>
      <w:r>
        <w:rPr>
          <w:rStyle w:val="FootnoteReference"/>
        </w:rPr>
        <w:footnoteRef/>
      </w:r>
      <w:r>
        <w:t xml:space="preserve"> </w:t>
      </w:r>
      <w:r>
        <w:rPr>
          <w:rFonts w:cs="Times New Roman"/>
        </w:rPr>
        <w:t>S</w:t>
      </w:r>
      <w:r w:rsidRPr="0060162F">
        <w:rPr>
          <w:rFonts w:cs="Times New Roman"/>
          <w:i/>
          <w:iCs/>
        </w:rPr>
        <w:t>ee</w:t>
      </w:r>
      <w:r>
        <w:rPr>
          <w:rFonts w:cs="Times New Roman"/>
          <w:i/>
          <w:iCs/>
        </w:rPr>
        <w:t xml:space="preserve"> </w:t>
      </w:r>
      <w:r w:rsidRPr="0060162F">
        <w:rPr>
          <w:rFonts w:cs="Times New Roman"/>
          <w:i/>
          <w:iCs/>
        </w:rPr>
        <w:t xml:space="preserve">In Re: Bard Implanted </w:t>
      </w:r>
      <w:r>
        <w:rPr>
          <w:rFonts w:cs="Times New Roman"/>
          <w:i/>
          <w:iCs/>
        </w:rPr>
        <w:t>P</w:t>
      </w:r>
      <w:r w:rsidRPr="0060162F">
        <w:rPr>
          <w:rFonts w:cs="Times New Roman"/>
          <w:i/>
          <w:iCs/>
        </w:rPr>
        <w:t>ort Catheter Prod. Liab. Litig</w:t>
      </w:r>
      <w:r>
        <w:rPr>
          <w:rFonts w:cs="Times New Roman"/>
        </w:rPr>
        <w:t>., MDL No. 3081, Case Management Order No. 11 (Nov. 22, 2023) (example of protective order involving a medical-device product).</w:t>
      </w:r>
    </w:p>
  </w:footnote>
  <w:footnote w:id="229">
    <w:p w14:paraId="2D72E2EC" w14:textId="77777777" w:rsidR="009602B5" w:rsidRDefault="009602B5" w:rsidP="009602B5">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12, pp. 15-16 (Nov. 22, 2023) (case-management order containing ESI Order – “The Parties acknowledge that prior to consolidation of this MDL, Defendants previously collected, processed and produced Documents and ESI in other Implantable Port Products liability litigation that may be of interest in this matter. The parties shall meet and confer regarding the scope of Documents or ESI Defendants will produce in this Action. Defendants shall not be required or obligated to redo or reproduce such discovery to the extent there are differences between the order governing the prior production and this Order.”)</w:t>
      </w:r>
    </w:p>
  </w:footnote>
  <w:footnote w:id="230">
    <w:p w14:paraId="2B785120" w14:textId="08BA8692" w:rsidR="009602B5" w:rsidRDefault="009602B5" w:rsidP="009602B5">
      <w:pPr>
        <w:pStyle w:val="FootnoteText"/>
        <w:jc w:val="both"/>
      </w:pPr>
      <w:r>
        <w:rPr>
          <w:rStyle w:val="FootnoteReference"/>
        </w:rPr>
        <w:footnoteRef/>
      </w:r>
      <w:r>
        <w:t xml:space="preserve"> </w:t>
      </w:r>
      <w:r w:rsidR="001B7640">
        <w:t>FED. R. CIV. P.</w:t>
      </w:r>
      <w:r>
        <w:t xml:space="preserve"> 26(b)(5) (When a party withholds discoverable information based on a claim of  privilege, “the party must: (i) expressly make the claim; and (ii) describe the nature of the documents, communications, or tangible things not produced or disclosed – and do so in a manner that, without revealing information itself privileged or protected, will enable other parties to assess the claim.”); </w:t>
      </w:r>
      <w:r w:rsidRPr="000B49FF">
        <w:rPr>
          <w:i/>
          <w:iCs/>
        </w:rPr>
        <w:t>see</w:t>
      </w:r>
      <w:r>
        <w:t xml:space="preserve"> John J. Rosenthal, Winston &amp; Strawn, LLP, Comment to Proposed Amendments to the Federal Rules of Civil Procedure on Privilege Logging (Administrative Office of United States Courts, USC-Rules-CV-2023-0003-0039 (February 14, 2024) (“The single largest cost component in any civil litigation is discovery, often comprising more than 50% of the overall costs.  Of that number, the review of ESI for production is the largest cost component of discovery, often comprising more than 30% to 60% of the cost. In turn, the review and logging of documents withheld on the basis of privilege presents the largest cost of document review.”)</w:t>
      </w:r>
    </w:p>
  </w:footnote>
  <w:footnote w:id="231">
    <w:p w14:paraId="41CD06DA" w14:textId="2082A537" w:rsidR="009602B5" w:rsidRDefault="009602B5" w:rsidP="009602B5">
      <w:pPr>
        <w:pStyle w:val="FootnoteText"/>
        <w:jc w:val="both"/>
      </w:pPr>
      <w:r>
        <w:rPr>
          <w:rStyle w:val="FootnoteReference"/>
        </w:rPr>
        <w:footnoteRef/>
      </w:r>
      <w:r>
        <w:t xml:space="preserve"> </w:t>
      </w:r>
      <w:r w:rsidR="001B7640">
        <w:t>FED. R. CIV. P.</w:t>
      </w:r>
      <w:r>
        <w:t xml:space="preserve"> 26(b)(5), Committee Note (1993) (“The rule does not attempt to define for each case what information must be provided when a party asserts a claim of privilege or work-product protection.  Details concerning time, persons, general subject matter, etc., may be appropriate if only a few items are withheld, but may be unduly burdensome when voluminous documents are claimed to be privileged or protected, particularly if the items can be described in categories.”)</w:t>
      </w:r>
    </w:p>
  </w:footnote>
  <w:footnote w:id="232">
    <w:p w14:paraId="718CA4F2" w14:textId="2659CC58" w:rsidR="009602B5" w:rsidRDefault="009602B5" w:rsidP="009602B5">
      <w:pPr>
        <w:pStyle w:val="FootnoteText"/>
        <w:jc w:val="both"/>
      </w:pPr>
      <w:r>
        <w:rPr>
          <w:rStyle w:val="FootnoteReference"/>
        </w:rPr>
        <w:footnoteRef/>
      </w:r>
      <w:r>
        <w:t xml:space="preserve"> </w:t>
      </w:r>
      <w:r w:rsidR="001B7640">
        <w:t>FED. R. CIV. P.</w:t>
      </w:r>
      <w:r>
        <w:t xml:space="preserve"> 26(f)(3)(D).</w:t>
      </w:r>
    </w:p>
  </w:footnote>
  <w:footnote w:id="233">
    <w:p w14:paraId="3BA0CA41" w14:textId="77777777" w:rsidR="009602B5" w:rsidRDefault="009602B5" w:rsidP="009602B5">
      <w:pPr>
        <w:pStyle w:val="FootnoteText"/>
        <w:jc w:val="both"/>
      </w:pPr>
      <w:r>
        <w:rPr>
          <w:rStyle w:val="FootnoteReference"/>
        </w:rPr>
        <w:footnoteRef/>
      </w:r>
      <w:r>
        <w:t xml:space="preserve"> </w:t>
      </w:r>
      <w:r w:rsidRPr="002C600F">
        <w:rPr>
          <w:i/>
          <w:iCs/>
        </w:rPr>
        <w:t xml:space="preserve">See In re: Bard Implanted Port Catheter </w:t>
      </w:r>
      <w:r>
        <w:rPr>
          <w:i/>
          <w:iCs/>
        </w:rPr>
        <w:t>P</w:t>
      </w:r>
      <w:r w:rsidRPr="002C600F">
        <w:rPr>
          <w:i/>
          <w:iCs/>
        </w:rPr>
        <w:t>rod. Liab. Litig</w:t>
      </w:r>
      <w:r>
        <w:t>., MDL No. 3081, Privilege Log Protocol, Doc. 528 (April 4, 2024).</w:t>
      </w:r>
    </w:p>
  </w:footnote>
  <w:footnote w:id="234">
    <w:p w14:paraId="227C00A6" w14:textId="77777777" w:rsidR="009602B5" w:rsidRDefault="009602B5" w:rsidP="009602B5">
      <w:pPr>
        <w:pStyle w:val="FootnoteText"/>
        <w:jc w:val="both"/>
      </w:pPr>
      <w:r>
        <w:rPr>
          <w:rStyle w:val="FootnoteReference"/>
        </w:rPr>
        <w:footnoteRef/>
      </w:r>
      <w:r>
        <w:t xml:space="preserve"> </w:t>
      </w:r>
      <w:r w:rsidRPr="006F69D8">
        <w:rPr>
          <w:i/>
          <w:iCs/>
        </w:rPr>
        <w:t>See In re: Elmiron (Pentosan Polysulfate Sodium) Prod. Liab. Litig</w:t>
      </w:r>
      <w:r>
        <w:t>., MDL No. 2973, Case Management Order to Govern Privileged Materials and Privilege Logs, Doc. 2-5, p. 2 (December 18, 2020).</w:t>
      </w:r>
    </w:p>
  </w:footnote>
  <w:footnote w:id="235">
    <w:p w14:paraId="0A319C67" w14:textId="77777777" w:rsidR="009602B5" w:rsidRDefault="009602B5" w:rsidP="009602B5">
      <w:pPr>
        <w:pStyle w:val="FootnoteText"/>
        <w:jc w:val="both"/>
      </w:pPr>
      <w:r>
        <w:rPr>
          <w:rStyle w:val="FootnoteReference"/>
        </w:rPr>
        <w:footnoteRef/>
      </w:r>
      <w:r>
        <w:t xml:space="preserve"> </w:t>
      </w:r>
      <w:r w:rsidRPr="005D0AEB">
        <w:rPr>
          <w:i/>
          <w:iCs/>
        </w:rPr>
        <w:t>See In re: Paragard IUD</w:t>
      </w:r>
      <w:r>
        <w:t>, Prod. Liab. Litig., MDL No. 2974, ESI Protocol, Doc. 128, p. 2 (June 14, 2021) (“Objective metadata includes where available: i. a unique privilege log identifier ii. Custodian iii. Custodian Other or Custodian All (if applicable) iv. File Name v. Email Subject vi. Author vii. From viii. To ix. CC x. BCC xi. Date Sent xii. Date Received xiii. Date Created”).</w:t>
      </w:r>
    </w:p>
  </w:footnote>
  <w:footnote w:id="236">
    <w:p w14:paraId="2C49C275" w14:textId="77777777" w:rsidR="009602B5" w:rsidRDefault="009602B5" w:rsidP="009602B5">
      <w:pPr>
        <w:pStyle w:val="FootnoteText"/>
        <w:jc w:val="both"/>
      </w:pPr>
      <w:r>
        <w:rPr>
          <w:rStyle w:val="FootnoteReference"/>
        </w:rPr>
        <w:footnoteRef/>
      </w:r>
      <w:r>
        <w:t xml:space="preserve"> </w:t>
      </w:r>
      <w:r w:rsidRPr="007024F9">
        <w:rPr>
          <w:i/>
          <w:iCs/>
        </w:rPr>
        <w:t>See In re: Philips Recalled CPAP, Bi-Level PAP, and Mechanical Ventilator Prod. Liab., Litig</w:t>
      </w:r>
      <w:r>
        <w:t>., MDL No. 3014, Pretrial Order #19, Stipulated Order Governing Privilege Log Protocol, Doc. 661, pp.2-3 (July 21, 2022).</w:t>
      </w:r>
    </w:p>
  </w:footnote>
  <w:footnote w:id="237">
    <w:p w14:paraId="24B5CE55" w14:textId="77777777" w:rsidR="009602B5" w:rsidRDefault="009602B5" w:rsidP="009602B5">
      <w:pPr>
        <w:pStyle w:val="FootnoteText"/>
        <w:jc w:val="both"/>
      </w:pPr>
      <w:r>
        <w:rPr>
          <w:rStyle w:val="FootnoteReference"/>
        </w:rPr>
        <w:footnoteRef/>
      </w:r>
      <w:r>
        <w:t xml:space="preserve"> John J. Rosenthal, Winston &amp; Strawn, LLP, Comment to Proposed Amendments to the Federal Rules of Civil Procedure on Privilege Logging (Administrative Office of United States Courts, USC-Rules-CV-2023-0003-0039 (February 14, 2024).</w:t>
      </w:r>
    </w:p>
  </w:footnote>
  <w:footnote w:id="238">
    <w:p w14:paraId="09EF2D51" w14:textId="77777777" w:rsidR="00AF6312" w:rsidRPr="00867D72" w:rsidRDefault="00AF6312" w:rsidP="00AF6312">
      <w:pPr>
        <w:pStyle w:val="FootnoteText"/>
        <w:jc w:val="both"/>
        <w:rPr>
          <w:rFonts w:cs="Times New Roman"/>
        </w:rPr>
      </w:pPr>
      <w:r w:rsidRPr="00867D72">
        <w:rPr>
          <w:rStyle w:val="FootnoteReference"/>
          <w:rFonts w:cs="Times New Roman"/>
        </w:rPr>
        <w:footnoteRef/>
      </w:r>
      <w:r w:rsidRPr="00867D72">
        <w:rPr>
          <w:rFonts w:cs="Times New Roman"/>
        </w:rPr>
        <w:t xml:space="preserve"> </w:t>
      </w:r>
      <w:r w:rsidRPr="00867D72">
        <w:rPr>
          <w:rFonts w:cs="Times New Roman"/>
          <w:i/>
          <w:iCs/>
        </w:rPr>
        <w:t>In re: Roundup Products Liability Litigation</w:t>
      </w:r>
      <w:r w:rsidRPr="00867D72">
        <w:rPr>
          <w:rFonts w:cs="Times New Roman"/>
        </w:rPr>
        <w:t xml:space="preserve"> (MDL No. 2741); </w:t>
      </w:r>
      <w:r w:rsidRPr="00867D72">
        <w:rPr>
          <w:rFonts w:cs="Times New Roman"/>
          <w:i/>
          <w:iCs/>
        </w:rPr>
        <w:t>In re: Johnson &amp; Johnson Talcum Powder Litigation</w:t>
      </w:r>
      <w:r w:rsidRPr="00867D72">
        <w:rPr>
          <w:rFonts w:cs="Times New Roman"/>
        </w:rPr>
        <w:t xml:space="preserve"> (MDL No. 2738).</w:t>
      </w:r>
    </w:p>
  </w:footnote>
  <w:footnote w:id="239">
    <w:p w14:paraId="37AA3346" w14:textId="77777777" w:rsidR="00AF6312" w:rsidRPr="00867D72" w:rsidRDefault="00AF6312" w:rsidP="00AF6312">
      <w:pPr>
        <w:pStyle w:val="FootnoteText"/>
        <w:jc w:val="both"/>
        <w:rPr>
          <w:rFonts w:cs="Times New Roman"/>
        </w:rPr>
      </w:pPr>
      <w:r w:rsidRPr="00867D72">
        <w:rPr>
          <w:rStyle w:val="FootnoteReference"/>
          <w:rFonts w:cs="Times New Roman"/>
        </w:rPr>
        <w:footnoteRef/>
      </w:r>
      <w:r w:rsidRPr="00867D72">
        <w:rPr>
          <w:rFonts w:cs="Times New Roman"/>
        </w:rPr>
        <w:t xml:space="preserve"> </w:t>
      </w:r>
      <w:r w:rsidRPr="0004760C">
        <w:rPr>
          <w:rFonts w:cs="Times New Roman"/>
          <w:i/>
          <w:iCs/>
        </w:rPr>
        <w:t>See</w:t>
      </w:r>
      <w:r>
        <w:rPr>
          <w:rFonts w:cs="Times New Roman"/>
        </w:rPr>
        <w:t xml:space="preserve"> </w:t>
      </w:r>
      <w:r w:rsidRPr="00A202CF">
        <w:rPr>
          <w:rFonts w:cs="Times New Roman"/>
          <w:smallCaps/>
        </w:rPr>
        <w:t>Manual for Complex Litigation,</w:t>
      </w:r>
      <w:r>
        <w:rPr>
          <w:rFonts w:cs="Times New Roman"/>
        </w:rPr>
        <w:t xml:space="preserve"> § 22.35 (4</w:t>
      </w:r>
      <w:r w:rsidRPr="0004760C">
        <w:rPr>
          <w:rFonts w:cs="Times New Roman"/>
          <w:vertAlign w:val="superscript"/>
        </w:rPr>
        <w:t>th</w:t>
      </w:r>
      <w:r>
        <w:rPr>
          <w:rFonts w:cs="Times New Roman"/>
        </w:rPr>
        <w:t xml:space="preserve"> Ed.2004); </w:t>
      </w:r>
      <w:r w:rsidRPr="0004760C">
        <w:rPr>
          <w:rFonts w:cs="Times New Roman"/>
          <w:i/>
          <w:iCs/>
        </w:rPr>
        <w:t>see also</w:t>
      </w:r>
      <w:r>
        <w:rPr>
          <w:rFonts w:cs="Times New Roman"/>
        </w:rPr>
        <w:t xml:space="preserve">, </w:t>
      </w:r>
      <w:r w:rsidRPr="00867D72">
        <w:rPr>
          <w:rFonts w:cs="Times New Roman"/>
          <w:i/>
          <w:iCs/>
        </w:rPr>
        <w:t>In re: Social Media Adolescent Addiction/Personal Injury Products Liability Litigation</w:t>
      </w:r>
      <w:r w:rsidRPr="00867D72">
        <w:rPr>
          <w:rFonts w:cs="Times New Roman"/>
        </w:rPr>
        <w:t xml:space="preserve"> (MDL No. 3047).</w:t>
      </w:r>
    </w:p>
  </w:footnote>
  <w:footnote w:id="240">
    <w:p w14:paraId="177DDCC6" w14:textId="77777777" w:rsidR="00AF6312" w:rsidRPr="004579CE" w:rsidRDefault="00AF6312" w:rsidP="00AF6312">
      <w:pPr>
        <w:pStyle w:val="FootnoteText"/>
        <w:jc w:val="both"/>
        <w:rPr>
          <w:rFonts w:ascii="Century Schoolbook" w:hAnsi="Century Schoolbook"/>
        </w:rPr>
      </w:pPr>
      <w:r w:rsidRPr="00867D72">
        <w:rPr>
          <w:rStyle w:val="FootnoteReference"/>
          <w:rFonts w:cs="Times New Roman"/>
        </w:rPr>
        <w:footnoteRef/>
      </w:r>
      <w:r w:rsidRPr="00867D72">
        <w:rPr>
          <w:rFonts w:cs="Times New Roman"/>
        </w:rPr>
        <w:t xml:space="preserve"> </w:t>
      </w:r>
      <w:r w:rsidRPr="00867D72">
        <w:rPr>
          <w:rFonts w:cs="Times New Roman"/>
          <w:i/>
          <w:iCs/>
        </w:rPr>
        <w:t>In re: Roundup Products Liability Litigation</w:t>
      </w:r>
      <w:r w:rsidRPr="00867D72">
        <w:rPr>
          <w:rFonts w:cs="Times New Roman"/>
        </w:rPr>
        <w:t xml:space="preserve"> (MDL No. 2741); </w:t>
      </w:r>
      <w:r w:rsidRPr="00867D72">
        <w:rPr>
          <w:rFonts w:cs="Times New Roman"/>
          <w:i/>
          <w:iCs/>
        </w:rPr>
        <w:t xml:space="preserve">In re: Johnson &amp; Johnson Talcum Powder Litigation </w:t>
      </w:r>
      <w:r w:rsidRPr="00867D72">
        <w:rPr>
          <w:rFonts w:cs="Times New Roman"/>
        </w:rPr>
        <w:t>(MDL No. 2738).</w:t>
      </w:r>
      <w:r w:rsidRPr="004579CE">
        <w:rPr>
          <w:rFonts w:ascii="Century Schoolbook" w:hAnsi="Century Schoolbook"/>
        </w:rPr>
        <w:t xml:space="preserve"> </w:t>
      </w:r>
    </w:p>
  </w:footnote>
  <w:footnote w:id="241">
    <w:p w14:paraId="528B5153" w14:textId="77777777" w:rsidR="00AF6312" w:rsidRDefault="00AF6312" w:rsidP="00AF6312">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21 (April 23, 20243) (case-management order containing deposition protocol).</w:t>
      </w:r>
    </w:p>
  </w:footnote>
  <w:footnote w:id="242">
    <w:p w14:paraId="45BBBC3C" w14:textId="77777777" w:rsidR="00AF6312" w:rsidRDefault="00AF6312" w:rsidP="00AF6312">
      <w:pPr>
        <w:pStyle w:val="FootnoteText"/>
        <w:jc w:val="both"/>
      </w:pPr>
      <w:r>
        <w:rPr>
          <w:rStyle w:val="FootnoteReference"/>
        </w:rPr>
        <w:footnoteRef/>
      </w:r>
      <w:r>
        <w:t xml:space="preserve"> </w:t>
      </w:r>
      <w:r w:rsidRPr="008230C2">
        <w:rPr>
          <w:i/>
          <w:iCs/>
        </w:rPr>
        <w:t>See</w:t>
      </w:r>
      <w:r>
        <w:t xml:space="preserve"> the standing orders collected at </w:t>
      </w:r>
      <w:r w:rsidRPr="00283A7C">
        <w:t>https://nextgenlawyers.com/judicial-orders-promoting-next-gen/</w:t>
      </w:r>
      <w:r>
        <w:t xml:space="preserve">, which encourage opportunities to allow young lawyers to argue motions and examine witnesses in court. These orders also “strongly encourage[e] parties to permit less experienced lawyers to examine witnesses at trial and to have an important role at trial.” (Koh, J., N.D.C.A); </w:t>
      </w:r>
      <w:r w:rsidRPr="007F64FB">
        <w:rPr>
          <w:i/>
          <w:iCs/>
        </w:rPr>
        <w:t>see also</w:t>
      </w:r>
      <w:r>
        <w:t xml:space="preserve"> </w:t>
      </w:r>
      <w:r w:rsidRPr="00ED0C87">
        <w:rPr>
          <w:i/>
          <w:iCs/>
          <w:sz w:val="24"/>
          <w:szCs w:val="22"/>
        </w:rPr>
        <w:t>In</w:t>
      </w:r>
      <w:r w:rsidRPr="00ED0C87">
        <w:rPr>
          <w:i/>
          <w:iCs/>
        </w:rPr>
        <w:t xml:space="preserve"> Re: Philips Recalled CPAP Bi-Level Pap, and Mechanical Ventilator Prod. Liab. Litig</w:t>
      </w:r>
      <w:r w:rsidRPr="00ED0C87">
        <w:t>., MDL No. 3014, Report from the MDL 3014 Leadership Development Comm. and Defendant’s Junior Attorneys: Reflections and Recommendations, Misc. No. 21-1230 (May 30, 2025)</w:t>
      </w:r>
      <w:r>
        <w:t xml:space="preserve"> (court established a ten-member Leadership Development Committee “to facilitate mentorship and prepare attorneys on the LDC for future leadership roles in complex multidistrict litigation,” which gave rise to opportunities, among many others, to serve as deposition counsel).</w:t>
      </w:r>
    </w:p>
  </w:footnote>
  <w:footnote w:id="243">
    <w:p w14:paraId="4E3136E4" w14:textId="77777777" w:rsidR="00AF6312" w:rsidRDefault="00AF6312" w:rsidP="00AF6312">
      <w:pPr>
        <w:pStyle w:val="FootnoteText"/>
        <w:jc w:val="both"/>
      </w:pPr>
      <w:r>
        <w:rPr>
          <w:rStyle w:val="FootnoteReference"/>
        </w:rPr>
        <w:footnoteRef/>
      </w:r>
      <w:r>
        <w:t xml:space="preserve"> </w:t>
      </w:r>
      <w:r w:rsidRPr="007F64FB">
        <w:rPr>
          <w:i/>
          <w:iCs/>
        </w:rPr>
        <w:t>See</w:t>
      </w:r>
      <w:r>
        <w:t>, John Rabiej, principal editor, Inclusivity and Excellence: Guidelines and Best Practices for Judges Appointing Lawyers to Leadership Positions in MDL and Class-Action Litigation James F. Humphreys Complex Litigation Center George Washington Law School (March 15, 2021).</w:t>
      </w:r>
    </w:p>
  </w:footnote>
  <w:footnote w:id="244">
    <w:p w14:paraId="5113B4A6" w14:textId="77777777" w:rsidR="00AF6312" w:rsidRPr="002040E9" w:rsidRDefault="00AF6312" w:rsidP="00AF6312">
      <w:pPr>
        <w:pStyle w:val="FootnoteText"/>
        <w:jc w:val="both"/>
        <w:rPr>
          <w:i/>
          <w:iCs/>
        </w:rPr>
      </w:pPr>
      <w:r>
        <w:rPr>
          <w:rStyle w:val="FootnoteReference"/>
        </w:rPr>
        <w:footnoteRef/>
      </w:r>
      <w:r>
        <w:t xml:space="preserve"> </w:t>
      </w:r>
      <w:r w:rsidRPr="007F64FB">
        <w:rPr>
          <w:i/>
          <w:iCs/>
        </w:rPr>
        <w:t>See</w:t>
      </w:r>
      <w:r>
        <w:t xml:space="preserve"> letter from Senator Ted Cruz to Seventh Circuit Court of Appeals, criticizing several courts’ “</w:t>
      </w:r>
      <w:r w:rsidRPr="002040E9">
        <w:rPr>
          <w:rStyle w:val="Emphasis"/>
          <w:rFonts w:cs="Times New Roman"/>
          <w:color w:val="0A2E47"/>
          <w:bdr w:val="none" w:sz="0" w:space="0" w:color="auto" w:frame="1"/>
          <w:shd w:val="clear" w:color="auto" w:fill="FFFFFF"/>
        </w:rPr>
        <w:t>new policy regarding oral arguments in an effort to ‘encourage the participation of newer, female, and minority attorneys in proceedings’ in reaction to concerns about ‘increasing opportunities for courtroom advocacy.’  Press Release Senator Cruz’s office (February 7, 2024).</w:t>
      </w:r>
    </w:p>
  </w:footnote>
  <w:footnote w:id="245">
    <w:p w14:paraId="7C062CC0" w14:textId="60A79E39" w:rsidR="00AF6312" w:rsidRDefault="00AF6312" w:rsidP="00AF6312">
      <w:pPr>
        <w:pStyle w:val="FootnoteText"/>
        <w:jc w:val="both"/>
      </w:pPr>
      <w:r>
        <w:rPr>
          <w:rStyle w:val="FootnoteReference"/>
        </w:rPr>
        <w:footnoteRef/>
      </w:r>
      <w:r>
        <w:t xml:space="preserve"> Superior Court of the State of California for the County of Los Angeles. General Asbestos Litigation Case Management Order</w:t>
      </w:r>
      <w:r w:rsidR="007C536A">
        <w:t>, pp.</w:t>
      </w:r>
      <w:r w:rsidR="00532426">
        <w:t xml:space="preserve"> 1</w:t>
      </w:r>
      <w:r w:rsidR="007C536A">
        <w:t>05</w:t>
      </w:r>
      <w:r w:rsidR="00532426">
        <w:t xml:space="preserve">-111, App. C-1 through C-7 </w:t>
      </w:r>
      <w:r>
        <w:t>(July 8, 2022)</w:t>
      </w:r>
      <w:r w:rsidR="00532426">
        <w:t>.</w:t>
      </w:r>
      <w:r w:rsidR="00FC1782">
        <w:t xml:space="preserve"> </w:t>
      </w:r>
    </w:p>
  </w:footnote>
  <w:footnote w:id="246">
    <w:p w14:paraId="717740E7" w14:textId="2FA73B8D" w:rsidR="002B0F1D" w:rsidRDefault="002B0F1D" w:rsidP="002B0F1D">
      <w:pPr>
        <w:pStyle w:val="FootnoteText"/>
        <w:jc w:val="both"/>
      </w:pPr>
      <w:r>
        <w:rPr>
          <w:rStyle w:val="FootnoteReference"/>
        </w:rPr>
        <w:footnoteRef/>
      </w:r>
      <w:r>
        <w:t xml:space="preserve"> The procedures in the </w:t>
      </w:r>
      <w:r w:rsidR="007044BA">
        <w:t>Los Angeles</w:t>
      </w:r>
      <w:r>
        <w:t xml:space="preserve"> asbestos litigation case-management order include: (i) within 14 days of filing original complaint plaintiffs must provide vendor authorizations to release records and a list of names, addresses and phone numbers, if known, of all medical facilities and treating physicians based on the exercise of due diligence at the time of the submission of the authorizations to the vendor; (ii) within five days of receipt of signed authorizations, vendor acknowledges receipt to all parties; (iii) method for sharing costs of obtaining records determined by defendant and vendor; (iv) upon request from defendant for any records, vendor immediately commences procedures to obtain them; (v) within five days of receipt of records, vendor transmits bates-numbered electronic, read-only copies to plaintiff’s attorney; (vi) plaintiff has seven calendar days to review and redact and serve a notice of redacted records to all parties, identifying each document and the basis for redaction records; (vii) at the expiration of seven days vendor makes available all records that are not identified as redacted; and (viii) parties meet and confer to resolve issues; and if not resolved defendant has ten days to serve a statement on plaintiffs explaining its position.</w:t>
      </w:r>
    </w:p>
  </w:footnote>
  <w:footnote w:id="247">
    <w:p w14:paraId="712131AD" w14:textId="4C3249D8" w:rsidR="00AF6312" w:rsidRDefault="00AF6312" w:rsidP="00AF6312">
      <w:pPr>
        <w:pStyle w:val="FootnoteText"/>
        <w:jc w:val="both"/>
      </w:pPr>
      <w:r>
        <w:rPr>
          <w:rStyle w:val="FootnoteReference"/>
        </w:rPr>
        <w:footnoteRef/>
      </w:r>
      <w:r>
        <w:t xml:space="preserve"> </w:t>
      </w:r>
      <w:r w:rsidRPr="00852AA7">
        <w:rPr>
          <w:i/>
          <w:iCs/>
        </w:rPr>
        <w:t>See</w:t>
      </w:r>
      <w:r>
        <w:t xml:space="preserve"> Superior Court of the State of California for the County of Los Angeles. General Asbestos Litigation Case Management Order (July 8, 2022), Exhibit A, App</w:t>
      </w:r>
      <w:r w:rsidR="00532426">
        <w:t>.</w:t>
      </w:r>
      <w:r>
        <w:t xml:space="preserve"> C-8, p</w:t>
      </w:r>
      <w:r w:rsidR="00532426">
        <w:t>p.</w:t>
      </w:r>
      <w:r>
        <w:t xml:space="preserve"> 11</w:t>
      </w:r>
      <w:r w:rsidR="004D751C">
        <w:t>5-133</w:t>
      </w:r>
      <w:r>
        <w:t xml:space="preserve"> (HIPAA Compliant Authorization Form Pursuant to 45 FR 164-508</w:t>
      </w:r>
      <w:r w:rsidR="0049232E">
        <w:t xml:space="preserve"> and military, Veteran Affairs, employment, </w:t>
      </w:r>
      <w:r w:rsidR="005939C4">
        <w:t>social security</w:t>
      </w:r>
      <w:r w:rsidR="0053718A">
        <w:t>, and union records release forms</w:t>
      </w:r>
      <w:r w:rsidR="004C421E">
        <w:t>)</w:t>
      </w:r>
      <w:r>
        <w:t>.</w:t>
      </w:r>
    </w:p>
  </w:footnote>
  <w:footnote w:id="248">
    <w:p w14:paraId="4208E335" w14:textId="77777777" w:rsidR="00F62B2D" w:rsidRPr="005D6C38" w:rsidRDefault="00F62B2D" w:rsidP="00F62B2D">
      <w:pPr>
        <w:pStyle w:val="FootnoteText"/>
        <w:rPr>
          <w:rFonts w:cs="Times New Roman"/>
        </w:rPr>
      </w:pPr>
      <w:r>
        <w:rPr>
          <w:rStyle w:val="FootnoteReference"/>
        </w:rPr>
        <w:footnoteRef/>
      </w:r>
      <w:r>
        <w:t xml:space="preserve"> </w:t>
      </w:r>
      <w:r w:rsidRPr="00A31929">
        <w:rPr>
          <w:rFonts w:cs="Times New Roman"/>
          <w:i/>
          <w:iCs/>
        </w:rPr>
        <w:t>See</w:t>
      </w:r>
      <w:r>
        <w:rPr>
          <w:rFonts w:cs="Times New Roman"/>
        </w:rPr>
        <w:t xml:space="preserve"> Excel Spreadsheet on Duration of MDLs, Research, Rabiej Litigation Law Center (2024) at </w:t>
      </w:r>
      <w:hyperlink r:id="rId17" w:history="1">
        <w:r w:rsidRPr="008A4C42">
          <w:rPr>
            <w:rStyle w:val="Hyperlink"/>
            <w:rFonts w:cs="Times New Roman"/>
          </w:rPr>
          <w:t>https://rabiejcenter.org/research/mass-tort-mdl/</w:t>
        </w:r>
      </w:hyperlink>
      <w:r>
        <w:rPr>
          <w:rFonts w:cs="Times New Roman"/>
        </w:rPr>
        <w:t>; s</w:t>
      </w:r>
      <w:r w:rsidRPr="007A62DD">
        <w:rPr>
          <w:rFonts w:cs="Times New Roman"/>
          <w:i/>
          <w:iCs/>
        </w:rPr>
        <w:t>ee</w:t>
      </w:r>
      <w:r>
        <w:rPr>
          <w:rFonts w:cs="Times New Roman"/>
          <w:i/>
          <w:iCs/>
        </w:rPr>
        <w:t xml:space="preserve"> also</w:t>
      </w:r>
      <w:r>
        <w:rPr>
          <w:rFonts w:cs="Times New Roman"/>
        </w:rPr>
        <w:t xml:space="preserve">, tables posted on Research at </w:t>
      </w:r>
      <w:hyperlink r:id="rId18" w:history="1">
        <w:r w:rsidRPr="00544CC6">
          <w:rPr>
            <w:rStyle w:val="Hyperlink"/>
            <w:rFonts w:cs="Times New Roman"/>
          </w:rPr>
          <w:t>https://rabiejcenter.org/research/mass-tort-mdl/</w:t>
        </w:r>
      </w:hyperlink>
      <w:r>
        <w:rPr>
          <w:rFonts w:cs="Times New Roman"/>
        </w:rPr>
        <w:t>, Rabiej Litigation Law Center (2024).</w:t>
      </w:r>
    </w:p>
  </w:footnote>
  <w:footnote w:id="249">
    <w:p w14:paraId="6A013FEB" w14:textId="77777777" w:rsidR="00F62B2D" w:rsidRPr="00B653CE" w:rsidRDefault="00F62B2D" w:rsidP="00F62B2D">
      <w:pPr>
        <w:pStyle w:val="FootnoteText"/>
        <w:jc w:val="both"/>
        <w:rPr>
          <w:rFonts w:cs="Times New Roman"/>
        </w:rPr>
      </w:pPr>
      <w:r>
        <w:rPr>
          <w:rStyle w:val="FootnoteReference"/>
        </w:rPr>
        <w:footnoteRef/>
      </w:r>
      <w:r>
        <w:t xml:space="preserve"> </w:t>
      </w:r>
      <w:r w:rsidRPr="00B653CE">
        <w:rPr>
          <w:rFonts w:cs="Times New Roman"/>
        </w:rPr>
        <w:t>A defendant is entitled to deny all liability and object to all claims through the pleading stages.  Most transferee courts have been careful not to suggest nor apply unintended pressures on either the defendant or plaintiffs to settle unwillingly.</w:t>
      </w:r>
    </w:p>
  </w:footnote>
  <w:footnote w:id="250">
    <w:p w14:paraId="4CFE0824" w14:textId="77777777" w:rsidR="00F62B2D" w:rsidRPr="00A40499" w:rsidRDefault="00F62B2D" w:rsidP="00F62B2D">
      <w:pPr>
        <w:pStyle w:val="FootnoteText"/>
        <w:jc w:val="both"/>
        <w:rPr>
          <w:rFonts w:cs="Times New Roman"/>
        </w:rPr>
      </w:pPr>
      <w:r>
        <w:rPr>
          <w:rStyle w:val="FootnoteReference"/>
        </w:rPr>
        <w:footnoteRef/>
      </w:r>
      <w:r>
        <w:t xml:space="preserve"> </w:t>
      </w:r>
      <w:r>
        <w:rPr>
          <w:rFonts w:cs="Times New Roman"/>
        </w:rPr>
        <w:t xml:space="preserve">The court and parties should articulate objectives for the mass-tort MDL and a plan for pursuing them.  </w:t>
      </w:r>
    </w:p>
  </w:footnote>
  <w:footnote w:id="251">
    <w:p w14:paraId="488B2AE3" w14:textId="77777777" w:rsidR="00F62B2D" w:rsidRPr="007867F0" w:rsidRDefault="00F62B2D" w:rsidP="00F62B2D">
      <w:pPr>
        <w:pStyle w:val="FootnoteText"/>
        <w:jc w:val="both"/>
        <w:rPr>
          <w:rFonts w:cs="Times New Roman"/>
        </w:rPr>
      </w:pPr>
      <w:r w:rsidRPr="007867F0">
        <w:rPr>
          <w:rStyle w:val="FootnoteReference"/>
        </w:rPr>
        <w:footnoteRef/>
      </w:r>
      <w:r w:rsidRPr="007867F0">
        <w:rPr>
          <w:i/>
          <w:iCs/>
        </w:rPr>
        <w:t xml:space="preserve"> </w:t>
      </w:r>
      <w:r w:rsidRPr="007867F0">
        <w:rPr>
          <w:rFonts w:cs="Times New Roman"/>
          <w:i/>
          <w:iCs/>
        </w:rPr>
        <w:t>See Harrington v. Purdue Pharma L.P.,</w:t>
      </w:r>
      <w:r>
        <w:rPr>
          <w:rFonts w:cs="Times New Roman"/>
        </w:rPr>
        <w:t xml:space="preserve"> 603 U.S. ____p. 49 (2024) (Kavanaugh, J., dissenting) (main components of risk analysis described in bankruptcy context “the settlement amount here reflected the parties’ assessments of their probabilities of success and the likely amount of possible recovery.”). </w:t>
      </w:r>
    </w:p>
  </w:footnote>
  <w:footnote w:id="252">
    <w:p w14:paraId="1DF93031" w14:textId="77777777" w:rsidR="00F62B2D" w:rsidRPr="00C82E36" w:rsidRDefault="00F62B2D" w:rsidP="00F62B2D">
      <w:pPr>
        <w:pStyle w:val="FootnoteText"/>
        <w:rPr>
          <w:rFonts w:cs="Times New Roman"/>
        </w:rPr>
      </w:pPr>
      <w:r>
        <w:rPr>
          <w:rStyle w:val="FootnoteReference"/>
        </w:rPr>
        <w:footnoteRef/>
      </w:r>
      <w:r>
        <w:t xml:space="preserve"> </w:t>
      </w:r>
      <w:r w:rsidRPr="00C82E36">
        <w:rPr>
          <w:rFonts w:cs="Times New Roman"/>
          <w:i/>
          <w:iCs/>
        </w:rPr>
        <w:t>See</w:t>
      </w:r>
      <w:r>
        <w:rPr>
          <w:rFonts w:cs="Times New Roman"/>
        </w:rPr>
        <w:t xml:space="preserve">, </w:t>
      </w:r>
      <w:r w:rsidRPr="00A202CF">
        <w:rPr>
          <w:rFonts w:cs="Times New Roman"/>
          <w:smallCaps/>
        </w:rPr>
        <w:t>Manual for Complex Litigation</w:t>
      </w:r>
      <w:r>
        <w:rPr>
          <w:rFonts w:cs="Times New Roman"/>
        </w:rPr>
        <w:t>, § 22.315, Federal Judicial Center (4</w:t>
      </w:r>
      <w:r w:rsidRPr="00C82E36">
        <w:rPr>
          <w:rFonts w:cs="Times New Roman"/>
          <w:vertAlign w:val="superscript"/>
        </w:rPr>
        <w:t>th</w:t>
      </w:r>
      <w:r>
        <w:rPr>
          <w:rFonts w:cs="Times New Roman"/>
        </w:rPr>
        <w:t xml:space="preserve"> edition 2004).</w:t>
      </w:r>
    </w:p>
  </w:footnote>
  <w:footnote w:id="253">
    <w:p w14:paraId="2FE7EF82" w14:textId="77777777" w:rsidR="00EB3261" w:rsidRDefault="00EB3261" w:rsidP="00EB3261">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ort Catheter Prod. Liab. Litig</w:t>
      </w:r>
      <w:r>
        <w:rPr>
          <w:rFonts w:cs="Times New Roman"/>
        </w:rPr>
        <w:t>., MDL No. 3081, Case Management Order No. 5, p. 2  (Oct. 26, 2023) (special master appointed to “provide legal and procedural analysis of time, fees, expenses, assessments, and disbursements of common benefit funds.”)</w:t>
      </w:r>
    </w:p>
  </w:footnote>
  <w:footnote w:id="254">
    <w:p w14:paraId="6FDC1362" w14:textId="77777777" w:rsidR="00EB3261" w:rsidRPr="00CC42F1" w:rsidRDefault="00EB3261" w:rsidP="00EB3261">
      <w:pPr>
        <w:pStyle w:val="FootnoteText"/>
        <w:jc w:val="both"/>
        <w:rPr>
          <w:rFonts w:cs="Times New Roman"/>
        </w:rPr>
      </w:pPr>
      <w:r>
        <w:rPr>
          <w:rStyle w:val="FootnoteReference"/>
        </w:rPr>
        <w:footnoteRef/>
      </w:r>
      <w:r>
        <w:t xml:space="preserve"> </w:t>
      </w:r>
      <w:r w:rsidRPr="00CC42F1">
        <w:rPr>
          <w:rFonts w:cs="Times New Roman"/>
        </w:rPr>
        <w:t>Several transferee</w:t>
      </w:r>
      <w:r>
        <w:rPr>
          <w:rFonts w:cs="Times New Roman"/>
        </w:rPr>
        <w:t xml:space="preserve"> judges have stated that they do not designate magistrate judges to assist in mass-tort MDLs because of the time demands and because they are reluctant to take the magistrate judge away from their other duties, </w:t>
      </w:r>
      <w:r w:rsidRPr="00A508C6">
        <w:rPr>
          <w:rFonts w:cs="Times New Roman"/>
          <w:i/>
          <w:iCs/>
        </w:rPr>
        <w:t>e.g</w:t>
      </w:r>
      <w:r>
        <w:rPr>
          <w:rFonts w:cs="Times New Roman"/>
        </w:rPr>
        <w:t>., criminal duties.</w:t>
      </w:r>
    </w:p>
  </w:footnote>
  <w:footnote w:id="255">
    <w:p w14:paraId="28302D3F" w14:textId="210078E1" w:rsidR="002A3EA1" w:rsidRDefault="002A3EA1">
      <w:pPr>
        <w:pStyle w:val="FootnoteText"/>
      </w:pPr>
      <w:r>
        <w:rPr>
          <w:rStyle w:val="FootnoteReference"/>
        </w:rPr>
        <w:footnoteRef/>
      </w:r>
      <w:r>
        <w:t xml:space="preserve"> </w:t>
      </w:r>
      <w:r w:rsidR="00342BC7">
        <w:t xml:space="preserve">Under 28 U.S.S. </w:t>
      </w:r>
      <w:r w:rsidR="00342BC7">
        <w:rPr>
          <w:rFonts w:cs="Times New Roman"/>
        </w:rPr>
        <w:t>§</w:t>
      </w:r>
      <w:r w:rsidR="00342BC7">
        <w:t>636(h)</w:t>
      </w:r>
      <w:r w:rsidR="003C3349">
        <w:t>, “A United States magistrate judge who</w:t>
      </w:r>
      <w:r w:rsidR="009761DD">
        <w:t xml:space="preserve"> </w:t>
      </w:r>
      <w:r w:rsidR="003C3349">
        <w:t xml:space="preserve">has </w:t>
      </w:r>
      <w:r w:rsidR="009761DD">
        <w:t>retired</w:t>
      </w:r>
      <w:r w:rsidR="003C3349">
        <w:t xml:space="preserve"> may, upon consent of the </w:t>
      </w:r>
      <w:r w:rsidR="009761DD">
        <w:t>chief</w:t>
      </w:r>
      <w:r w:rsidR="003C3349">
        <w:t xml:space="preserve"> judge</w:t>
      </w:r>
      <w:r w:rsidR="009761DD" w:rsidRPr="009761DD">
        <w:t xml:space="preserve"> </w:t>
      </w:r>
      <w:r w:rsidR="00ED4C5D">
        <w:t xml:space="preserve">of the </w:t>
      </w:r>
      <w:r w:rsidR="009761DD">
        <w:t>district</w:t>
      </w:r>
      <w:r w:rsidR="00ED4C5D">
        <w:t xml:space="preserve"> involved, be recalled to serve </w:t>
      </w:r>
      <w:r w:rsidR="00F53ABA">
        <w:t xml:space="preserve">as a magistrate judge in any </w:t>
      </w:r>
      <w:r w:rsidR="001646EC">
        <w:t>judicial district</w:t>
      </w:r>
      <w:r w:rsidR="00F53ABA">
        <w:t xml:space="preserve"> by the </w:t>
      </w:r>
      <w:r w:rsidR="001646EC">
        <w:t>judicial council</w:t>
      </w:r>
      <w:r w:rsidR="00F53ABA">
        <w:t xml:space="preserve"> of the circuit within which</w:t>
      </w:r>
      <w:r w:rsidR="001646EC">
        <w:t xml:space="preserve"> such district is located.”</w:t>
      </w:r>
    </w:p>
  </w:footnote>
  <w:footnote w:id="256">
    <w:p w14:paraId="68E0898A" w14:textId="77777777" w:rsidR="00EB3261" w:rsidRDefault="00EB3261" w:rsidP="00EB3261">
      <w:pPr>
        <w:pStyle w:val="FootnoteText"/>
      </w:pPr>
      <w:r>
        <w:rPr>
          <w:rStyle w:val="FootnoteReference"/>
        </w:rPr>
        <w:footnoteRef/>
      </w:r>
      <w:r>
        <w:t xml:space="preserve"> </w:t>
      </w:r>
      <w:r>
        <w:rPr>
          <w:rFonts w:cs="Times New Roman"/>
        </w:rPr>
        <w:t>2</w:t>
      </w:r>
      <w:r w:rsidRPr="008707E7">
        <w:rPr>
          <w:rFonts w:cs="Times New Roman"/>
        </w:rPr>
        <w:t>8 U.S.C. §636(</w:t>
      </w:r>
      <w:r>
        <w:rPr>
          <w:rFonts w:cs="Times New Roman"/>
        </w:rPr>
        <w:t>h</w:t>
      </w:r>
      <w:r w:rsidRPr="008707E7">
        <w:rPr>
          <w:rFonts w:cs="Times New Roman"/>
        </w:rPr>
        <w:t>)</w:t>
      </w:r>
      <w:r>
        <w:rPr>
          <w:rFonts w:cs="Times New Roman"/>
        </w:rPr>
        <w:t>.</w:t>
      </w:r>
    </w:p>
  </w:footnote>
  <w:footnote w:id="257">
    <w:p w14:paraId="0909658D" w14:textId="6FBF7227" w:rsidR="00EB3261" w:rsidRDefault="00EB3261" w:rsidP="00EB3261">
      <w:pPr>
        <w:pStyle w:val="FootnoteText"/>
        <w:jc w:val="both"/>
      </w:pPr>
      <w:r>
        <w:rPr>
          <w:rStyle w:val="FootnoteReference"/>
        </w:rPr>
        <w:footnoteRef/>
      </w:r>
      <w:r>
        <w:t xml:space="preserve"> </w:t>
      </w:r>
      <w:r>
        <w:rPr>
          <w:rFonts w:cs="Times New Roman"/>
        </w:rPr>
        <w:t>In 2021</w:t>
      </w:r>
      <w:r w:rsidR="00864241">
        <w:rPr>
          <w:rFonts w:cs="Times New Roman"/>
        </w:rPr>
        <w:t xml:space="preserve">, </w:t>
      </w:r>
      <w:r>
        <w:rPr>
          <w:rFonts w:cs="Times New Roman"/>
        </w:rPr>
        <w:t xml:space="preserve">81 </w:t>
      </w:r>
      <w:r w:rsidR="00DD3348">
        <w:rPr>
          <w:rFonts w:cs="Times New Roman"/>
        </w:rPr>
        <w:t>retired</w:t>
      </w:r>
      <w:r>
        <w:rPr>
          <w:rFonts w:cs="Times New Roman"/>
        </w:rPr>
        <w:t xml:space="preserve"> magistrate judges</w:t>
      </w:r>
      <w:r w:rsidR="00DD3348">
        <w:rPr>
          <w:rFonts w:cs="Times New Roman"/>
        </w:rPr>
        <w:t xml:space="preserve"> were recalled</w:t>
      </w:r>
      <w:r>
        <w:rPr>
          <w:rFonts w:cs="Times New Roman"/>
        </w:rPr>
        <w:t xml:space="preserve">.  </w:t>
      </w:r>
      <w:r w:rsidRPr="00A5096A">
        <w:rPr>
          <w:rFonts w:cs="Times New Roman"/>
        </w:rPr>
        <w:t xml:space="preserve">The Administrative Office of United States </w:t>
      </w:r>
      <w:r>
        <w:rPr>
          <w:rFonts w:cs="Times New Roman"/>
        </w:rPr>
        <w:t>C</w:t>
      </w:r>
      <w:r w:rsidRPr="00A5096A">
        <w:rPr>
          <w:rFonts w:cs="Times New Roman"/>
        </w:rPr>
        <w:t xml:space="preserve">ourts maintains a </w:t>
      </w:r>
      <w:r>
        <w:rPr>
          <w:rFonts w:cs="Times New Roman"/>
        </w:rPr>
        <w:t>registry</w:t>
      </w:r>
      <w:r w:rsidRPr="00A5096A">
        <w:rPr>
          <w:rFonts w:cs="Times New Roman"/>
        </w:rPr>
        <w:t xml:space="preserve"> of </w:t>
      </w:r>
      <w:r>
        <w:rPr>
          <w:rFonts w:cs="Times New Roman"/>
        </w:rPr>
        <w:t>retired magistrate judges who have indicated an interest in serving on recall. The AO’s Judicial Service Office is available to help any court that is seeking recall assistance with finding available retired magistrate judges, as well as navigating the sometimes-complicated logistics of recall and the recall authorization process.</w:t>
      </w:r>
    </w:p>
  </w:footnote>
  <w:footnote w:id="258">
    <w:p w14:paraId="488993B6" w14:textId="77777777" w:rsidR="00EB3261" w:rsidRPr="008707E7" w:rsidRDefault="00EB3261" w:rsidP="00EB3261">
      <w:pPr>
        <w:pStyle w:val="FootnoteText"/>
        <w:jc w:val="both"/>
        <w:rPr>
          <w:rFonts w:cs="Times New Roman"/>
        </w:rPr>
      </w:pPr>
      <w:r>
        <w:rPr>
          <w:rStyle w:val="FootnoteReference"/>
        </w:rPr>
        <w:footnoteRef/>
      </w:r>
      <w:r>
        <w:t xml:space="preserve"> </w:t>
      </w:r>
      <w:r>
        <w:rPr>
          <w:rFonts w:cs="Times New Roman"/>
        </w:rPr>
        <w:t>2</w:t>
      </w:r>
      <w:r w:rsidRPr="008707E7">
        <w:rPr>
          <w:rFonts w:cs="Times New Roman"/>
        </w:rPr>
        <w:t xml:space="preserve">8 U.S.C. §636(c); </w:t>
      </w:r>
      <w:r w:rsidRPr="008707E7">
        <w:rPr>
          <w:rFonts w:cs="Times New Roman"/>
          <w:i/>
          <w:iCs/>
        </w:rPr>
        <w:t>see</w:t>
      </w:r>
      <w:r w:rsidRPr="008707E7">
        <w:rPr>
          <w:rFonts w:cs="Times New Roman"/>
          <w:i/>
          <w:iCs/>
          <w:color w:val="222222"/>
          <w:shd w:val="clear" w:color="auto" w:fill="FFFFFF"/>
        </w:rPr>
        <w:t xml:space="preserve"> Acetaminophen </w:t>
      </w:r>
      <w:r w:rsidRPr="008707E7">
        <w:rPr>
          <w:rFonts w:cs="Times New Roman"/>
          <w:color w:val="222222"/>
          <w:shd w:val="clear" w:color="auto" w:fill="FFFFFF"/>
        </w:rPr>
        <w:t>MDL No. 3043</w:t>
      </w:r>
      <w:r>
        <w:rPr>
          <w:rFonts w:cs="Times New Roman"/>
          <w:color w:val="222222"/>
          <w:shd w:val="clear" w:color="auto" w:fill="FFFFFF"/>
        </w:rPr>
        <w:t xml:space="preserve">, </w:t>
      </w:r>
      <w:r w:rsidRPr="008707E7">
        <w:rPr>
          <w:rFonts w:cs="Times New Roman"/>
          <w:color w:val="222222"/>
          <w:shd w:val="clear" w:color="auto" w:fill="FFFFFF"/>
        </w:rPr>
        <w:t>Unnumbered PACER docket entry following # 1 (10/5/22</w:t>
      </w:r>
      <w:r>
        <w:rPr>
          <w:rFonts w:cs="Times New Roman"/>
          <w:color w:val="222222"/>
          <w:shd w:val="clear" w:color="auto" w:fill="FFFFFF"/>
        </w:rPr>
        <w:t>) where the court</w:t>
      </w:r>
      <w:r w:rsidRPr="008707E7">
        <w:rPr>
          <w:rFonts w:cs="Times New Roman"/>
          <w:color w:val="222222"/>
          <w:shd w:val="clear" w:color="auto" w:fill="FFFFFF"/>
        </w:rPr>
        <w:t xml:space="preserve"> notif</w:t>
      </w:r>
      <w:r>
        <w:rPr>
          <w:rFonts w:cs="Times New Roman"/>
          <w:color w:val="222222"/>
          <w:shd w:val="clear" w:color="auto" w:fill="FFFFFF"/>
        </w:rPr>
        <w:t xml:space="preserve">ied </w:t>
      </w:r>
      <w:r w:rsidRPr="008707E7">
        <w:rPr>
          <w:rFonts w:cs="Times New Roman"/>
          <w:color w:val="222222"/>
          <w:shd w:val="clear" w:color="auto" w:fill="FFFFFF"/>
        </w:rPr>
        <w:t xml:space="preserve">parties of the opportunity to </w:t>
      </w:r>
      <w:r>
        <w:rPr>
          <w:rFonts w:cs="Times New Roman"/>
          <w:color w:val="222222"/>
          <w:shd w:val="clear" w:color="auto" w:fill="FFFFFF"/>
        </w:rPr>
        <w:t>have</w:t>
      </w:r>
      <w:r w:rsidRPr="008707E7">
        <w:rPr>
          <w:rFonts w:cs="Times New Roman"/>
          <w:color w:val="222222"/>
          <w:shd w:val="clear" w:color="auto" w:fill="FFFFFF"/>
        </w:rPr>
        <w:t xml:space="preserve"> any proceeding</w:t>
      </w:r>
      <w:r>
        <w:rPr>
          <w:rFonts w:cs="Times New Roman"/>
          <w:color w:val="222222"/>
          <w:shd w:val="clear" w:color="auto" w:fill="FFFFFF"/>
        </w:rPr>
        <w:t xml:space="preserve"> handled by </w:t>
      </w:r>
      <w:r w:rsidRPr="008707E7">
        <w:rPr>
          <w:rFonts w:cs="Times New Roman"/>
          <w:color w:val="222222"/>
          <w:shd w:val="clear" w:color="auto" w:fill="FFFFFF"/>
        </w:rPr>
        <w:t>a magistrate judge under § 636(c)</w:t>
      </w:r>
      <w:r>
        <w:rPr>
          <w:rFonts w:cs="Times New Roman"/>
          <w:color w:val="222222"/>
          <w:shd w:val="clear" w:color="auto" w:fill="FFFFFF"/>
        </w:rPr>
        <w:t xml:space="preserve"> but apparently intended to address only case-dispositive motions.</w:t>
      </w:r>
      <w:r w:rsidRPr="008707E7">
        <w:rPr>
          <w:rFonts w:cs="Times New Roman"/>
          <w:color w:val="222222"/>
          <w:shd w:val="clear" w:color="auto" w:fill="FFFFFF"/>
        </w:rPr>
        <w:t>  The consent form is posted at </w:t>
      </w:r>
      <w:hyperlink r:id="rId19" w:tgtFrame="_blank" w:history="1">
        <w:r w:rsidRPr="008707E7">
          <w:rPr>
            <w:rFonts w:cs="Times New Roman"/>
            <w:color w:val="1155CC"/>
            <w:u w:val="single"/>
            <w:shd w:val="clear" w:color="auto" w:fill="FFFFFF"/>
          </w:rPr>
          <w:t>https://nysd.uscourts.gov/sites/default/files/2018-06/AO-3.pdf</w:t>
        </w:r>
      </w:hyperlink>
      <w:r>
        <w:rPr>
          <w:rFonts w:cs="Times New Roman"/>
        </w:rPr>
        <w:t>.</w:t>
      </w:r>
      <w:r w:rsidRPr="00AB3CCA">
        <w:rPr>
          <w:rFonts w:ascii="Arial" w:hAnsi="Arial" w:cs="Arial"/>
          <w:color w:val="222222"/>
          <w:sz w:val="22"/>
          <w:szCs w:val="22"/>
          <w:shd w:val="clear" w:color="auto" w:fill="FFFFFF"/>
        </w:rPr>
        <w:t>  </w:t>
      </w:r>
    </w:p>
  </w:footnote>
  <w:footnote w:id="259">
    <w:p w14:paraId="60F47D83" w14:textId="77777777" w:rsidR="00EB3261" w:rsidRDefault="00EB3261" w:rsidP="00EB3261">
      <w:pPr>
        <w:pStyle w:val="FootnoteText"/>
      </w:pPr>
      <w:r>
        <w:rPr>
          <w:rStyle w:val="FootnoteReference"/>
        </w:rPr>
        <w:footnoteRef/>
      </w:r>
      <w:r>
        <w:t xml:space="preserve"> </w:t>
      </w:r>
      <w:r>
        <w:rPr>
          <w:rFonts w:cs="Times New Roman"/>
        </w:rPr>
        <w:t>2</w:t>
      </w:r>
      <w:r w:rsidRPr="008707E7">
        <w:rPr>
          <w:rFonts w:cs="Times New Roman"/>
        </w:rPr>
        <w:t>8 U.S.C. §636(c)</w:t>
      </w:r>
      <w:r>
        <w:rPr>
          <w:rFonts w:cs="Times New Roman"/>
        </w:rPr>
        <w:t xml:space="preserve">(1) and (2).  </w:t>
      </w:r>
    </w:p>
  </w:footnote>
  <w:footnote w:id="260">
    <w:p w14:paraId="1E8006F9" w14:textId="77777777" w:rsidR="00EB3261" w:rsidRDefault="00EB3261" w:rsidP="00EB3261">
      <w:pPr>
        <w:pStyle w:val="FootnoteText"/>
        <w:jc w:val="both"/>
      </w:pPr>
      <w:r>
        <w:rPr>
          <w:rStyle w:val="FootnoteReference"/>
        </w:rPr>
        <w:footnoteRef/>
      </w:r>
      <w:r>
        <w:t xml:space="preserve"> AO 85 (Rev. 02/17) Notice, Consent, and Reference of a Civil Action to a Magistrate Judge, Administrative Office of the United States Courts.</w:t>
      </w:r>
    </w:p>
  </w:footnote>
  <w:footnote w:id="261">
    <w:p w14:paraId="30984604" w14:textId="77777777" w:rsidR="00EB3261" w:rsidRDefault="00EB3261" w:rsidP="00EB3261">
      <w:pPr>
        <w:jc w:val="both"/>
      </w:pPr>
      <w:r>
        <w:rPr>
          <w:rStyle w:val="FootnoteReference"/>
        </w:rPr>
        <w:footnoteRef/>
      </w:r>
      <w:r>
        <w:t xml:space="preserve"> </w:t>
      </w:r>
      <w:r w:rsidRPr="00115D3F">
        <w:rPr>
          <w:rFonts w:eastAsia="Times New Roman" w:cs="Times New Roman"/>
          <w:color w:val="0A314D"/>
          <w:sz w:val="20"/>
          <w:szCs w:val="20"/>
        </w:rPr>
        <w:t>For the twelve-month period ending December 31, 2024, magistrate judges in nearly every district terminated a total of 17,478 civil cases under 28 U.S.C. § 636(c); none of them in a mass-tort MDL.</w:t>
      </w:r>
    </w:p>
  </w:footnote>
  <w:footnote w:id="262">
    <w:p w14:paraId="5CC2CCD6" w14:textId="77777777" w:rsidR="00EB3261" w:rsidRPr="009412B2" w:rsidRDefault="00EB3261" w:rsidP="00EB3261">
      <w:pPr>
        <w:pStyle w:val="FootnoteText"/>
        <w:rPr>
          <w:rFonts w:cs="Times New Roman"/>
        </w:rPr>
      </w:pPr>
      <w:r>
        <w:rPr>
          <w:rStyle w:val="FootnoteReference"/>
        </w:rPr>
        <w:footnoteRef/>
      </w:r>
      <w:r>
        <w:t xml:space="preserve"> </w:t>
      </w:r>
      <w:r w:rsidRPr="003D6CA7">
        <w:rPr>
          <w:rFonts w:cs="Times New Roman"/>
        </w:rPr>
        <w:t>One judge addressed t</w:t>
      </w:r>
      <w:r>
        <w:rPr>
          <w:rFonts w:cs="Times New Roman"/>
        </w:rPr>
        <w:t>h</w:t>
      </w:r>
      <w:r w:rsidRPr="003D6CA7">
        <w:rPr>
          <w:rFonts w:cs="Times New Roman"/>
        </w:rPr>
        <w:t>is issue by r</w:t>
      </w:r>
      <w:r>
        <w:rPr>
          <w:rFonts w:cs="Times New Roman"/>
        </w:rPr>
        <w:t xml:space="preserve">equiring parties in </w:t>
      </w:r>
      <w:r w:rsidRPr="003D6CA7">
        <w:rPr>
          <w:rFonts w:cs="Times New Roman"/>
        </w:rPr>
        <w:t>bellwether trials</w:t>
      </w:r>
      <w:r>
        <w:t xml:space="preserve"> </w:t>
      </w:r>
      <w:r>
        <w:rPr>
          <w:rFonts w:cs="Times New Roman"/>
        </w:rPr>
        <w:t xml:space="preserve">to be prepared to try their case immediately if the preceding scheduled bellwether trial was dismissed or settled. </w:t>
      </w:r>
    </w:p>
  </w:footnote>
  <w:footnote w:id="263">
    <w:p w14:paraId="38390F3A" w14:textId="77777777" w:rsidR="00EB3261" w:rsidRDefault="00EB3261" w:rsidP="00EB3261">
      <w:pPr>
        <w:pStyle w:val="FootnoteText"/>
        <w:jc w:val="both"/>
      </w:pPr>
      <w:r>
        <w:rPr>
          <w:rStyle w:val="FootnoteReference"/>
        </w:rPr>
        <w:footnoteRef/>
      </w:r>
      <w:r>
        <w:t xml:space="preserve"> </w:t>
      </w:r>
      <w:r>
        <w:rPr>
          <w:rFonts w:cs="Times New Roman"/>
        </w:rPr>
        <w:t>2</w:t>
      </w:r>
      <w:r w:rsidRPr="008707E7">
        <w:rPr>
          <w:rFonts w:cs="Times New Roman"/>
        </w:rPr>
        <w:t>8 U.S.C. §636(</w:t>
      </w:r>
      <w:r>
        <w:rPr>
          <w:rFonts w:cs="Times New Roman"/>
        </w:rPr>
        <w:t>h</w:t>
      </w:r>
      <w:r w:rsidRPr="008707E7">
        <w:rPr>
          <w:rFonts w:cs="Times New Roman"/>
        </w:rPr>
        <w:t>)</w:t>
      </w:r>
      <w:r>
        <w:rPr>
          <w:rFonts w:cs="Times New Roman"/>
        </w:rPr>
        <w:t>.</w:t>
      </w:r>
    </w:p>
  </w:footnote>
  <w:footnote w:id="264">
    <w:p w14:paraId="7BBA8696" w14:textId="6C848E56" w:rsidR="00F62B2D" w:rsidRPr="00DD1C4F" w:rsidRDefault="00F62B2D" w:rsidP="00F62B2D">
      <w:pPr>
        <w:pStyle w:val="FootnoteText"/>
        <w:jc w:val="both"/>
        <w:rPr>
          <w:rFonts w:cs="Times New Roman"/>
        </w:rPr>
      </w:pPr>
      <w:r>
        <w:rPr>
          <w:rStyle w:val="FootnoteReference"/>
        </w:rPr>
        <w:footnoteRef/>
      </w:r>
      <w:r>
        <w:t xml:space="preserve"> </w:t>
      </w:r>
      <w:r w:rsidR="001B7640">
        <w:rPr>
          <w:rFonts w:cs="Times New Roman"/>
        </w:rPr>
        <w:t>FED. R. CIV. P.</w:t>
      </w:r>
      <w:r>
        <w:rPr>
          <w:rFonts w:cs="Times New Roman"/>
        </w:rPr>
        <w:t xml:space="preserve"> 16.1, Committee Note to Rule 16.1(b)(3)(F) (December 1, 2025).</w:t>
      </w:r>
    </w:p>
  </w:footnote>
  <w:footnote w:id="265">
    <w:p w14:paraId="3DCA30F0" w14:textId="4A720694" w:rsidR="00F62B2D" w:rsidRPr="00434E0A" w:rsidRDefault="00F62B2D" w:rsidP="00F62B2D">
      <w:pPr>
        <w:pStyle w:val="FootnoteText"/>
        <w:rPr>
          <w:rFonts w:cs="Times New Roman"/>
        </w:rPr>
      </w:pPr>
      <w:r>
        <w:rPr>
          <w:rStyle w:val="FootnoteReference"/>
        </w:rPr>
        <w:footnoteRef/>
      </w:r>
      <w:r>
        <w:t xml:space="preserve"> </w:t>
      </w:r>
      <w:r>
        <w:rPr>
          <w:rFonts w:cs="Times New Roman"/>
        </w:rPr>
        <w:t xml:space="preserve">It is too early at the initial-management conference stage to take action on settlement mediators, but alerting the court and identifying any concerns of the parties with such a proposal earlier rather than later in the litigation could be useful. A court may appoint a special master to act as a settlement mediator with the consent of the parties under </w:t>
      </w:r>
      <w:r w:rsidR="001B7640">
        <w:rPr>
          <w:rFonts w:cs="Times New Roman"/>
        </w:rPr>
        <w:t>FED. R. CIV. P.</w:t>
      </w:r>
      <w:r>
        <w:rPr>
          <w:rFonts w:cs="Times New Roman"/>
        </w:rPr>
        <w:t xml:space="preserve"> 53(a)(1)(A).</w:t>
      </w:r>
    </w:p>
  </w:footnote>
  <w:footnote w:id="266">
    <w:p w14:paraId="10C43830" w14:textId="77777777" w:rsidR="00F62B2D" w:rsidRDefault="00F62B2D" w:rsidP="00F62B2D">
      <w:pPr>
        <w:pStyle w:val="FootnoteText"/>
        <w:jc w:val="both"/>
      </w:pPr>
      <w:r>
        <w:rPr>
          <w:rStyle w:val="FootnoteReference"/>
        </w:rPr>
        <w:footnoteRef/>
      </w:r>
      <w:r>
        <w:t xml:space="preserve"> </w:t>
      </w:r>
      <w:r w:rsidRPr="00941B79">
        <w:rPr>
          <w:rFonts w:cs="Times New Roman"/>
          <w:i/>
          <w:iCs/>
        </w:rPr>
        <w:t>See</w:t>
      </w:r>
      <w:r w:rsidRPr="00941B79">
        <w:rPr>
          <w:rFonts w:cs="Times New Roman"/>
        </w:rPr>
        <w:t xml:space="preserve">, </w:t>
      </w:r>
      <w:r w:rsidRPr="00D36306">
        <w:rPr>
          <w:rFonts w:cs="Times New Roman"/>
          <w:i/>
          <w:iCs/>
        </w:rPr>
        <w:t>In Re Stryker Rejuvenate &amp; ABG II Modular Hip Implant</w:t>
      </w:r>
      <w:r>
        <w:rPr>
          <w:rFonts w:cs="Times New Roman"/>
        </w:rPr>
        <w:t xml:space="preserve"> Litig., No. BER-L-936-13, MCL 296 (N.J. Super. Ct. Law Div. Nov. 3, 2014) and </w:t>
      </w:r>
      <w:r w:rsidRPr="00D36306">
        <w:rPr>
          <w:rFonts w:cs="Times New Roman"/>
          <w:i/>
          <w:iCs/>
        </w:rPr>
        <w:t>Stryker Rejuvenate and ABG II Hip Implant Prod. Liab. Litig</w:t>
      </w:r>
      <w:r>
        <w:rPr>
          <w:rFonts w:cs="Times New Roman"/>
        </w:rPr>
        <w:t xml:space="preserve">. MDL No. 2441; </w:t>
      </w:r>
      <w:r w:rsidRPr="00D36306">
        <w:rPr>
          <w:rFonts w:cs="Times New Roman"/>
          <w:i/>
          <w:iCs/>
        </w:rPr>
        <w:t>see also</w:t>
      </w:r>
      <w:r>
        <w:rPr>
          <w:rFonts w:cs="Times New Roman"/>
        </w:rPr>
        <w:t xml:space="preserve"> </w:t>
      </w:r>
      <w:r w:rsidRPr="00941B79">
        <w:rPr>
          <w:rFonts w:cs="Times New Roman"/>
        </w:rPr>
        <w:t>The Bellwether Settlement, Adam Zimmerman, 85</w:t>
      </w:r>
      <w:r>
        <w:rPr>
          <w:rFonts w:cs="Times New Roman"/>
        </w:rPr>
        <w:t xml:space="preserve"> </w:t>
      </w:r>
      <w:r w:rsidRPr="00941B79">
        <w:rPr>
          <w:rFonts w:cs="Times New Roman"/>
        </w:rPr>
        <w:t xml:space="preserve">Fordham Law </w:t>
      </w:r>
      <w:r>
        <w:rPr>
          <w:rFonts w:cs="Times New Roman"/>
        </w:rPr>
        <w:t>R</w:t>
      </w:r>
      <w:r w:rsidRPr="00941B79">
        <w:rPr>
          <w:rFonts w:cs="Times New Roman"/>
        </w:rPr>
        <w:t>eview 2275, 2279 (2017)</w:t>
      </w:r>
      <w:r>
        <w:rPr>
          <w:rFonts w:cs="Times New Roman"/>
        </w:rPr>
        <w:t xml:space="preserve"> (Article reports on success of this procedure used jointly in federal and state actions by Hon. Brian Martinotti (later elevated to federal bench) and Hon. Donovan Frank in 40 settlements by a mediator in the state-court actions and a magistrate judge in the federal-court actions. </w:t>
      </w:r>
    </w:p>
  </w:footnote>
  <w:footnote w:id="267">
    <w:p w14:paraId="52AC4A79" w14:textId="77777777" w:rsidR="00F62B2D" w:rsidRPr="00434E0A" w:rsidRDefault="00F62B2D" w:rsidP="00F62B2D">
      <w:pPr>
        <w:pStyle w:val="FootnoteText"/>
        <w:rPr>
          <w:rFonts w:cs="Times New Roman"/>
        </w:rPr>
      </w:pPr>
      <w:r>
        <w:rPr>
          <w:rStyle w:val="FootnoteReference"/>
        </w:rPr>
        <w:footnoteRef/>
      </w:r>
      <w:r>
        <w:t xml:space="preserve"> </w:t>
      </w:r>
      <w:r>
        <w:rPr>
          <w:rFonts w:cs="Times New Roman"/>
        </w:rPr>
        <w:t>It is too early at the initial-management conference stage to take action on a special master estimating tort values, but alerting the court and identifying any concerns of the parties with such a proposal earlier rather than later in the litigation could be useful.</w:t>
      </w:r>
    </w:p>
  </w:footnote>
  <w:footnote w:id="268">
    <w:p w14:paraId="36B1F746" w14:textId="77777777" w:rsidR="00F62B2D" w:rsidRPr="00FA2B58" w:rsidRDefault="00F62B2D" w:rsidP="00F62B2D">
      <w:pPr>
        <w:pStyle w:val="FootnoteText"/>
        <w:jc w:val="both"/>
        <w:rPr>
          <w:rFonts w:cs="Times New Roman"/>
        </w:rPr>
      </w:pPr>
      <w:r>
        <w:rPr>
          <w:rStyle w:val="FootnoteReference"/>
        </w:rPr>
        <w:footnoteRef/>
      </w:r>
      <w:r>
        <w:t xml:space="preserve"> </w:t>
      </w:r>
      <w:r w:rsidRPr="00FA2B58">
        <w:rPr>
          <w:rFonts w:cs="Times New Roman"/>
          <w:i/>
          <w:iCs/>
        </w:rPr>
        <w:t>See</w:t>
      </w:r>
      <w:r>
        <w:rPr>
          <w:rFonts w:cs="Times New Roman"/>
        </w:rPr>
        <w:t xml:space="preserve"> 11 U.S.C. § 502(g) (estimating claims “when such is necessary to ensure that such claims are accorded the proper weight for voting purposes”).</w:t>
      </w:r>
    </w:p>
  </w:footnote>
  <w:footnote w:id="269">
    <w:p w14:paraId="646800CF" w14:textId="77777777" w:rsidR="00F62B2D" w:rsidRPr="00773EB8" w:rsidRDefault="00F62B2D" w:rsidP="00F62B2D">
      <w:pPr>
        <w:pStyle w:val="FootnoteText"/>
        <w:jc w:val="both"/>
        <w:rPr>
          <w:rFonts w:cs="Times New Roman"/>
        </w:rPr>
      </w:pPr>
      <w:r>
        <w:rPr>
          <w:rStyle w:val="FootnoteReference"/>
        </w:rPr>
        <w:footnoteRef/>
      </w:r>
      <w:r>
        <w:t xml:space="preserve"> </w:t>
      </w:r>
      <w:r w:rsidRPr="00773F22">
        <w:rPr>
          <w:rFonts w:cs="Times New Roman"/>
        </w:rPr>
        <w:t>Mass-Tort Compendium of Guidelines and Best Practices, Best Practices MDL--§§8(b-e)</w:t>
      </w:r>
      <w:r>
        <w:rPr>
          <w:rFonts w:cs="Times New Roman"/>
        </w:rPr>
        <w:t>,</w:t>
      </w:r>
      <w:r w:rsidRPr="00773F22">
        <w:rPr>
          <w:rFonts w:cs="Times New Roman"/>
        </w:rPr>
        <w:t xml:space="preserve"> Rabiej Litigation Law Center</w:t>
      </w:r>
      <w:r>
        <w:rPr>
          <w:rFonts w:cs="Times New Roman"/>
        </w:rPr>
        <w:t xml:space="preserve"> (2024) (Procedures were used in </w:t>
      </w:r>
      <w:r w:rsidRPr="00773F22">
        <w:rPr>
          <w:rFonts w:cs="Times New Roman"/>
          <w:i/>
          <w:iCs/>
        </w:rPr>
        <w:t>In Re LTL Management, LLC Case No. 23-12825 (MBK</w:t>
      </w:r>
      <w:r>
        <w:rPr>
          <w:rFonts w:cs="Times New Roman"/>
          <w:i/>
          <w:iCs/>
        </w:rPr>
        <w:t>)</w:t>
      </w:r>
      <w:r w:rsidRPr="00773F22">
        <w:rPr>
          <w:rFonts w:cs="Times New Roman"/>
          <w:i/>
          <w:iCs/>
        </w:rPr>
        <w:t xml:space="preserve"> (</w:t>
      </w:r>
      <w:r>
        <w:rPr>
          <w:rFonts w:cs="Times New Roman"/>
          <w:i/>
          <w:iCs/>
        </w:rPr>
        <w:t xml:space="preserve">D. N.J. </w:t>
      </w:r>
      <w:r w:rsidRPr="00773F22">
        <w:rPr>
          <w:rFonts w:cs="Times New Roman"/>
          <w:i/>
          <w:iCs/>
        </w:rPr>
        <w:t>2023)</w:t>
      </w:r>
      <w:r>
        <w:rPr>
          <w:rFonts w:cs="Times New Roman"/>
          <w:i/>
          <w:iCs/>
        </w:rPr>
        <w:t xml:space="preserve">.  </w:t>
      </w:r>
      <w:r>
        <w:rPr>
          <w:rFonts w:cs="Times New Roman"/>
        </w:rPr>
        <w:t xml:space="preserve">Bankruptcy case was returned to district court before expert’s estimates were submitted to the court, </w:t>
      </w:r>
      <w:r w:rsidRPr="00773EB8">
        <w:rPr>
          <w:rFonts w:cs="Times New Roman"/>
          <w:i/>
          <w:iCs/>
        </w:rPr>
        <w:t>see In Re LTL Management, LLC</w:t>
      </w:r>
      <w:r>
        <w:rPr>
          <w:rFonts w:cs="Times New Roman"/>
        </w:rPr>
        <w:t>, 64 F.4</w:t>
      </w:r>
      <w:r w:rsidRPr="00773EB8">
        <w:rPr>
          <w:rFonts w:cs="Times New Roman"/>
          <w:vertAlign w:val="superscript"/>
        </w:rPr>
        <w:t>th</w:t>
      </w:r>
      <w:r>
        <w:rPr>
          <w:rFonts w:cs="Times New Roman"/>
        </w:rPr>
        <w:t xml:space="preserve"> 84, 104 (3</w:t>
      </w:r>
      <w:r w:rsidRPr="00773EB8">
        <w:rPr>
          <w:rFonts w:cs="Times New Roman"/>
          <w:vertAlign w:val="superscript"/>
        </w:rPr>
        <w:t>rd</w:t>
      </w:r>
      <w:r>
        <w:rPr>
          <w:rFonts w:cs="Times New Roman"/>
        </w:rPr>
        <w:t xml:space="preserve"> Cir.)).</w:t>
      </w:r>
    </w:p>
  </w:footnote>
  <w:footnote w:id="270">
    <w:p w14:paraId="04F3F0E0" w14:textId="77777777" w:rsidR="00F62B2D" w:rsidRPr="00E73852" w:rsidRDefault="00F62B2D" w:rsidP="00F62B2D">
      <w:pPr>
        <w:pStyle w:val="FootnoteText"/>
        <w:jc w:val="both"/>
        <w:rPr>
          <w:rFonts w:cs="Times New Roman"/>
        </w:rPr>
      </w:pPr>
      <w:r>
        <w:rPr>
          <w:rStyle w:val="FootnoteReference"/>
        </w:rPr>
        <w:footnoteRef/>
      </w:r>
      <w:r w:rsidRPr="00E73852">
        <w:rPr>
          <w:rFonts w:cs="Times New Roman"/>
          <w:color w:val="4A4A4A"/>
          <w:shd w:val="clear" w:color="auto" w:fill="FFFFFF"/>
        </w:rPr>
        <w:t>Table — Percentage of Total Actions Filed in First Five Years; Rabiej Litigation Law Center</w:t>
      </w:r>
      <w:r w:rsidRPr="00E73852">
        <w:rPr>
          <w:rFonts w:cs="Times New Roman"/>
        </w:rPr>
        <w:t xml:space="preserve"> </w:t>
      </w:r>
      <w:r>
        <w:rPr>
          <w:rFonts w:cs="Times New Roman"/>
        </w:rPr>
        <w:t>(2024),</w:t>
      </w:r>
      <w:r w:rsidRPr="00E73852">
        <w:rPr>
          <w:rFonts w:cs="Times New Roman"/>
        </w:rPr>
        <w:t xml:space="preserve"> </w:t>
      </w:r>
      <w:hyperlink r:id="rId20" w:history="1">
        <w:r w:rsidRPr="00B62CD4">
          <w:rPr>
            <w:rStyle w:val="Hyperlink"/>
            <w:rFonts w:cs="Times New Roman"/>
          </w:rPr>
          <w:t>https://rabiejcenter.org/events/protracted-mdls-bench-bar-leadership-conference/</w:t>
        </w:r>
      </w:hyperlink>
      <w:r>
        <w:rPr>
          <w:rFonts w:cs="Times New Roman"/>
        </w:rPr>
        <w:t xml:space="preserve">. </w:t>
      </w:r>
    </w:p>
  </w:footnote>
  <w:footnote w:id="271">
    <w:p w14:paraId="1D6C7587" w14:textId="77777777" w:rsidR="00F62B2D" w:rsidRPr="004A1094" w:rsidRDefault="00F62B2D" w:rsidP="00F62B2D">
      <w:pPr>
        <w:pStyle w:val="FootnoteText"/>
        <w:jc w:val="both"/>
        <w:rPr>
          <w:rFonts w:cs="Times New Roman"/>
        </w:rPr>
      </w:pPr>
      <w:r>
        <w:rPr>
          <w:rStyle w:val="FootnoteReference"/>
        </w:rPr>
        <w:footnoteRef/>
      </w:r>
      <w:r>
        <w:t xml:space="preserve"> </w:t>
      </w:r>
      <w:r w:rsidRPr="00A630E5">
        <w:rPr>
          <w:rFonts w:cs="Times New Roman"/>
          <w:i/>
          <w:iCs/>
        </w:rPr>
        <w:t xml:space="preserve">See In Re: Bard Implanted </w:t>
      </w:r>
      <w:r>
        <w:rPr>
          <w:rFonts w:cs="Times New Roman"/>
          <w:i/>
          <w:iCs/>
        </w:rPr>
        <w:t>P</w:t>
      </w:r>
      <w:r w:rsidRPr="00A630E5">
        <w:rPr>
          <w:rFonts w:cs="Times New Roman"/>
          <w:i/>
          <w:iCs/>
        </w:rPr>
        <w:t>ort C</w:t>
      </w:r>
      <w:r>
        <w:rPr>
          <w:rFonts w:cs="Times New Roman"/>
          <w:i/>
          <w:iCs/>
        </w:rPr>
        <w:t>a</w:t>
      </w:r>
      <w:r w:rsidRPr="00A630E5">
        <w:rPr>
          <w:rFonts w:cs="Times New Roman"/>
          <w:i/>
          <w:iCs/>
        </w:rPr>
        <w:t>theter Prod. Liab. Litig</w:t>
      </w:r>
      <w:r>
        <w:rPr>
          <w:rFonts w:cs="Times New Roman"/>
        </w:rPr>
        <w:t>. MDL No. 3081, Order Regarding Initial Case Management Conference, p. 4 (August 22, 2023) (“In the Bard IVC Filter MDL, the Court set a firm date by which the MDL closed (no further cases were permitted).  Should a similar date be considered here?”)</w:t>
      </w:r>
    </w:p>
  </w:footnote>
  <w:footnote w:id="272">
    <w:p w14:paraId="64E57FB4" w14:textId="77777777" w:rsidR="00F62B2D" w:rsidRPr="0006188E" w:rsidRDefault="00F62B2D" w:rsidP="00F62B2D">
      <w:pPr>
        <w:pStyle w:val="NoSpacing"/>
        <w:jc w:val="both"/>
        <w:rPr>
          <w:sz w:val="20"/>
          <w:szCs w:val="20"/>
        </w:rPr>
      </w:pPr>
      <w:r>
        <w:rPr>
          <w:rStyle w:val="FootnoteReference"/>
        </w:rPr>
        <w:footnoteRef/>
      </w:r>
      <w:r>
        <w:t xml:space="preserve"> </w:t>
      </w:r>
      <w:r w:rsidRPr="0006188E">
        <w:rPr>
          <w:i/>
          <w:iCs/>
          <w:kern w:val="36"/>
          <w:sz w:val="20"/>
          <w:szCs w:val="20"/>
        </w:rPr>
        <w:t>See</w:t>
      </w:r>
      <w:r w:rsidRPr="0006188E">
        <w:rPr>
          <w:b/>
          <w:bCs/>
          <w:kern w:val="36"/>
          <w:sz w:val="20"/>
          <w:szCs w:val="20"/>
        </w:rPr>
        <w:t xml:space="preserve"> </w:t>
      </w:r>
      <w:r w:rsidRPr="00C2520B">
        <w:rPr>
          <w:kern w:val="36"/>
          <w:sz w:val="20"/>
          <w:szCs w:val="20"/>
        </w:rPr>
        <w:t xml:space="preserve">Just, Speedy, and Inexpensive? </w:t>
      </w:r>
      <w:r w:rsidRPr="00C2520B">
        <w:rPr>
          <w:sz w:val="20"/>
          <w:szCs w:val="20"/>
        </w:rPr>
        <w:t>An Evaluation of Judicial Case Management Under the CJRA,</w:t>
      </w:r>
      <w:r w:rsidRPr="0006188E">
        <w:rPr>
          <w:sz w:val="20"/>
          <w:szCs w:val="20"/>
        </w:rPr>
        <w:t xml:space="preserve"> Kakalik, Dunworth, . Hill, McCaffrey, Oshiro, Pace, Vaiana, RAND Corp. posted at </w:t>
      </w:r>
      <w:hyperlink r:id="rId21" w:history="1">
        <w:r w:rsidRPr="0006188E">
          <w:rPr>
            <w:rStyle w:val="Hyperlink"/>
            <w:rFonts w:eastAsia="Times New Roman" w:cs="Times New Roman"/>
            <w:sz w:val="20"/>
            <w:szCs w:val="20"/>
          </w:rPr>
          <w:t>https://www.rand.org/pubs/research_briefs/RB9027.html</w:t>
        </w:r>
      </w:hyperlink>
      <w:r w:rsidRPr="0006188E">
        <w:rPr>
          <w:sz w:val="20"/>
          <w:szCs w:val="20"/>
        </w:rPr>
        <w:t xml:space="preserve"> (1996) (The case-level analysis clearly showed that early judicial management significantly reduced time to disposition, lowering the median time by about 1.5 months....The component of early management that had the biggest effect was setting the trial date early. Indeed, early management that includes setting the trial date early reduces median time by an additional 1.5 to 2 months.) </w:t>
      </w:r>
    </w:p>
  </w:footnote>
  <w:footnote w:id="273">
    <w:p w14:paraId="5360F70E" w14:textId="77777777" w:rsidR="00F62B2D" w:rsidRPr="0006188E" w:rsidRDefault="00F62B2D" w:rsidP="00F62B2D">
      <w:pPr>
        <w:pStyle w:val="NoSpacing"/>
        <w:jc w:val="both"/>
        <w:rPr>
          <w:rFonts w:cs="Times New Roman"/>
          <w:sz w:val="20"/>
          <w:szCs w:val="20"/>
        </w:rPr>
      </w:pPr>
      <w:r w:rsidRPr="0006188E">
        <w:rPr>
          <w:rStyle w:val="FootnoteReference"/>
          <w:rFonts w:cs="Times New Roman"/>
          <w:sz w:val="20"/>
          <w:szCs w:val="20"/>
        </w:rPr>
        <w:footnoteRef/>
      </w:r>
      <w:r w:rsidRPr="0006188E">
        <w:rPr>
          <w:rFonts w:cs="Times New Roman"/>
          <w:sz w:val="20"/>
          <w:szCs w:val="20"/>
        </w:rPr>
        <w:t xml:space="preserve"> </w:t>
      </w:r>
      <w:r w:rsidRPr="0006188E">
        <w:rPr>
          <w:rFonts w:cs="Times New Roman"/>
          <w:i/>
          <w:iCs/>
          <w:sz w:val="20"/>
          <w:szCs w:val="20"/>
        </w:rPr>
        <w:t>See</w:t>
      </w:r>
      <w:r w:rsidRPr="0006188E">
        <w:rPr>
          <w:rFonts w:cs="Times New Roman"/>
          <w:sz w:val="20"/>
          <w:szCs w:val="20"/>
        </w:rPr>
        <w:t>,</w:t>
      </w:r>
      <w:r w:rsidRPr="0006188E">
        <w:rPr>
          <w:rFonts w:cs="Times New Roman"/>
          <w:color w:val="4A4A4A"/>
          <w:sz w:val="20"/>
          <w:szCs w:val="20"/>
          <w:shd w:val="clear" w:color="auto" w:fill="FFFFFF"/>
        </w:rPr>
        <w:t xml:space="preserve"> </w:t>
      </w:r>
      <w:r w:rsidRPr="0006188E">
        <w:rPr>
          <w:rStyle w:val="Emphasis"/>
          <w:rFonts w:cs="Times New Roman"/>
          <w:color w:val="4A4A4A"/>
          <w:sz w:val="20"/>
          <w:szCs w:val="20"/>
          <w:shd w:val="clear" w:color="auto" w:fill="FFFFFF"/>
        </w:rPr>
        <w:t>In Re Bard IVC Filters Prod. Liab. Litig</w:t>
      </w:r>
      <w:r w:rsidRPr="0006188E">
        <w:rPr>
          <w:rFonts w:cs="Times New Roman"/>
          <w:color w:val="4A4A4A"/>
          <w:sz w:val="20"/>
          <w:szCs w:val="20"/>
          <w:shd w:val="clear" w:color="auto" w:fill="FFFFFF"/>
        </w:rPr>
        <w:t>., MDL No. 2641, Suggestion of Remand and Transfer Order (D. Ariz. Aug. 20, 2019) (</w:t>
      </w:r>
      <w:r>
        <w:rPr>
          <w:rFonts w:cs="Times New Roman"/>
          <w:color w:val="4A4A4A"/>
          <w:sz w:val="20"/>
          <w:szCs w:val="20"/>
          <w:shd w:val="clear" w:color="auto" w:fill="FFFFFF"/>
        </w:rPr>
        <w:t>S</w:t>
      </w:r>
      <w:r w:rsidRPr="0006188E">
        <w:rPr>
          <w:rFonts w:cs="Times New Roman"/>
          <w:color w:val="4A4A4A"/>
          <w:sz w:val="20"/>
          <w:szCs w:val="20"/>
          <w:shd w:val="clear" w:color="auto" w:fill="FFFFFF"/>
        </w:rPr>
        <w:t>etting deadline for settl</w:t>
      </w:r>
      <w:r>
        <w:rPr>
          <w:rFonts w:cs="Times New Roman"/>
          <w:color w:val="4A4A4A"/>
          <w:sz w:val="20"/>
          <w:szCs w:val="20"/>
          <w:shd w:val="clear" w:color="auto" w:fill="FFFFFF"/>
        </w:rPr>
        <w:t>e</w:t>
      </w:r>
      <w:r w:rsidRPr="0006188E">
        <w:rPr>
          <w:rFonts w:cs="Times New Roman"/>
          <w:color w:val="4A4A4A"/>
          <w:sz w:val="20"/>
          <w:szCs w:val="20"/>
          <w:shd w:val="clear" w:color="auto" w:fill="FFFFFF"/>
        </w:rPr>
        <w:t>ments before remanding</w:t>
      </w:r>
      <w:r>
        <w:rPr>
          <w:rFonts w:cs="Times New Roman"/>
          <w:color w:val="4A4A4A"/>
          <w:sz w:val="20"/>
          <w:szCs w:val="20"/>
          <w:shd w:val="clear" w:color="auto" w:fill="FFFFFF"/>
        </w:rPr>
        <w:t xml:space="preserve"> resulting in thousands of actions being settled within 6-12 months, while remanding approximately 1,000 actions to transferor courts.</w:t>
      </w:r>
      <w:r w:rsidRPr="0006188E">
        <w:rPr>
          <w:rFonts w:cs="Times New Roman"/>
          <w:color w:val="4A4A4A"/>
          <w:sz w:val="20"/>
          <w:szCs w:val="20"/>
          <w:shd w:val="clear" w:color="auto" w:fill="FFFFFF"/>
        </w:rPr>
        <w:t>) </w:t>
      </w:r>
      <w:r w:rsidRPr="00CA548F">
        <w:rPr>
          <w:rFonts w:cs="Times New Roman"/>
          <w:i/>
          <w:iCs/>
          <w:color w:val="4A4A4A"/>
          <w:sz w:val="20"/>
          <w:szCs w:val="20"/>
          <w:shd w:val="clear" w:color="auto" w:fill="FFFFFF"/>
        </w:rPr>
        <w:t>Compare with</w:t>
      </w:r>
      <w:r>
        <w:rPr>
          <w:rFonts w:cs="Times New Roman"/>
          <w:color w:val="4A4A4A"/>
          <w:sz w:val="20"/>
          <w:szCs w:val="20"/>
          <w:shd w:val="clear" w:color="auto" w:fill="FFFFFF"/>
        </w:rPr>
        <w:t xml:space="preserve"> </w:t>
      </w:r>
      <w:r w:rsidRPr="00CA548F">
        <w:rPr>
          <w:rFonts w:cs="Times New Roman"/>
          <w:i/>
          <w:iCs/>
          <w:color w:val="4A4A4A"/>
          <w:sz w:val="20"/>
          <w:szCs w:val="20"/>
          <w:shd w:val="clear" w:color="auto" w:fill="FFFFFF"/>
        </w:rPr>
        <w:t>In re Cook Medical, IVC Filters</w:t>
      </w:r>
      <w:r>
        <w:rPr>
          <w:rFonts w:cs="Times New Roman"/>
          <w:color w:val="4A4A4A"/>
          <w:sz w:val="20"/>
          <w:szCs w:val="20"/>
          <w:shd w:val="clear" w:color="auto" w:fill="FFFFFF"/>
        </w:rPr>
        <w:t xml:space="preserve">, MDL No. 2570, which was centralized a few moths after In re Bard IVC Filters, included a similar number of actions, similar defective medical devices,  and similar injuries.  But </w:t>
      </w:r>
      <w:r w:rsidRPr="00CA548F">
        <w:rPr>
          <w:rFonts w:cs="Times New Roman"/>
          <w:i/>
          <w:iCs/>
          <w:color w:val="4A4A4A"/>
          <w:sz w:val="20"/>
          <w:szCs w:val="20"/>
          <w:shd w:val="clear" w:color="auto" w:fill="FFFFFF"/>
        </w:rPr>
        <w:t>Bard IVC Filters</w:t>
      </w:r>
      <w:r>
        <w:rPr>
          <w:rFonts w:cs="Times New Roman"/>
          <w:color w:val="4A4A4A"/>
          <w:sz w:val="20"/>
          <w:szCs w:val="20"/>
          <w:shd w:val="clear" w:color="auto" w:fill="FFFFFF"/>
        </w:rPr>
        <w:t xml:space="preserve"> was terminated in 2021, while </w:t>
      </w:r>
      <w:r w:rsidRPr="00CA548F">
        <w:rPr>
          <w:rFonts w:cs="Times New Roman"/>
          <w:i/>
          <w:iCs/>
          <w:color w:val="4A4A4A"/>
          <w:sz w:val="20"/>
          <w:szCs w:val="20"/>
          <w:shd w:val="clear" w:color="auto" w:fill="FFFFFF"/>
        </w:rPr>
        <w:t>In re Cook Medical</w:t>
      </w:r>
      <w:r>
        <w:rPr>
          <w:rFonts w:cs="Times New Roman"/>
          <w:color w:val="4A4A4A"/>
          <w:sz w:val="20"/>
          <w:szCs w:val="20"/>
          <w:shd w:val="clear" w:color="auto" w:fill="FFFFFF"/>
        </w:rPr>
        <w:t xml:space="preserve"> continues strong as of August 2025. </w:t>
      </w:r>
    </w:p>
  </w:footnote>
  <w:footnote w:id="274">
    <w:p w14:paraId="0BB3B2D1" w14:textId="482F5236" w:rsidR="00F62B2D" w:rsidRPr="005F7C33" w:rsidRDefault="00F62B2D" w:rsidP="00F62B2D">
      <w:pPr>
        <w:pStyle w:val="FootnoteText"/>
        <w:jc w:val="both"/>
        <w:rPr>
          <w:rFonts w:cs="Times New Roman"/>
        </w:rPr>
      </w:pPr>
      <w:r>
        <w:rPr>
          <w:rStyle w:val="FootnoteReference"/>
        </w:rPr>
        <w:footnoteRef/>
      </w:r>
      <w:r>
        <w:t xml:space="preserve"> </w:t>
      </w:r>
      <w:r w:rsidRPr="007927E0">
        <w:rPr>
          <w:rFonts w:cs="Times New Roman"/>
          <w:i/>
          <w:iCs/>
        </w:rPr>
        <w:t>See</w:t>
      </w:r>
      <w:r>
        <w:t xml:space="preserve"> </w:t>
      </w:r>
      <w:r w:rsidR="001B7640">
        <w:rPr>
          <w:rFonts w:cs="Times New Roman"/>
        </w:rPr>
        <w:t>FED. R. CIV. P.</w:t>
      </w:r>
      <w:r w:rsidRPr="00EF7935">
        <w:rPr>
          <w:rFonts w:cs="Times New Roman"/>
        </w:rPr>
        <w:t xml:space="preserve"> 16.1(</w:t>
      </w:r>
      <w:r>
        <w:rPr>
          <w:rFonts w:cs="Times New Roman"/>
        </w:rPr>
        <w:t>c</w:t>
      </w:r>
      <w:r w:rsidRPr="00EF7935">
        <w:rPr>
          <w:rFonts w:cs="Times New Roman"/>
        </w:rPr>
        <w:t>)</w:t>
      </w:r>
      <w:r>
        <w:rPr>
          <w:rFonts w:cs="Times New Roman"/>
        </w:rPr>
        <w:t xml:space="preserve"> (4) </w:t>
      </w:r>
      <w:r w:rsidRPr="00EF7935">
        <w:rPr>
          <w:rFonts w:cs="Times New Roman"/>
        </w:rPr>
        <w:t>(</w:t>
      </w:r>
      <w:r>
        <w:rPr>
          <w:rFonts w:cs="Times New Roman"/>
        </w:rPr>
        <w:t>December 1, 2025</w:t>
      </w:r>
      <w:r w:rsidRPr="00EF7935">
        <w:rPr>
          <w:rFonts w:cs="Times New Roman"/>
        </w:rPr>
        <w:t>).</w:t>
      </w:r>
    </w:p>
  </w:footnote>
  <w:footnote w:id="275">
    <w:p w14:paraId="07DFA896" w14:textId="77777777" w:rsidR="00F62B2D" w:rsidRDefault="00F62B2D" w:rsidP="00F62B2D">
      <w:pPr>
        <w:pStyle w:val="NoSpacing"/>
        <w:jc w:val="both"/>
      </w:pPr>
      <w:r>
        <w:rPr>
          <w:rStyle w:val="FootnoteReference"/>
        </w:rPr>
        <w:footnoteRef/>
      </w:r>
      <w:r>
        <w:t xml:space="preserve"> </w:t>
      </w:r>
      <w:r w:rsidRPr="009F494F">
        <w:rPr>
          <w:sz w:val="20"/>
          <w:szCs w:val="20"/>
        </w:rPr>
        <w:t>Courts have developed and provided remand packages to transferor courts, which summarize the key activities and rulings made in the MDL.  Transferor courts often follow the rulings in the MDL, especially those dealing with general</w:t>
      </w:r>
      <w:r>
        <w:rPr>
          <w:sz w:val="20"/>
          <w:szCs w:val="20"/>
        </w:rPr>
        <w:t>-</w:t>
      </w:r>
      <w:r w:rsidRPr="009F494F">
        <w:rPr>
          <w:sz w:val="20"/>
          <w:szCs w:val="20"/>
        </w:rPr>
        <w:t>discovery issues, which streamlines the process.</w:t>
      </w:r>
      <w:r w:rsidRPr="009F494F">
        <w:t xml:space="preserve"> </w:t>
      </w:r>
    </w:p>
  </w:footnote>
  <w:footnote w:id="276">
    <w:p w14:paraId="2A533FDC" w14:textId="77777777" w:rsidR="00F62B2D" w:rsidRPr="00EF7935" w:rsidRDefault="00F62B2D" w:rsidP="00F62B2D">
      <w:pPr>
        <w:pStyle w:val="FootnoteText"/>
        <w:rPr>
          <w:rFonts w:cs="Times New Roman"/>
        </w:rPr>
      </w:pPr>
      <w:r w:rsidRPr="00EF7935">
        <w:rPr>
          <w:rStyle w:val="FootnoteReference"/>
          <w:rFonts w:cs="Times New Roman"/>
        </w:rPr>
        <w:footnoteRef/>
      </w:r>
      <w:r w:rsidRPr="00EF7935">
        <w:rPr>
          <w:rFonts w:cs="Times New Roman"/>
        </w:rPr>
        <w:t xml:space="preserve"> MCL, </w:t>
      </w:r>
      <w:r w:rsidRPr="00EF7935">
        <w:rPr>
          <w:rFonts w:cs="Times New Roman"/>
          <w:smallCaps/>
        </w:rPr>
        <w:t>§ 40.52.</w:t>
      </w:r>
      <w:r>
        <w:rPr>
          <w:rFonts w:cs="Times New Roman"/>
          <w:smallCaps/>
        </w:rPr>
        <w:t xml:space="preserve"> </w:t>
      </w:r>
      <w:r w:rsidRPr="003614C6">
        <w:rPr>
          <w:rFonts w:cs="Times New Roman"/>
        </w:rPr>
        <w:t xml:space="preserve">The </w:t>
      </w:r>
      <w:r>
        <w:rPr>
          <w:rFonts w:cs="Times New Roman"/>
        </w:rPr>
        <w:t xml:space="preserve">Fifth Edition of the </w:t>
      </w:r>
      <w:r w:rsidRPr="003614C6">
        <w:rPr>
          <w:rFonts w:cs="Times New Roman"/>
          <w:smallCaps/>
        </w:rPr>
        <w:t>Manual for Complex Litigation</w:t>
      </w:r>
      <w:r>
        <w:rPr>
          <w:rFonts w:cs="Times New Roman"/>
        </w:rPr>
        <w:t xml:space="preserve"> is expected to be issued late in 2025.</w:t>
      </w:r>
    </w:p>
  </w:footnote>
  <w:footnote w:id="277">
    <w:p w14:paraId="56C5ABB2" w14:textId="4F6C8322" w:rsidR="00F62B2D" w:rsidRPr="00E30C7B" w:rsidRDefault="00F62B2D" w:rsidP="00F62B2D">
      <w:pPr>
        <w:pStyle w:val="FootnoteText"/>
        <w:jc w:val="both"/>
        <w:rPr>
          <w:rFonts w:cs="Times New Roman"/>
        </w:rPr>
      </w:pPr>
      <w:r>
        <w:rPr>
          <w:rStyle w:val="FootnoteReference"/>
        </w:rPr>
        <w:footnoteRef/>
      </w:r>
      <w:r>
        <w:t xml:space="preserve"> </w:t>
      </w:r>
      <w:r w:rsidRPr="00FA424B">
        <w:rPr>
          <w:rFonts w:cs="Times New Roman"/>
          <w:i/>
          <w:iCs/>
        </w:rPr>
        <w:t>See</w:t>
      </w:r>
      <w:r>
        <w:rPr>
          <w:rFonts w:cs="Times New Roman"/>
        </w:rPr>
        <w:t xml:space="preserve"> </w:t>
      </w:r>
      <w:r w:rsidR="001B7640">
        <w:rPr>
          <w:rFonts w:cs="Times New Roman"/>
        </w:rPr>
        <w:t>FED. R. CIV. P.</w:t>
      </w:r>
      <w:r>
        <w:rPr>
          <w:rFonts w:cs="Times New Roman"/>
        </w:rPr>
        <w:t xml:space="preserve"> 16.1(c), Committee Note (December 1, 2025) (The Note makes clear that the “initial management order need not address all matters designated under Rule 16.1(b),” despite the text of the rule, which instructs the court to address the matters in Rule 16(b).  The text of </w:t>
      </w:r>
      <w:r w:rsidR="001B7640">
        <w:rPr>
          <w:rFonts w:cs="Times New Roman"/>
        </w:rPr>
        <w:t>FED. R. CIV. P.</w:t>
      </w:r>
      <w:r>
        <w:rPr>
          <w:rFonts w:cs="Times New Roman"/>
        </w:rPr>
        <w:t xml:space="preserve"> 16(d) is better and says: “After any conference under this rule (pretrial conference) the court should issue an order reciting the action taken.”)</w:t>
      </w:r>
    </w:p>
  </w:footnote>
  <w:footnote w:id="278">
    <w:p w14:paraId="78589E28" w14:textId="521B3B34" w:rsidR="00F62B2D" w:rsidRPr="00EF7935" w:rsidRDefault="00F62B2D" w:rsidP="00F62B2D">
      <w:pPr>
        <w:pStyle w:val="FootnoteText"/>
        <w:jc w:val="both"/>
        <w:rPr>
          <w:rFonts w:cs="Times New Roman"/>
        </w:rPr>
      </w:pPr>
      <w:r w:rsidRPr="00EF7935">
        <w:rPr>
          <w:rStyle w:val="FootnoteReference"/>
          <w:rFonts w:cs="Times New Roman"/>
        </w:rPr>
        <w:footnoteRef/>
      </w:r>
      <w:r w:rsidRPr="00EF7935">
        <w:rPr>
          <w:rFonts w:cs="Times New Roman"/>
        </w:rPr>
        <w:t xml:space="preserve">  </w:t>
      </w:r>
      <w:r w:rsidR="001B7640">
        <w:rPr>
          <w:rFonts w:cs="Times New Roman"/>
        </w:rPr>
        <w:t>FED. R. CIV. P.</w:t>
      </w:r>
      <w:r w:rsidRPr="00EF7935">
        <w:rPr>
          <w:rFonts w:cs="Times New Roman"/>
        </w:rPr>
        <w:t xml:space="preserve"> 16.1(</w:t>
      </w:r>
      <w:r>
        <w:rPr>
          <w:rFonts w:cs="Times New Roman"/>
        </w:rPr>
        <w:t>c</w:t>
      </w:r>
      <w:r w:rsidRPr="00EF7935">
        <w:rPr>
          <w:rFonts w:cs="Times New Roman"/>
        </w:rPr>
        <w:t>), Committee Note (</w:t>
      </w:r>
      <w:r>
        <w:rPr>
          <w:rFonts w:cs="Times New Roman"/>
        </w:rPr>
        <w:t>December 1, 2025</w:t>
      </w:r>
      <w:r w:rsidRPr="00EF7935">
        <w:rPr>
          <w:rFonts w:cs="Times New Roman"/>
        </w:rPr>
        <w:t>).</w:t>
      </w:r>
    </w:p>
  </w:footnote>
  <w:footnote w:id="279">
    <w:p w14:paraId="7AB86435" w14:textId="77777777" w:rsidR="00F62B2D" w:rsidRPr="00531DED" w:rsidRDefault="00F62B2D" w:rsidP="00F62B2D">
      <w:pPr>
        <w:pStyle w:val="FootnoteText"/>
        <w:rPr>
          <w:rFonts w:ascii="Century Schoolbook" w:hAnsi="Century Schoolbook"/>
        </w:rPr>
      </w:pPr>
      <w:r w:rsidRPr="00531DED">
        <w:rPr>
          <w:rStyle w:val="FootnoteReference"/>
          <w:rFonts w:ascii="Century Schoolbook" w:hAnsi="Century Schoolbook"/>
        </w:rPr>
        <w:footnoteRef/>
      </w:r>
      <w:r w:rsidRPr="00531DED">
        <w:rPr>
          <w:rFonts w:ascii="Century Schoolbook" w:hAnsi="Century Schoolbook"/>
        </w:rPr>
        <w:t xml:space="preserve"> MCL, </w:t>
      </w:r>
      <w:r w:rsidRPr="00531DED">
        <w:rPr>
          <w:rFonts w:ascii="Century Schoolbook" w:hAnsi="Century Schoolbook"/>
          <w:smallCaps/>
        </w:rPr>
        <w:t>§ 11.211.</w:t>
      </w:r>
    </w:p>
  </w:footnote>
  <w:footnote w:id="280">
    <w:p w14:paraId="0EE932E1" w14:textId="77777777" w:rsidR="00F62B2D" w:rsidRPr="00BF16F1" w:rsidRDefault="00F62B2D" w:rsidP="00F62B2D">
      <w:pPr>
        <w:pStyle w:val="FootnoteText"/>
        <w:jc w:val="both"/>
        <w:rPr>
          <w:rFonts w:cs="Times New Roman"/>
        </w:rPr>
      </w:pPr>
      <w:r w:rsidRPr="00BF16F1">
        <w:rPr>
          <w:rStyle w:val="FootnoteReference"/>
          <w:rFonts w:cs="Times New Roman"/>
        </w:rPr>
        <w:footnoteRef/>
      </w:r>
      <w:r w:rsidRPr="00BF16F1">
        <w:rPr>
          <w:rFonts w:cs="Times New Roman"/>
        </w:rPr>
        <w:t xml:space="preserve"> E.g., </w:t>
      </w:r>
      <w:r w:rsidRPr="00714367">
        <w:rPr>
          <w:rFonts w:cs="Times New Roman"/>
          <w:i/>
          <w:iCs/>
        </w:rPr>
        <w:t>In re Incretin-Based Therapies Prod. Liab. Litig</w:t>
      </w:r>
      <w:r w:rsidRPr="00BF16F1">
        <w:rPr>
          <w:rFonts w:cs="Times New Roman"/>
        </w:rPr>
        <w:t xml:space="preserve">., 524 F. Supp. 3d 1007, 1033 (S.D. Cal. 2021) (granting defendants’ summary judgment motion on issue of preemption); </w:t>
      </w:r>
      <w:r w:rsidRPr="00714367">
        <w:rPr>
          <w:rFonts w:cs="Times New Roman"/>
          <w:i/>
          <w:iCs/>
        </w:rPr>
        <w:t xml:space="preserve">In re Taxotere (Docetaxel) Prod. Liab. Litig., </w:t>
      </w:r>
      <w:r w:rsidRPr="00BF16F1">
        <w:rPr>
          <w:rFonts w:cs="Times New Roman"/>
        </w:rPr>
        <w:t>508 F. Supp. 3d 71, 86 (E.D. La. 2020) (rejecting defendant’s preemption summary judgment motion arguing that FDA would have rejected a warning in the “Adverse Reactions” section of the drug label).</w:t>
      </w:r>
    </w:p>
  </w:footnote>
  <w:footnote w:id="281">
    <w:p w14:paraId="23518B53" w14:textId="77777777" w:rsidR="00F62B2D" w:rsidRPr="00BF16F1" w:rsidRDefault="00F62B2D" w:rsidP="00F62B2D">
      <w:pPr>
        <w:pStyle w:val="FootnoteText"/>
        <w:jc w:val="both"/>
        <w:rPr>
          <w:rFonts w:cs="Times New Roman"/>
        </w:rPr>
      </w:pPr>
      <w:r w:rsidRPr="00BF16F1">
        <w:rPr>
          <w:rStyle w:val="FootnoteReference"/>
          <w:rFonts w:cs="Times New Roman"/>
        </w:rPr>
        <w:footnoteRef/>
      </w:r>
      <w:r w:rsidRPr="00BF16F1">
        <w:rPr>
          <w:rFonts w:cs="Times New Roman"/>
        </w:rPr>
        <w:t xml:space="preserve"> Pursuant to Merck Sharp &amp; Dohme Corp. v. Albrecht, 139 S. Ct. 1668 (2019), preemption is an issue of law for the judge to decide, including “contested brute facts” if relevant to the Court’s legal determination about the meaning and effect of an agency decision.</w:t>
      </w:r>
    </w:p>
  </w:footnote>
  <w:footnote w:id="282">
    <w:p w14:paraId="0A5AC1BA" w14:textId="77777777" w:rsidR="00F62B2D" w:rsidRPr="00BF16F1" w:rsidRDefault="00F62B2D" w:rsidP="00F62B2D">
      <w:pPr>
        <w:pStyle w:val="FootnoteText"/>
        <w:jc w:val="both"/>
        <w:rPr>
          <w:rFonts w:cs="Times New Roman"/>
        </w:rPr>
      </w:pPr>
      <w:r w:rsidRPr="00BF16F1">
        <w:rPr>
          <w:rStyle w:val="FootnoteReference"/>
          <w:rFonts w:cs="Times New Roman"/>
        </w:rPr>
        <w:footnoteRef/>
      </w:r>
      <w:r w:rsidRPr="00BF16F1">
        <w:rPr>
          <w:rFonts w:cs="Times New Roman"/>
        </w:rPr>
        <w:t xml:space="preserve"> E.g., </w:t>
      </w:r>
      <w:r w:rsidRPr="00714367">
        <w:rPr>
          <w:rFonts w:cs="Times New Roman"/>
          <w:i/>
          <w:iCs/>
        </w:rPr>
        <w:t>In re Lipitor (Atorvastatin Calcium) Mktg., Sales Prac. &amp; Prod. Liab. Litig</w:t>
      </w:r>
      <w:r w:rsidRPr="00BF16F1">
        <w:rPr>
          <w:rFonts w:cs="Times New Roman"/>
        </w:rPr>
        <w:t>.</w:t>
      </w:r>
      <w:r w:rsidRPr="00BF16F1">
        <w:rPr>
          <w:rFonts w:cs="Times New Roman"/>
          <w:i/>
          <w:iCs/>
        </w:rPr>
        <w:t xml:space="preserve">, </w:t>
      </w:r>
      <w:r w:rsidRPr="00BF16F1">
        <w:rPr>
          <w:rFonts w:cs="Times New Roman"/>
        </w:rPr>
        <w:t xml:space="preserve">892 F.3d 624 (4th Cir. 2018)(affirming MDL court’s exclusion of general causation expert testimony and resulting summary judgment); </w:t>
      </w:r>
      <w:r w:rsidRPr="00714367">
        <w:rPr>
          <w:rFonts w:cs="Times New Roman"/>
          <w:i/>
          <w:iCs/>
        </w:rPr>
        <w:t>In re Zoloft (Sertraline Hydrochloride) Prod. Liab. Litig</w:t>
      </w:r>
      <w:r w:rsidRPr="00BF16F1">
        <w:rPr>
          <w:rFonts w:cs="Times New Roman"/>
        </w:rPr>
        <w:t xml:space="preserve">., 858 F.3d 787, 797 (3d Cir. 2017) (same); </w:t>
      </w:r>
      <w:r w:rsidRPr="00714367">
        <w:rPr>
          <w:rFonts w:cs="Times New Roman"/>
          <w:i/>
          <w:iCs/>
        </w:rPr>
        <w:t>In re Johnson &amp;</w:t>
      </w:r>
      <w:r w:rsidRPr="00BF16F1">
        <w:rPr>
          <w:rFonts w:cs="Times New Roman"/>
        </w:rPr>
        <w:t xml:space="preserve"> </w:t>
      </w:r>
      <w:r w:rsidRPr="00714367">
        <w:rPr>
          <w:rFonts w:cs="Times New Roman"/>
          <w:i/>
          <w:iCs/>
        </w:rPr>
        <w:t>Johnson Talcum Powder Prod. Mktg., Sales Pracs. &amp; Prod. Litig.,</w:t>
      </w:r>
      <w:r w:rsidRPr="00BF16F1">
        <w:rPr>
          <w:rFonts w:cs="Times New Roman"/>
        </w:rPr>
        <w:t xml:space="preserve"> 509 F. Supp. 3d 116, 163 (D.N.J. 2020)</w:t>
      </w:r>
      <w:r>
        <w:rPr>
          <w:rFonts w:cs="Times New Roman"/>
        </w:rPr>
        <w:t xml:space="preserve"> </w:t>
      </w:r>
      <w:r w:rsidRPr="00BF16F1">
        <w:rPr>
          <w:rFonts w:cs="Times New Roman"/>
        </w:rPr>
        <w:t>(rejecting defendant’s motion to exclude general causation expert testimony on association of talc and ovarian cancer).</w:t>
      </w:r>
    </w:p>
  </w:footnote>
  <w:footnote w:id="283">
    <w:p w14:paraId="56C6B67D" w14:textId="77777777" w:rsidR="00F62B2D" w:rsidRPr="00BF16F1" w:rsidRDefault="00F62B2D" w:rsidP="00F62B2D">
      <w:pPr>
        <w:pStyle w:val="FootnoteText"/>
        <w:jc w:val="both"/>
        <w:rPr>
          <w:rFonts w:cs="Times New Roman"/>
        </w:rPr>
      </w:pPr>
      <w:r w:rsidRPr="00BF16F1">
        <w:rPr>
          <w:rStyle w:val="FootnoteReference"/>
          <w:rFonts w:cs="Times New Roman"/>
        </w:rPr>
        <w:footnoteRef/>
      </w:r>
      <w:r w:rsidRPr="00BF16F1">
        <w:rPr>
          <w:rFonts w:cs="Times New Roman"/>
        </w:rPr>
        <w:t xml:space="preserve"> See 16 Federal Practice &amp; Procedure:  Jurisdiction 3d §§ 3929 -31.</w:t>
      </w:r>
    </w:p>
  </w:footnote>
  <w:footnote w:id="284">
    <w:p w14:paraId="366FCC99" w14:textId="77777777" w:rsidR="00CE2632" w:rsidRDefault="00CE2632" w:rsidP="00CE2632">
      <w:pPr>
        <w:pStyle w:val="FootnoteText"/>
        <w:jc w:val="both"/>
      </w:pPr>
      <w:r>
        <w:rPr>
          <w:rStyle w:val="FootnoteReference"/>
        </w:rPr>
        <w:footnoteRef/>
      </w:r>
      <w:r>
        <w:t xml:space="preserve"> </w:t>
      </w:r>
      <w:r w:rsidRPr="00047F08">
        <w:rPr>
          <w:i/>
          <w:iCs/>
        </w:rPr>
        <w:t>See</w:t>
      </w:r>
      <w:r>
        <w:t xml:space="preserve"> Judicial Management of Mass Tort Bankruptcy Cases, Gibson, Elizabeth, p. 2-3 Federal Judicial Center (2005).</w:t>
      </w:r>
    </w:p>
  </w:footnote>
  <w:footnote w:id="285">
    <w:p w14:paraId="7A08E73D" w14:textId="77777777" w:rsidR="00CE2632" w:rsidRDefault="00CE2632" w:rsidP="00CE2632">
      <w:pPr>
        <w:jc w:val="both"/>
      </w:pPr>
      <w:r>
        <w:rPr>
          <w:rStyle w:val="FootnoteReference"/>
        </w:rPr>
        <w:footnoteRef/>
      </w:r>
      <w:r>
        <w:t xml:space="preserve"> </w:t>
      </w:r>
      <w:r w:rsidRPr="00061547">
        <w:rPr>
          <w:rFonts w:cs="Times New Roman"/>
          <w:i/>
          <w:iCs/>
          <w:sz w:val="20"/>
          <w:szCs w:val="20"/>
        </w:rPr>
        <w:t xml:space="preserve">See </w:t>
      </w:r>
      <w:r w:rsidRPr="00061547">
        <w:rPr>
          <w:rFonts w:cs="Times New Roman"/>
          <w:i/>
          <w:iCs/>
          <w:color w:val="4A4A4A"/>
          <w:sz w:val="20"/>
          <w:szCs w:val="20"/>
          <w:shd w:val="clear" w:color="auto" w:fill="FFFFFF"/>
        </w:rPr>
        <w:t>Johnson and Johnson Talcum Powder</w:t>
      </w:r>
      <w:r w:rsidRPr="00061547">
        <w:rPr>
          <w:rFonts w:cs="Times New Roman"/>
          <w:color w:val="4A4A4A"/>
          <w:sz w:val="20"/>
          <w:szCs w:val="20"/>
          <w:shd w:val="clear" w:color="auto" w:fill="FFFFFF"/>
        </w:rPr>
        <w:t xml:space="preserve"> (MDL No. 2738)</w:t>
      </w:r>
      <w:r>
        <w:rPr>
          <w:rFonts w:cs="Times New Roman"/>
          <w:color w:val="4A4A4A"/>
          <w:sz w:val="20"/>
          <w:szCs w:val="20"/>
          <w:shd w:val="clear" w:color="auto" w:fill="FFFFFF"/>
        </w:rPr>
        <w:t>;</w:t>
      </w:r>
      <w:r w:rsidRPr="00061547">
        <w:rPr>
          <w:rFonts w:cs="Times New Roman"/>
          <w:color w:val="4A4A4A"/>
          <w:sz w:val="20"/>
          <w:szCs w:val="20"/>
          <w:shd w:val="clear" w:color="auto" w:fill="FFFFFF"/>
        </w:rPr>
        <w:t> </w:t>
      </w:r>
      <w:r w:rsidRPr="00061547">
        <w:rPr>
          <w:rStyle w:val="Emphasis"/>
          <w:rFonts w:cs="Times New Roman"/>
          <w:color w:val="4A4A4A"/>
          <w:sz w:val="20"/>
          <w:szCs w:val="20"/>
          <w:shd w:val="clear" w:color="auto" w:fill="FFFFFF"/>
        </w:rPr>
        <w:t>3M Combat Arms Earplug (MDL No. 2885)</w:t>
      </w:r>
      <w:r>
        <w:rPr>
          <w:rStyle w:val="Emphasis"/>
          <w:rFonts w:cs="Times New Roman"/>
          <w:color w:val="4A4A4A"/>
          <w:sz w:val="20"/>
          <w:szCs w:val="20"/>
          <w:shd w:val="clear" w:color="auto" w:fill="FFFFFF"/>
        </w:rPr>
        <w:t>;</w:t>
      </w:r>
      <w:r w:rsidRPr="00061547">
        <w:rPr>
          <w:rFonts w:cs="Times New Roman"/>
          <w:color w:val="4A4A4A"/>
          <w:sz w:val="20"/>
          <w:szCs w:val="20"/>
          <w:shd w:val="clear" w:color="auto" w:fill="FFFFFF"/>
        </w:rPr>
        <w:t> </w:t>
      </w:r>
      <w:r w:rsidRPr="00061547">
        <w:rPr>
          <w:rStyle w:val="Emphasis"/>
          <w:rFonts w:cs="Times New Roman"/>
          <w:color w:val="4A4A4A"/>
          <w:sz w:val="20"/>
          <w:szCs w:val="20"/>
          <w:shd w:val="clear" w:color="auto" w:fill="FFFFFF"/>
        </w:rPr>
        <w:t>Hair Relaxer (</w:t>
      </w:r>
      <w:r>
        <w:rPr>
          <w:rStyle w:val="Emphasis"/>
          <w:rFonts w:cs="Times New Roman"/>
          <w:color w:val="4A4A4A"/>
          <w:sz w:val="20"/>
          <w:szCs w:val="20"/>
          <w:shd w:val="clear" w:color="auto" w:fill="FFFFFF"/>
        </w:rPr>
        <w:t xml:space="preserve">MDL No. </w:t>
      </w:r>
      <w:r w:rsidRPr="00061547">
        <w:rPr>
          <w:rStyle w:val="Emphasis"/>
          <w:rFonts w:cs="Times New Roman"/>
          <w:color w:val="4A4A4A"/>
          <w:sz w:val="20"/>
          <w:szCs w:val="20"/>
          <w:shd w:val="clear" w:color="auto" w:fill="FFFFFF"/>
        </w:rPr>
        <w:t>3060)</w:t>
      </w:r>
      <w:r>
        <w:rPr>
          <w:rStyle w:val="Emphasis"/>
          <w:rFonts w:cs="Times New Roman"/>
          <w:color w:val="4A4A4A"/>
          <w:sz w:val="20"/>
          <w:szCs w:val="20"/>
          <w:shd w:val="clear" w:color="auto" w:fill="FFFFFF"/>
        </w:rPr>
        <w:t>;</w:t>
      </w:r>
      <w:r w:rsidRPr="00061547">
        <w:rPr>
          <w:rFonts w:cs="Times New Roman"/>
          <w:color w:val="4A4A4A"/>
          <w:sz w:val="20"/>
          <w:szCs w:val="20"/>
          <w:shd w:val="clear" w:color="auto" w:fill="FFFFFF"/>
        </w:rPr>
        <w:t> </w:t>
      </w:r>
      <w:r w:rsidRPr="00061547">
        <w:rPr>
          <w:rFonts w:cs="Times New Roman"/>
          <w:i/>
          <w:iCs/>
          <w:color w:val="4A4A4A"/>
          <w:sz w:val="20"/>
          <w:szCs w:val="20"/>
          <w:shd w:val="clear" w:color="auto" w:fill="FFFFFF"/>
        </w:rPr>
        <w:t>National Prescription Opiate Litigation</w:t>
      </w:r>
      <w:r w:rsidRPr="00061547">
        <w:rPr>
          <w:rFonts w:cs="Times New Roman"/>
          <w:color w:val="4A4A4A"/>
          <w:sz w:val="20"/>
          <w:szCs w:val="20"/>
          <w:shd w:val="clear" w:color="auto" w:fill="FFFFFF"/>
        </w:rPr>
        <w:t xml:space="preserve"> (MDL No. 2804)</w:t>
      </w:r>
      <w:r>
        <w:rPr>
          <w:rFonts w:cs="Times New Roman"/>
          <w:color w:val="4A4A4A"/>
          <w:sz w:val="20"/>
          <w:szCs w:val="20"/>
          <w:shd w:val="clear" w:color="auto" w:fill="FFFFFF"/>
        </w:rPr>
        <w:t>;</w:t>
      </w:r>
      <w:r w:rsidRPr="00061547">
        <w:rPr>
          <w:rFonts w:cs="Times New Roman"/>
          <w:color w:val="4A4A4A"/>
          <w:sz w:val="20"/>
          <w:szCs w:val="20"/>
          <w:shd w:val="clear" w:color="auto" w:fill="FFFFFF"/>
        </w:rPr>
        <w:t xml:space="preserve"> and </w:t>
      </w:r>
      <w:r w:rsidRPr="00061547">
        <w:rPr>
          <w:rFonts w:cs="Times New Roman"/>
          <w:i/>
          <w:iCs/>
          <w:sz w:val="20"/>
          <w:szCs w:val="20"/>
        </w:rPr>
        <w:t xml:space="preserve">Exactech Polyethylene </w:t>
      </w:r>
      <w:r w:rsidRPr="00061547">
        <w:rPr>
          <w:i/>
          <w:iCs/>
          <w:sz w:val="20"/>
          <w:szCs w:val="20"/>
        </w:rPr>
        <w:t>Orthopedic</w:t>
      </w:r>
      <w:r w:rsidRPr="00061547">
        <w:rPr>
          <w:sz w:val="20"/>
          <w:szCs w:val="20"/>
        </w:rPr>
        <w:t> (MDL No. 3044).</w:t>
      </w:r>
    </w:p>
  </w:footnote>
  <w:footnote w:id="286">
    <w:p w14:paraId="1791FD33" w14:textId="77777777" w:rsidR="006F12BE" w:rsidRDefault="006F12BE" w:rsidP="006F12BE">
      <w:pPr>
        <w:pStyle w:val="FootnoteText"/>
        <w:jc w:val="both"/>
      </w:pPr>
      <w:r>
        <w:rPr>
          <w:rStyle w:val="FootnoteReference"/>
        </w:rPr>
        <w:footnoteRef/>
      </w:r>
      <w:r>
        <w:t xml:space="preserve">Administrative Office of the United States Courts, at </w:t>
      </w:r>
      <w:r w:rsidRPr="008E0754">
        <w:t>https://www.uscourts.gov/court-programs/bankruptcy/bankruptcy-basics/chapter-11-bankruptcy-basics</w:t>
      </w:r>
      <w:r>
        <w:t xml:space="preserve">. </w:t>
      </w:r>
    </w:p>
  </w:footnote>
  <w:footnote w:id="287">
    <w:p w14:paraId="56AB4EB7" w14:textId="77777777" w:rsidR="006F12BE" w:rsidRDefault="006F12BE" w:rsidP="006F12BE">
      <w:pPr>
        <w:jc w:val="both"/>
      </w:pPr>
      <w:r>
        <w:rPr>
          <w:rStyle w:val="FootnoteReference"/>
        </w:rPr>
        <w:footnoteRef/>
      </w:r>
      <w:r>
        <w:t xml:space="preserve"> </w:t>
      </w:r>
      <w:r w:rsidRPr="005441F4">
        <w:rPr>
          <w:sz w:val="20"/>
          <w:szCs w:val="20"/>
        </w:rPr>
        <w:t xml:space="preserve">A </w:t>
      </w:r>
      <w:r w:rsidRPr="005441F4">
        <w:rPr>
          <w:rFonts w:cs="Times New Roman"/>
          <w:sz w:val="20"/>
          <w:szCs w:val="20"/>
        </w:rPr>
        <w:t xml:space="preserve">summary of the plan as mentioned in Rule 3017(d) is rarely submitted </w:t>
      </w:r>
      <w:r w:rsidRPr="005441F4">
        <w:rPr>
          <w:rFonts w:cs="Times New Roman"/>
          <w:color w:val="222222"/>
          <w:sz w:val="20"/>
          <w:szCs w:val="20"/>
          <w:shd w:val="clear" w:color="auto" w:fill="FFFFFF"/>
        </w:rPr>
        <w:t>to</w:t>
      </w:r>
      <w:r w:rsidRPr="005441F4">
        <w:rPr>
          <w:rFonts w:cs="Times New Roman"/>
          <w:color w:val="FF0000"/>
          <w:sz w:val="20"/>
          <w:szCs w:val="20"/>
          <w:shd w:val="clear" w:color="auto" w:fill="FFFFFF"/>
        </w:rPr>
        <w:t xml:space="preserve"> </w:t>
      </w:r>
      <w:r w:rsidRPr="005441F4">
        <w:rPr>
          <w:rFonts w:cs="Times New Roman"/>
          <w:sz w:val="20"/>
          <w:szCs w:val="20"/>
          <w:shd w:val="clear" w:color="auto" w:fill="FFFFFF"/>
        </w:rPr>
        <w:t>creditors in lieu of sending them the entire plan.  But summaries of the plan are typically included in the disclosure statement, and when included as part of the disclosure statement, are, like the remainder of the disclosure statement, subject to the court’s approval.</w:t>
      </w:r>
    </w:p>
  </w:footnote>
  <w:footnote w:id="288">
    <w:p w14:paraId="04F79D5F" w14:textId="77777777" w:rsidR="006F12BE" w:rsidRDefault="006F12BE" w:rsidP="006F12BE">
      <w:pPr>
        <w:pStyle w:val="FootnoteText"/>
        <w:jc w:val="both"/>
      </w:pPr>
      <w:r>
        <w:rPr>
          <w:rStyle w:val="FootnoteReference"/>
        </w:rPr>
        <w:footnoteRef/>
      </w:r>
      <w:r>
        <w:t xml:space="preserve"> Fed. R. Bk. P. 3017(d) (additional information may include any that the “court may direct, including any court opinion approving the disclosure statement or a court-approved summary of the opinion”).</w:t>
      </w:r>
    </w:p>
  </w:footnote>
  <w:footnote w:id="289">
    <w:p w14:paraId="2A5D05A7" w14:textId="77777777" w:rsidR="006F12BE" w:rsidRDefault="006F12BE" w:rsidP="006F12BE">
      <w:pPr>
        <w:pStyle w:val="FootnoteText"/>
        <w:jc w:val="both"/>
      </w:pPr>
      <w:r>
        <w:rPr>
          <w:rStyle w:val="FootnoteReference"/>
        </w:rPr>
        <w:footnoteRef/>
      </w:r>
      <w:r>
        <w:t xml:space="preserve"> </w:t>
      </w:r>
      <w:r w:rsidRPr="00AE1D5A">
        <w:rPr>
          <w:i/>
          <w:iCs/>
        </w:rPr>
        <w:t>See</w:t>
      </w:r>
      <w:r>
        <w:t xml:space="preserve"> 11 U.S.C. </w:t>
      </w:r>
      <w:r>
        <w:rPr>
          <w:rFonts w:cs="Times New Roman"/>
        </w:rPr>
        <w:t>§</w:t>
      </w:r>
      <w:r>
        <w:t xml:space="preserve"> 1125(a)(1) (defining “adequate information”) and 11 U.S.C. </w:t>
      </w:r>
      <w:r>
        <w:rPr>
          <w:rFonts w:cs="Times New Roman"/>
        </w:rPr>
        <w:t>§</w:t>
      </w:r>
      <w:r>
        <w:t xml:space="preserve"> 1126(b) (requiring “adequate information” as condition for accepting plan); </w:t>
      </w:r>
      <w:r w:rsidRPr="00882BB6">
        <w:rPr>
          <w:i/>
          <w:iCs/>
        </w:rPr>
        <w:t>see also</w:t>
      </w:r>
      <w:r>
        <w:t xml:space="preserve"> </w:t>
      </w:r>
      <w:r w:rsidRPr="00882BB6">
        <w:rPr>
          <w:rFonts w:cs="Times New Roman"/>
        </w:rPr>
        <w:t>Best Practice MDL-§ 16(a)</w:t>
      </w:r>
      <w:r>
        <w:rPr>
          <w:rFonts w:cs="Times New Roman"/>
        </w:rPr>
        <w:t xml:space="preserve">, </w:t>
      </w:r>
      <w:r w:rsidRPr="00882BB6">
        <w:rPr>
          <w:rFonts w:cs="Times New Roman"/>
          <w:i/>
          <w:iCs/>
        </w:rPr>
        <w:t>supra</w:t>
      </w:r>
      <w:r>
        <w:rPr>
          <w:rFonts w:cs="Times New Roman"/>
        </w:rPr>
        <w:t xml:space="preserve">.  </w:t>
      </w:r>
    </w:p>
  </w:footnote>
  <w:footnote w:id="290">
    <w:p w14:paraId="4DAE9DBA" w14:textId="77777777" w:rsidR="006F12BE" w:rsidRDefault="006F12BE" w:rsidP="006F12BE">
      <w:pPr>
        <w:pStyle w:val="FootnoteText"/>
      </w:pPr>
      <w:r>
        <w:rPr>
          <w:rStyle w:val="FootnoteReference"/>
        </w:rPr>
        <w:footnoteRef/>
      </w:r>
      <w:r>
        <w:t xml:space="preserve"> </w:t>
      </w:r>
      <w:r w:rsidRPr="002F772B">
        <w:t xml:space="preserve">Although unclear text is never acceptable, revising all text used in bankruptcy may be </w:t>
      </w:r>
      <w:r>
        <w:t>overwhelming</w:t>
      </w:r>
      <w:r w:rsidRPr="002F772B">
        <w:t xml:space="preserve"> and </w:t>
      </w:r>
      <w:r>
        <w:t xml:space="preserve">may </w:t>
      </w:r>
      <w:r w:rsidRPr="002F772B">
        <w:t>require</w:t>
      </w:r>
      <w:r>
        <w:t xml:space="preserve"> a piecemeal approach,</w:t>
      </w:r>
      <w:r w:rsidRPr="002F772B">
        <w:t xml:space="preserve"> initially targeting provisions that affect those unfamiliar with bankruptcy. </w:t>
      </w:r>
    </w:p>
  </w:footnote>
  <w:footnote w:id="291">
    <w:p w14:paraId="3EE5BC0A" w14:textId="77777777" w:rsidR="006F12BE" w:rsidRDefault="006F12BE" w:rsidP="006F12BE">
      <w:pPr>
        <w:pStyle w:val="FootnoteText"/>
        <w:jc w:val="both"/>
      </w:pPr>
      <w:r>
        <w:rPr>
          <w:rStyle w:val="FootnoteReference"/>
        </w:rPr>
        <w:footnoteRef/>
      </w:r>
      <w:r>
        <w:t xml:space="preserve"> </w:t>
      </w:r>
      <w:r>
        <w:rPr>
          <w:i/>
          <w:iCs/>
        </w:rPr>
        <w:t>See</w:t>
      </w:r>
      <w:r>
        <w:t xml:space="preserve"> Bryan A. Garner, Joseph Kimble, </w:t>
      </w:r>
      <w:r w:rsidRPr="00C26F54">
        <w:rPr>
          <w:i/>
          <w:iCs/>
        </w:rPr>
        <w:t>Essentials for Drafting Clear Legal Rules,</w:t>
      </w:r>
      <w:r>
        <w:t xml:space="preserve"> Administrative Office of United States Courts, page 2 (2024) (available at</w:t>
      </w:r>
      <w:r w:rsidRPr="00C776A5">
        <w:t xml:space="preserve"> </w:t>
      </w:r>
      <w:hyperlink r:id="rId22" w:history="1">
        <w:r w:rsidRPr="001C095A">
          <w:rPr>
            <w:rStyle w:val="Hyperlink"/>
          </w:rPr>
          <w:t>https://www.uscourts.gov/sites/default/files/essentials_for_drafting_clear_legal_rules_2024.pdf</w:t>
        </w:r>
      </w:hyperlink>
      <w:r>
        <w:t>).  The guidelines include:</w:t>
      </w:r>
    </w:p>
    <w:p w14:paraId="0E6BB2D0" w14:textId="77777777" w:rsidR="006F12BE" w:rsidRDefault="006F12BE" w:rsidP="006F12BE">
      <w:pPr>
        <w:pStyle w:val="fnquote"/>
        <w:spacing w:after="0"/>
        <w:ind w:left="360" w:right="0"/>
        <w:jc w:val="both"/>
      </w:pPr>
      <w:r>
        <w:t xml:space="preserve">A. Sentence Length.  Prefer short sentences.  The average sentence length in good drafting is 25 to 30 words.  (See 2.4(F).) </w:t>
      </w:r>
    </w:p>
    <w:p w14:paraId="54B78D9C" w14:textId="77777777" w:rsidR="006F12BE" w:rsidRDefault="006F12BE" w:rsidP="006F12BE">
      <w:pPr>
        <w:pStyle w:val="fnquote"/>
        <w:spacing w:after="0"/>
        <w:ind w:left="360" w:right="0"/>
        <w:jc w:val="both"/>
      </w:pPr>
      <w:r>
        <w:t xml:space="preserve">B. Plain Words.  Use the simplest possible words to express the idea clearly.  Avoid legal jargon.  (See 4.1(A), 4.7.) </w:t>
      </w:r>
    </w:p>
    <w:p w14:paraId="20C06E6B" w14:textId="77777777" w:rsidR="006F12BE" w:rsidRDefault="006F12BE" w:rsidP="006F12BE">
      <w:pPr>
        <w:pStyle w:val="fnquote"/>
        <w:spacing w:after="0"/>
        <w:ind w:left="360" w:right="0"/>
        <w:jc w:val="both"/>
      </w:pPr>
      <w:r>
        <w:t xml:space="preserve">C. Headings.  Organize the draft logically, with headings and subheadings, so that the reader has bearings.  More headings are usually better than fewer.  (See 3.2(C).) </w:t>
      </w:r>
    </w:p>
    <w:p w14:paraId="1158C30F" w14:textId="77777777" w:rsidR="006F12BE" w:rsidRDefault="006F12BE" w:rsidP="006F12BE">
      <w:pPr>
        <w:pStyle w:val="fnquote"/>
        <w:spacing w:after="0"/>
        <w:ind w:left="360" w:right="0"/>
        <w:jc w:val="both"/>
      </w:pPr>
      <w:r>
        <w:t xml:space="preserve">D. Structure.  Use structure to enhance readability and reinforce meaning, especially by using vertical lists.  Avoid listing items within long block paragraphs.  (See 3.3.) </w:t>
      </w:r>
    </w:p>
    <w:p w14:paraId="153FD52B" w14:textId="77777777" w:rsidR="006F12BE" w:rsidRDefault="006F12BE" w:rsidP="006F12BE">
      <w:pPr>
        <w:pStyle w:val="fnquote"/>
        <w:spacing w:after="0"/>
        <w:ind w:left="360" w:right="0"/>
        <w:jc w:val="both"/>
      </w:pPr>
      <w:r>
        <w:t>E. Document Design …</w:t>
      </w:r>
    </w:p>
    <w:p w14:paraId="4CE1875F" w14:textId="77777777" w:rsidR="006F12BE" w:rsidRDefault="006F12BE" w:rsidP="006F12BE">
      <w:pPr>
        <w:pStyle w:val="fnquote"/>
        <w:spacing w:after="0"/>
        <w:ind w:left="360" w:right="0"/>
        <w:jc w:val="both"/>
      </w:pPr>
      <w:r w:rsidRPr="008F14DE">
        <w:t>…• Never use all caps except possibly for a title.</w:t>
      </w:r>
    </w:p>
  </w:footnote>
  <w:footnote w:id="292">
    <w:p w14:paraId="03131C8F" w14:textId="77777777" w:rsidR="006F12BE" w:rsidRDefault="006F12BE" w:rsidP="006F12BE">
      <w:pPr>
        <w:pStyle w:val="FootnoteText"/>
        <w:jc w:val="both"/>
      </w:pPr>
      <w:r>
        <w:rPr>
          <w:rStyle w:val="FootnoteReference"/>
        </w:rPr>
        <w:footnoteRef/>
      </w:r>
      <w:r>
        <w:t xml:space="preserve"> </w:t>
      </w:r>
      <w:r w:rsidRPr="0080095C">
        <w:rPr>
          <w:i/>
          <w:iCs/>
        </w:rPr>
        <w:t xml:space="preserve">See </w:t>
      </w:r>
      <w:r>
        <w:t xml:space="preserve">Bryan A. Garner, </w:t>
      </w:r>
      <w:r w:rsidRPr="00735D94">
        <w:rPr>
          <w:i/>
          <w:iCs/>
        </w:rPr>
        <w:t>Legal Writing in Plain English, Third Edition: A Text with Exercises</w:t>
      </w:r>
      <w:r w:rsidRPr="00711EB2">
        <w:t xml:space="preserve"> (Chicago Guides to</w:t>
      </w:r>
      <w:r>
        <w:t xml:space="preserve"> </w:t>
      </w:r>
      <w:r w:rsidRPr="00711EB2">
        <w:t>Writing,</w:t>
      </w:r>
      <w:r>
        <w:t xml:space="preserve"> </w:t>
      </w:r>
      <w:r w:rsidRPr="00711EB2">
        <w:t>Editing, and Publishing</w:t>
      </w:r>
      <w:r>
        <w:t>, 3d Ed. 2023</w:t>
      </w:r>
      <w:r w:rsidRPr="00711EB2">
        <w:t>)</w:t>
      </w:r>
      <w:r>
        <w:t xml:space="preserve">; </w:t>
      </w:r>
      <w:r>
        <w:rPr>
          <w:i/>
          <w:iCs/>
        </w:rPr>
        <w:t>s</w:t>
      </w:r>
      <w:r w:rsidRPr="00735D94">
        <w:rPr>
          <w:i/>
          <w:iCs/>
        </w:rPr>
        <w:t xml:space="preserve">ee also </w:t>
      </w:r>
      <w:r w:rsidRPr="00DC0D4C">
        <w:t>Ross Guberman</w:t>
      </w:r>
      <w:r w:rsidRPr="00735D94">
        <w:rPr>
          <w:i/>
          <w:iCs/>
        </w:rPr>
        <w:t>, Point Made:  How to Write Like the Nation’s Top Advocates</w:t>
      </w:r>
      <w:r>
        <w:t xml:space="preserve"> (Oxford University Press, 2011) (making many of the same points).</w:t>
      </w:r>
    </w:p>
  </w:footnote>
  <w:footnote w:id="293">
    <w:p w14:paraId="0F3B53A6" w14:textId="77777777" w:rsidR="006F12BE" w:rsidRDefault="006F12BE" w:rsidP="006F12BE">
      <w:pPr>
        <w:pStyle w:val="FootnoteText"/>
        <w:jc w:val="both"/>
        <w:rPr>
          <w:rFonts w:cs="Times New Roman"/>
        </w:rPr>
      </w:pPr>
      <w:r>
        <w:rPr>
          <w:rStyle w:val="FootnoteReference"/>
        </w:rPr>
        <w:footnoteRef/>
      </w:r>
      <w:r>
        <w:t xml:space="preserve"> </w:t>
      </w:r>
      <w:r w:rsidRPr="00735D94">
        <w:rPr>
          <w:i/>
          <w:iCs/>
        </w:rPr>
        <w:t xml:space="preserve">See, </w:t>
      </w:r>
      <w:r>
        <w:rPr>
          <w:i/>
          <w:iCs/>
        </w:rPr>
        <w:t xml:space="preserve">e.g., </w:t>
      </w:r>
      <w:r w:rsidRPr="00735D94">
        <w:rPr>
          <w:i/>
          <w:iCs/>
        </w:rPr>
        <w:t xml:space="preserve">In re </w:t>
      </w:r>
      <w:r>
        <w:rPr>
          <w:i/>
          <w:iCs/>
        </w:rPr>
        <w:t xml:space="preserve">Motors Liquidation Co. (f/k/a </w:t>
      </w:r>
      <w:r w:rsidRPr="00735D94">
        <w:rPr>
          <w:i/>
          <w:iCs/>
        </w:rPr>
        <w:t>General Motors Corp</w:t>
      </w:r>
      <w:r>
        <w:rPr>
          <w:i/>
          <w:iCs/>
        </w:rPr>
        <w:t>.)</w:t>
      </w:r>
      <w:r w:rsidRPr="00735D94">
        <w:rPr>
          <w:i/>
          <w:iCs/>
        </w:rPr>
        <w:t>,</w:t>
      </w:r>
      <w:r>
        <w:t xml:space="preserve"> No. 09-50026 (REG), Case Management Order #3, ECF #12625 (Bankr. S.D.N.Y. April 22, 2014), </w:t>
      </w:r>
      <w:r>
        <w:rPr>
          <w:rFonts w:cs="Times New Roman"/>
        </w:rPr>
        <w:t>¶¶ 27-28.  It provided:</w:t>
      </w:r>
    </w:p>
    <w:p w14:paraId="7204B589" w14:textId="77777777" w:rsidR="006F12BE" w:rsidRPr="003933E6" w:rsidRDefault="006F12BE" w:rsidP="006F12BE">
      <w:pPr>
        <w:pStyle w:val="fnquote"/>
        <w:spacing w:after="0"/>
        <w:ind w:left="360" w:right="288"/>
        <w:jc w:val="both"/>
      </w:pPr>
      <w:r w:rsidRPr="003933E6">
        <w:t xml:space="preserve">27.  Every Motion, proposed order, and agreement that is subject to the review or approval of the Court must boldface defined terms (as, </w:t>
      </w:r>
      <w:r w:rsidRPr="006A417B">
        <w:rPr>
          <w:i/>
          <w:iCs w:val="0"/>
        </w:rPr>
        <w:t>e.g.,</w:t>
      </w:r>
      <w:r w:rsidRPr="003933E6">
        <w:t xml:space="preserve"> they have been boldfaced in this order) to facilitate cross-referencing and understanding by the Court and parties.  Likewise, each such document must be formatted to maximize its readability and to prevent potentially significant matter from being overlooked, or “buried.” That request includes, without limitation:</w:t>
      </w:r>
    </w:p>
    <w:p w14:paraId="39B53C62" w14:textId="77777777" w:rsidR="006F12BE" w:rsidRPr="003933E6" w:rsidRDefault="006F12BE" w:rsidP="006F12BE">
      <w:pPr>
        <w:pStyle w:val="fnquote"/>
        <w:spacing w:after="0"/>
        <w:ind w:left="360" w:right="288"/>
        <w:jc w:val="both"/>
      </w:pPr>
      <w:r w:rsidRPr="003933E6">
        <w:t>(a)</w:t>
      </w:r>
      <w:r w:rsidRPr="003933E6">
        <w:tab/>
        <w:t>avoiding massive blocks of text;</w:t>
      </w:r>
    </w:p>
    <w:p w14:paraId="78DA5FED" w14:textId="77777777" w:rsidR="006F12BE" w:rsidRPr="003933E6" w:rsidRDefault="006F12BE" w:rsidP="006F12BE">
      <w:pPr>
        <w:pStyle w:val="fnquote"/>
        <w:spacing w:after="0"/>
        <w:ind w:left="360" w:right="288"/>
        <w:jc w:val="both"/>
      </w:pPr>
      <w:r w:rsidRPr="003933E6">
        <w:t>(b)</w:t>
      </w:r>
      <w:r w:rsidRPr="003933E6">
        <w:tab/>
        <w:t>keeping paragraphs short; and, importantly,</w:t>
      </w:r>
    </w:p>
    <w:p w14:paraId="6C9F0F9D" w14:textId="77777777" w:rsidR="006F12BE" w:rsidRPr="003933E6" w:rsidRDefault="006F12BE" w:rsidP="006F12BE">
      <w:pPr>
        <w:pStyle w:val="fnquote"/>
        <w:spacing w:after="0"/>
        <w:ind w:left="360" w:right="288"/>
        <w:jc w:val="both"/>
      </w:pPr>
      <w:r w:rsidRPr="003933E6">
        <w:t>(c)</w:t>
      </w:r>
      <w:r w:rsidRPr="003933E6">
        <w:tab/>
        <w:t>breaking matter in enumerations and lists into subparagraphs or further subdivisions (indented, spaced and otherwise formatted to ease understanding of the structure of the paragraph).</w:t>
      </w:r>
    </w:p>
    <w:p w14:paraId="2D26F871" w14:textId="77777777" w:rsidR="006F12BE" w:rsidRPr="003933E6" w:rsidRDefault="006F12BE" w:rsidP="006F12BE">
      <w:pPr>
        <w:pStyle w:val="fnquote"/>
        <w:spacing w:after="0"/>
        <w:ind w:left="360" w:right="288"/>
        <w:jc w:val="both"/>
      </w:pPr>
      <w:r w:rsidRPr="003933E6">
        <w:t>Lists and enumerations are not to be strung together in a single long paragraph that has not been broken up for readability….</w:t>
      </w:r>
    </w:p>
    <w:p w14:paraId="4B15CB03" w14:textId="77777777" w:rsidR="006F12BE" w:rsidRPr="00E22289" w:rsidRDefault="006F12BE" w:rsidP="006F12BE">
      <w:pPr>
        <w:pStyle w:val="fnquote"/>
        <w:spacing w:after="0"/>
        <w:ind w:left="360" w:right="288"/>
        <w:jc w:val="both"/>
      </w:pPr>
      <w:r w:rsidRPr="004B7496">
        <w:rPr>
          <w:rStyle w:val="fnquoteChar"/>
        </w:rPr>
        <w:t>28. Parties are not to use acronyms in briefs to describe names of parties or agencies or expressions, unless their</w:t>
      </w:r>
      <w:r w:rsidRPr="00E22289">
        <w:t xml:space="preserve"> meaning is obvious.  …</w:t>
      </w:r>
    </w:p>
  </w:footnote>
  <w:footnote w:id="294">
    <w:p w14:paraId="1E1A0244" w14:textId="77777777" w:rsidR="006F12BE" w:rsidRDefault="006F12BE" w:rsidP="006F12BE">
      <w:pPr>
        <w:pStyle w:val="FootnoteText"/>
        <w:jc w:val="both"/>
      </w:pPr>
      <w:r>
        <w:rPr>
          <w:rStyle w:val="FootnoteReference"/>
        </w:rPr>
        <w:footnoteRef/>
      </w:r>
      <w:r>
        <w:t xml:space="preserve"> 11 U.S.C. </w:t>
      </w:r>
      <w:r>
        <w:rPr>
          <w:rFonts w:cs="Times New Roman"/>
        </w:rPr>
        <w:t>§</w:t>
      </w:r>
      <w:r>
        <w:t xml:space="preserve"> 1125 (a)(1).</w:t>
      </w:r>
    </w:p>
  </w:footnote>
  <w:footnote w:id="295">
    <w:p w14:paraId="66D5ABD0" w14:textId="77777777" w:rsidR="006F12BE" w:rsidRPr="00047F4F" w:rsidRDefault="006F12BE" w:rsidP="006F12BE">
      <w:pPr>
        <w:pStyle w:val="FootnoteText"/>
        <w:jc w:val="both"/>
      </w:pPr>
      <w:r w:rsidRPr="00096FC8">
        <w:rPr>
          <w:rStyle w:val="FootnoteReference"/>
        </w:rPr>
        <w:footnoteRef/>
      </w:r>
      <w:r w:rsidRPr="0051224E">
        <w:rPr>
          <w:vertAlign w:val="superscript"/>
        </w:rPr>
        <w:t xml:space="preserve"> </w:t>
      </w:r>
      <w:r w:rsidRPr="00047F4F">
        <w:t>The broad term “</w:t>
      </w:r>
      <w:r>
        <w:t>legalese</w:t>
      </w:r>
      <w:r w:rsidRPr="00047F4F">
        <w:t xml:space="preserve">” has many variations, and it can include both unnecessary verbiage, jargon, and also cryptic words.  But to start, banish words like “herein”; “therein”; “thereto”; “hereof”; ”thereof”; “hereinafter”; </w:t>
      </w:r>
      <w:r>
        <w:t xml:space="preserve"> “supra”; “infra”; </w:t>
      </w:r>
      <w:r w:rsidRPr="00047F4F">
        <w:t>anything first learned in law school; and practically anything else in Latin.</w:t>
      </w:r>
    </w:p>
  </w:footnote>
  <w:footnote w:id="296">
    <w:p w14:paraId="2E2D44D9" w14:textId="2DE22466" w:rsidR="006F12BE" w:rsidRPr="00047F4F" w:rsidRDefault="006F12BE" w:rsidP="006F12BE">
      <w:pPr>
        <w:pStyle w:val="FootnoteText"/>
        <w:jc w:val="both"/>
      </w:pPr>
      <w:r w:rsidRPr="00710B58">
        <w:rPr>
          <w:rStyle w:val="FootnoteReference"/>
        </w:rPr>
        <w:footnoteRef/>
      </w:r>
      <w:r w:rsidRPr="0051224E">
        <w:rPr>
          <w:vertAlign w:val="superscript"/>
        </w:rPr>
        <w:t xml:space="preserve"> </w:t>
      </w:r>
      <w:r w:rsidRPr="00047F4F">
        <w:t xml:space="preserve">Garner </w:t>
      </w:r>
      <w:r w:rsidR="00EB3BB5">
        <w:t xml:space="preserve">and Kimble </w:t>
      </w:r>
      <w:r w:rsidRPr="00047F4F">
        <w:t>refer to drafting like this as “needless repetition” (</w:t>
      </w:r>
      <w:r w:rsidRPr="0051224E">
        <w:t>see</w:t>
      </w:r>
      <w:r w:rsidRPr="00047F4F">
        <w:t xml:space="preserve"> </w:t>
      </w:r>
      <w:r w:rsidRPr="0051224E">
        <w:t>Essentials for Drafting Clear Legal Rules,</w:t>
      </w:r>
      <w:r w:rsidRPr="00047F4F">
        <w:t xml:space="preserve"> § 4.1(G))—which of course it is.  For example, is it really necessary to say, “release and waive” (as in the </w:t>
      </w:r>
      <w:r w:rsidRPr="00092A3F">
        <w:rPr>
          <w:i/>
          <w:iCs/>
        </w:rPr>
        <w:t>Smallhold</w:t>
      </w:r>
      <w:r w:rsidRPr="00047F4F">
        <w:t xml:space="preserve"> notice)—when “release” would do? Or worse, “all liens, claims, causes of action, liabilities, encumbrances, security interests, or charges of any nature or description whatsoever based on or relating to, or in any manner arising from, in whole or in part…”?  </w:t>
      </w:r>
      <w:r w:rsidRPr="005441F4">
        <w:rPr>
          <w:i/>
          <w:iCs/>
        </w:rPr>
        <w:t>See</w:t>
      </w:r>
      <w:r w:rsidRPr="00047F4F">
        <w:t xml:space="preserve"> the </w:t>
      </w:r>
      <w:r w:rsidRPr="00EB4436">
        <w:rPr>
          <w:i/>
          <w:iCs/>
        </w:rPr>
        <w:t>Smallhold</w:t>
      </w:r>
      <w:r w:rsidRPr="00047F4F">
        <w:t xml:space="preserve"> notice.  Less mechanical drafting would enable the drafter and the court to better understand what is sought, and—as importantly or more so—enable the tort claimant to understand what he or she is being asked to give up.</w:t>
      </w:r>
    </w:p>
  </w:footnote>
  <w:footnote w:id="297">
    <w:p w14:paraId="19B6FD18" w14:textId="600F27A7" w:rsidR="006F12BE" w:rsidRPr="00047F4F" w:rsidRDefault="006F12BE" w:rsidP="006F12BE">
      <w:pPr>
        <w:pStyle w:val="FootnoteText"/>
        <w:jc w:val="both"/>
      </w:pPr>
      <w:r w:rsidRPr="00710B58">
        <w:rPr>
          <w:rStyle w:val="FootnoteReference"/>
        </w:rPr>
        <w:footnoteRef/>
      </w:r>
      <w:r w:rsidRPr="0051224E">
        <w:rPr>
          <w:vertAlign w:val="superscript"/>
        </w:rPr>
        <w:t xml:space="preserve"> </w:t>
      </w:r>
      <w:r w:rsidRPr="005441F4">
        <w:rPr>
          <w:i/>
          <w:iCs/>
        </w:rPr>
        <w:t>See</w:t>
      </w:r>
      <w:r w:rsidRPr="00047F4F">
        <w:t xml:space="preserve"> Garner’s </w:t>
      </w:r>
      <w:r w:rsidR="00EB3BB5">
        <w:t xml:space="preserve">and Kimble’s </w:t>
      </w:r>
      <w:r w:rsidRPr="00047F4F">
        <w:t xml:space="preserve">observations in this regard, in </w:t>
      </w:r>
      <w:r w:rsidR="0028535F">
        <w:t xml:space="preserve">Garner &amp; Kimble </w:t>
      </w:r>
      <w:r w:rsidR="0028535F" w:rsidRPr="0051224E">
        <w:t>Essentials for Drafting Clear Legal Rules</w:t>
      </w:r>
      <w:r w:rsidR="0028535F" w:rsidRPr="00047F4F">
        <w:t xml:space="preserve"> </w:t>
      </w:r>
      <w:r w:rsidRPr="0028535F">
        <w:rPr>
          <w:i/>
          <w:iCs/>
        </w:rPr>
        <w:t>supra</w:t>
      </w:r>
      <w:r w:rsidRPr="00047F4F">
        <w:t>.</w:t>
      </w:r>
    </w:p>
  </w:footnote>
  <w:footnote w:id="298">
    <w:p w14:paraId="1C184768" w14:textId="424B1B15" w:rsidR="006F12BE" w:rsidRPr="00047F4F" w:rsidRDefault="006F12BE" w:rsidP="006F12BE">
      <w:pPr>
        <w:pStyle w:val="FootnoteText"/>
        <w:jc w:val="both"/>
      </w:pPr>
      <w:r w:rsidRPr="00710B58">
        <w:rPr>
          <w:rStyle w:val="FootnoteReference"/>
        </w:rPr>
        <w:footnoteRef/>
      </w:r>
      <w:r w:rsidRPr="0051224E">
        <w:rPr>
          <w:vertAlign w:val="superscript"/>
        </w:rPr>
        <w:t xml:space="preserve"> </w:t>
      </w:r>
      <w:r w:rsidRPr="00047F4F">
        <w:t>Instead, put them in separate subparagraphs, as they have been included here.  Hanging indents can also be valuable for this purpose.  As Garner</w:t>
      </w:r>
      <w:r w:rsidR="009069B9">
        <w:t xml:space="preserve"> &amp; Kimble</w:t>
      </w:r>
      <w:r w:rsidRPr="00047F4F">
        <w:t xml:space="preserve"> observe in </w:t>
      </w:r>
      <w:r w:rsidRPr="0051224E">
        <w:t>Essentials for Drafting Clear Legal Rules</w:t>
      </w:r>
      <w:r w:rsidRPr="00047F4F">
        <w:t>, they can also reveal structure cleanly.</w:t>
      </w:r>
    </w:p>
  </w:footnote>
  <w:footnote w:id="299">
    <w:p w14:paraId="6A781168" w14:textId="77777777" w:rsidR="006F12BE" w:rsidRPr="00047F4F" w:rsidRDefault="006F12BE" w:rsidP="006F12BE">
      <w:pPr>
        <w:pStyle w:val="FootnoteText"/>
        <w:jc w:val="both"/>
      </w:pPr>
      <w:r w:rsidRPr="00710B58">
        <w:rPr>
          <w:rStyle w:val="FootnoteReference"/>
        </w:rPr>
        <w:footnoteRef/>
      </w:r>
      <w:r w:rsidRPr="0051224E">
        <w:rPr>
          <w:vertAlign w:val="superscript"/>
        </w:rPr>
        <w:t xml:space="preserve"> </w:t>
      </w:r>
      <w:r w:rsidRPr="00047F4F">
        <w:t>Though justified text is typically used in books and magazines (like this compendium), text is easier for many to read when the individual lines of a paragraph are not of identical length and are neither compressed nor stretched out to make the right margin flat.</w:t>
      </w:r>
    </w:p>
  </w:footnote>
  <w:footnote w:id="300">
    <w:p w14:paraId="1B40BE91" w14:textId="7742AA37" w:rsidR="006F12BE" w:rsidRPr="00047F4F" w:rsidRDefault="006F12BE" w:rsidP="006F12BE">
      <w:pPr>
        <w:pStyle w:val="FootnoteText"/>
        <w:jc w:val="both"/>
      </w:pPr>
      <w:r w:rsidRPr="00710B58">
        <w:rPr>
          <w:rStyle w:val="FootnoteReference"/>
        </w:rPr>
        <w:footnoteRef/>
      </w:r>
      <w:r w:rsidRPr="0051224E">
        <w:rPr>
          <w:vertAlign w:val="superscript"/>
        </w:rPr>
        <w:t xml:space="preserve"> </w:t>
      </w:r>
      <w:r w:rsidRPr="00047F4F">
        <w:t>S</w:t>
      </w:r>
      <w:r w:rsidRPr="0051224E">
        <w:t>ee</w:t>
      </w:r>
      <w:r w:rsidRPr="00047F4F">
        <w:t xml:space="preserve"> Garner’s </w:t>
      </w:r>
      <w:r w:rsidR="00EB3BB5">
        <w:t xml:space="preserve">and Kimble’s </w:t>
      </w:r>
      <w:r w:rsidRPr="00047F4F">
        <w:t xml:space="preserve">observations in this regard, in </w:t>
      </w:r>
      <w:r w:rsidR="0028535F">
        <w:t xml:space="preserve">Garner &amp; Kimble </w:t>
      </w:r>
      <w:r w:rsidR="0028535F" w:rsidRPr="0051224E">
        <w:t>Essentials for Drafting Clear Legal Rules</w:t>
      </w:r>
      <w:r w:rsidR="0028535F" w:rsidRPr="00047F4F">
        <w:t xml:space="preserve"> </w:t>
      </w:r>
      <w:r w:rsidR="0028535F" w:rsidRPr="0028535F">
        <w:rPr>
          <w:i/>
          <w:iCs/>
        </w:rPr>
        <w:t>supra</w:t>
      </w:r>
      <w:r w:rsidR="00D7680E">
        <w:rPr>
          <w:i/>
          <w:iCs/>
        </w:rPr>
        <w:t>.</w:t>
      </w:r>
      <w:r w:rsidR="0028535F" w:rsidRPr="00047F4F">
        <w:t xml:space="preserve"> </w:t>
      </w:r>
      <w:r w:rsidRPr="00047F4F">
        <w:t xml:space="preserve"> A reader’s mind does not adjust to all caps well.  When necessary or desirable (and sometimes it is), bold face—but with normal upper and lower case—can be used when emphasis is necessary.</w:t>
      </w:r>
    </w:p>
  </w:footnote>
  <w:footnote w:id="301">
    <w:p w14:paraId="1DDB76DA" w14:textId="77777777" w:rsidR="006F12BE" w:rsidRPr="00047F4F" w:rsidRDefault="006F12BE" w:rsidP="006F12BE">
      <w:pPr>
        <w:pStyle w:val="FootnoteText"/>
        <w:jc w:val="both"/>
      </w:pPr>
      <w:r w:rsidRPr="008B3BA3">
        <w:rPr>
          <w:rStyle w:val="FootnoteReference"/>
        </w:rPr>
        <w:footnoteRef/>
      </w:r>
      <w:r w:rsidRPr="0051224E">
        <w:rPr>
          <w:vertAlign w:val="superscript"/>
        </w:rPr>
        <w:t xml:space="preserve"> </w:t>
      </w:r>
      <w:r w:rsidRPr="00047F4F">
        <w:t>Using “U.S.” to refer to the United States, or the “FCC” to refer to the Federal Communications Commission is fine.  But acronyms that apply to a particular case alone will rarely, if ever, be understandable to one not already familiar with the case.  And their use will require readers to depart from what they’re reading to go back in an effort to ascertain how the acronyms were defined.</w:t>
      </w:r>
    </w:p>
  </w:footnote>
  <w:footnote w:id="302">
    <w:p w14:paraId="076B4930" w14:textId="77777777" w:rsidR="006F12BE" w:rsidRPr="00870C41" w:rsidRDefault="006F12BE" w:rsidP="006F12BE">
      <w:pPr>
        <w:pStyle w:val="FootnoteText"/>
        <w:jc w:val="both"/>
      </w:pPr>
      <w:r w:rsidRPr="008B3BA3">
        <w:rPr>
          <w:rStyle w:val="FootnoteReference"/>
        </w:rPr>
        <w:footnoteRef/>
      </w:r>
      <w:r w:rsidRPr="0051224E">
        <w:rPr>
          <w:vertAlign w:val="superscript"/>
        </w:rPr>
        <w:t xml:space="preserve"> </w:t>
      </w:r>
      <w:r w:rsidRPr="005441F4">
        <w:rPr>
          <w:i/>
          <w:iCs/>
        </w:rPr>
        <w:t>See</w:t>
      </w:r>
      <w:r w:rsidRPr="00870C41">
        <w:t xml:space="preserve"> </w:t>
      </w:r>
      <w:r w:rsidRPr="0051224E">
        <w:t>Essentials for Drafting Clear Legal Rules</w:t>
      </w:r>
      <w:r w:rsidRPr="00870C41">
        <w:t xml:space="preserve"> § 1.3(A).</w:t>
      </w:r>
    </w:p>
  </w:footnote>
  <w:footnote w:id="303">
    <w:p w14:paraId="39E36E8F" w14:textId="77777777" w:rsidR="006F12BE" w:rsidRPr="00870C41" w:rsidRDefault="006F12BE" w:rsidP="006F12BE">
      <w:pPr>
        <w:pStyle w:val="FootnoteText"/>
        <w:jc w:val="both"/>
      </w:pPr>
      <w:r w:rsidRPr="008B3BA3">
        <w:rPr>
          <w:rStyle w:val="FootnoteReference"/>
        </w:rPr>
        <w:footnoteRef/>
      </w:r>
      <w:r w:rsidRPr="00870C41">
        <w:t xml:space="preserve"> Other ways of saying this are “Using Vertical Lists,” and “Minimizing Horizontal Lists.”  </w:t>
      </w:r>
      <w:r w:rsidRPr="005441F4">
        <w:rPr>
          <w:i/>
          <w:iCs/>
        </w:rPr>
        <w:t>See</w:t>
      </w:r>
      <w:r w:rsidRPr="00870C41">
        <w:t xml:space="preserve"> </w:t>
      </w:r>
      <w:r w:rsidRPr="0051224E">
        <w:t xml:space="preserve">Essentials for Drafting Clear Legal Rules, </w:t>
      </w:r>
      <w:r w:rsidRPr="00870C41">
        <w:t>§</w:t>
      </w:r>
      <w:r w:rsidRPr="0051224E">
        <w:t> </w:t>
      </w:r>
      <w:r w:rsidRPr="00870C41">
        <w:t>3.3.  The important results of this are avoiding the burying of the items in the list and making each item in the list easier to comprehend.</w:t>
      </w:r>
    </w:p>
  </w:footnote>
  <w:footnote w:id="304">
    <w:p w14:paraId="429C1150" w14:textId="77777777" w:rsidR="00CE2632" w:rsidRPr="007301DD" w:rsidRDefault="00CE2632" w:rsidP="00CE2632">
      <w:pPr>
        <w:pStyle w:val="FootnoteText"/>
        <w:jc w:val="both"/>
      </w:pPr>
      <w:r w:rsidRPr="007301DD">
        <w:rPr>
          <w:rStyle w:val="FootnoteReference"/>
        </w:rPr>
        <w:footnoteRef/>
      </w:r>
      <w:r w:rsidRPr="007301DD">
        <w:t xml:space="preserve"> </w:t>
      </w:r>
      <w:r w:rsidRPr="007301DD">
        <w:rPr>
          <w:i/>
        </w:rPr>
        <w:t>Id.</w:t>
      </w:r>
      <w:r w:rsidRPr="007301DD">
        <w:t xml:space="preserve"> (“Research by the Federal Judicial Center showed that in nearly 90% of large MDLs a [Plaintiff Fact Sheet] is already employed”).  </w:t>
      </w:r>
      <w:r>
        <w:t>Courts also require the defendant to file comparable fact sheets.</w:t>
      </w:r>
    </w:p>
  </w:footnote>
  <w:footnote w:id="305">
    <w:p w14:paraId="7850F12B" w14:textId="77777777" w:rsidR="00CE2632" w:rsidRPr="007301DD" w:rsidRDefault="00CE2632" w:rsidP="00CE2632">
      <w:pPr>
        <w:pStyle w:val="FootnoteText"/>
        <w:jc w:val="both"/>
      </w:pPr>
      <w:r w:rsidRPr="007301DD">
        <w:rPr>
          <w:rStyle w:val="FootnoteReference"/>
        </w:rPr>
        <w:footnoteRef/>
      </w:r>
      <w:r w:rsidRPr="007301DD">
        <w:t xml:space="preserve"> Advisory Committee on Civil Rules, Agenda Book (April 23, 2021), </w:t>
      </w:r>
      <w:r w:rsidRPr="007301DD">
        <w:rPr>
          <w:i/>
        </w:rPr>
        <w:t xml:space="preserve">Multidistrict Litigation Subcommittee Report </w:t>
      </w:r>
      <w:r w:rsidRPr="007301DD">
        <w:t>at 159</w:t>
      </w:r>
      <w:r>
        <w:t xml:space="preserve">; </w:t>
      </w:r>
      <w:r w:rsidRPr="006032FA">
        <w:rPr>
          <w:i/>
          <w:iCs/>
        </w:rPr>
        <w:t>see</w:t>
      </w:r>
      <w:r>
        <w:t xml:space="preserve"> </w:t>
      </w:r>
      <w:r w:rsidRPr="006032FA">
        <w:rPr>
          <w:i/>
          <w:iCs/>
        </w:rPr>
        <w:t>Mass-Tort MDL Compendium</w:t>
      </w:r>
      <w:r>
        <w:t>, Best Practice Permanent No. MDL-</w:t>
      </w:r>
      <w:r>
        <w:rPr>
          <w:rFonts w:cs="Times New Roman"/>
        </w:rPr>
        <w:t>§</w:t>
      </w:r>
      <w:r>
        <w:t xml:space="preserve">1, Rabiej Litigation Law Center (full discussion describing fact sheets submitted in mass-tort MDLs). </w:t>
      </w:r>
      <w:r w:rsidRPr="007301DD">
        <w:t xml:space="preserve">  </w:t>
      </w:r>
    </w:p>
  </w:footnote>
  <w:footnote w:id="306">
    <w:p w14:paraId="5440E6EC" w14:textId="77777777" w:rsidR="00CE2632" w:rsidRDefault="00CE2632" w:rsidP="00CE2632">
      <w:pPr>
        <w:pStyle w:val="FootnoteText"/>
        <w:jc w:val="both"/>
      </w:pPr>
      <w:r>
        <w:rPr>
          <w:rStyle w:val="FootnoteReference"/>
        </w:rPr>
        <w:footnoteRef/>
      </w:r>
      <w:r>
        <w:t xml:space="preserve"> The Advisory Committee on Bankruptcy Rules is keenly sensitive to the concerns of vendors of software programs who provide electronic “fillable” versions of the Official Forms for the public to use. Any local variations require changes to software.  </w:t>
      </w:r>
    </w:p>
  </w:footnote>
  <w:footnote w:id="307">
    <w:p w14:paraId="58E7BF94" w14:textId="77777777" w:rsidR="00CE2632" w:rsidRDefault="00CE2632" w:rsidP="00CE2632">
      <w:pPr>
        <w:pStyle w:val="FootnoteText"/>
        <w:jc w:val="both"/>
      </w:pPr>
      <w:r>
        <w:rPr>
          <w:rStyle w:val="FootnoteReference"/>
        </w:rPr>
        <w:footnoteRef/>
      </w:r>
      <w:r>
        <w:t xml:space="preserve"> Fed. R. Bk. P. 9009(a).</w:t>
      </w:r>
    </w:p>
  </w:footnote>
  <w:footnote w:id="308">
    <w:p w14:paraId="4DAD746B" w14:textId="77777777" w:rsidR="00CE2632" w:rsidRDefault="00CE2632" w:rsidP="00CE2632">
      <w:pPr>
        <w:pStyle w:val="FootnoteText"/>
        <w:jc w:val="both"/>
      </w:pPr>
      <w:r>
        <w:rPr>
          <w:rStyle w:val="FootnoteReference"/>
        </w:rPr>
        <w:footnoteRef/>
      </w:r>
      <w:r>
        <w:t xml:space="preserve"> </w:t>
      </w:r>
      <w:r>
        <w:rPr>
          <w:rFonts w:cs="Times New Roman"/>
        </w:rPr>
        <w:t xml:space="preserve">Fed. R. Bk. P. 3001(a) is one of only nine rules, which permits alterations to certain Official Forms.  </w:t>
      </w:r>
      <w:r w:rsidRPr="007376F9">
        <w:rPr>
          <w:rFonts w:cs="Times New Roman"/>
          <w:i/>
          <w:iCs/>
        </w:rPr>
        <w:t>See</w:t>
      </w:r>
      <w:r>
        <w:rPr>
          <w:rFonts w:cs="Times New Roman"/>
        </w:rPr>
        <w:t xml:space="preserve"> Administrative Office of United States Courts, website About the Rulemaking Process.</w:t>
      </w:r>
    </w:p>
  </w:footnote>
  <w:footnote w:id="309">
    <w:p w14:paraId="12581D0B" w14:textId="77777777" w:rsidR="00CE2632" w:rsidRDefault="00CE2632" w:rsidP="00CE2632">
      <w:pPr>
        <w:pStyle w:val="FootnoteText"/>
        <w:jc w:val="both"/>
      </w:pPr>
      <w:r>
        <w:rPr>
          <w:rStyle w:val="FootnoteReference"/>
        </w:rPr>
        <w:footnoteRef/>
      </w:r>
      <w:r w:rsidRPr="004633FC">
        <w:t>“In the subcommittee’s judgment, the added language –although imposing a standard and not an exacting rule—should make clear the intention of limiting changes to an Official Form but allowing appropriate deviations from a ‘pixel to pixel’ reproduction.”</w:t>
      </w:r>
      <w:r>
        <w:t xml:space="preserve"> </w:t>
      </w:r>
    </w:p>
  </w:footnote>
  <w:footnote w:id="310">
    <w:p w14:paraId="595EDF40" w14:textId="77777777" w:rsidR="00CE2632" w:rsidRDefault="00CE2632" w:rsidP="00CE2632">
      <w:pPr>
        <w:pStyle w:val="FootnoteText"/>
        <w:jc w:val="both"/>
      </w:pPr>
      <w:r>
        <w:rPr>
          <w:rStyle w:val="FootnoteReference"/>
        </w:rPr>
        <w:footnoteRef/>
      </w:r>
      <w:r>
        <w:t xml:space="preserve"> </w:t>
      </w:r>
      <w:r w:rsidRPr="002601D2">
        <w:rPr>
          <w:i/>
          <w:iCs/>
        </w:rPr>
        <w:t>See</w:t>
      </w:r>
      <w:r>
        <w:t xml:space="preserve"> Gibson, Elizabeth, Judicial Management of Mass Tort Bankruptcy Cases, pp. 75-76, Federal Judicial Center (2005).</w:t>
      </w:r>
    </w:p>
  </w:footnote>
  <w:footnote w:id="311">
    <w:p w14:paraId="27A77331" w14:textId="77777777" w:rsidR="00CE2632" w:rsidRDefault="00CE2632" w:rsidP="00CE2632">
      <w:pPr>
        <w:pStyle w:val="FootnoteText"/>
        <w:jc w:val="both"/>
      </w:pPr>
      <w:r>
        <w:rPr>
          <w:rStyle w:val="FootnoteReference"/>
        </w:rPr>
        <w:footnoteRef/>
      </w:r>
      <w:r>
        <w:t xml:space="preserve"> </w:t>
      </w:r>
      <w:r w:rsidRPr="002601D2">
        <w:rPr>
          <w:i/>
          <w:iCs/>
        </w:rPr>
        <w:t>Id</w:t>
      </w:r>
      <w:r>
        <w:t>. at p. 76.</w:t>
      </w:r>
    </w:p>
  </w:footnote>
  <w:footnote w:id="312">
    <w:p w14:paraId="5DFAE994" w14:textId="77777777" w:rsidR="00CE2632" w:rsidRDefault="00CE2632" w:rsidP="00CE2632">
      <w:pPr>
        <w:pStyle w:val="FootnoteText"/>
        <w:jc w:val="both"/>
      </w:pPr>
      <w:r>
        <w:rPr>
          <w:rStyle w:val="FootnoteReference"/>
        </w:rPr>
        <w:footnoteRef/>
      </w:r>
      <w:r>
        <w:t xml:space="preserve"> </w:t>
      </w:r>
      <w:r w:rsidRPr="00580E0E">
        <w:rPr>
          <w:i/>
          <w:iCs/>
        </w:rPr>
        <w:t>LTL Management LLC</w:t>
      </w:r>
      <w:r>
        <w:t>, 23-12825, Doc. 1021-3 (July 12, 2023).  (</w:t>
      </w:r>
      <w:r w:rsidRPr="009B7227">
        <w:rPr>
          <w:i/>
          <w:iCs/>
        </w:rPr>
        <w:t>Compare</w:t>
      </w:r>
      <w:r>
        <w:t xml:space="preserve"> </w:t>
      </w:r>
      <w:r>
        <w:rPr>
          <w:rFonts w:cs="Times New Roman"/>
        </w:rPr>
        <w:t xml:space="preserve">the information requested in </w:t>
      </w:r>
      <w:r w:rsidRPr="005511A2">
        <w:rPr>
          <w:rFonts w:cs="Times New Roman"/>
          <w:i/>
          <w:iCs/>
        </w:rPr>
        <w:t xml:space="preserve">LTL Management </w:t>
      </w:r>
      <w:r>
        <w:rPr>
          <w:rFonts w:cs="Times New Roman"/>
        </w:rPr>
        <w:t>with the abbreviated seven-page Plaintiff Fact Sheet in</w:t>
      </w:r>
      <w:r>
        <w:t xml:space="preserve"> </w:t>
      </w:r>
      <w:r w:rsidRPr="005511A2">
        <w:rPr>
          <w:i/>
          <w:iCs/>
        </w:rPr>
        <w:t>Bard Implanted Port Catheter</w:t>
      </w:r>
      <w:r>
        <w:t xml:space="preserve">, MDL No. 308, </w:t>
      </w:r>
      <w:r>
        <w:rPr>
          <w:rFonts w:cs="Times New Roman"/>
        </w:rPr>
        <w:t>which required information identifying the device, physician’s name, failure of device, removal information, cause if injury, and injury.  The plaintiff was required to submit medical records documenting the diagnosis and treatment.)</w:t>
      </w:r>
    </w:p>
  </w:footnote>
  <w:footnote w:id="313">
    <w:p w14:paraId="7DDFB73E" w14:textId="77777777" w:rsidR="00CE2632" w:rsidRDefault="00CE2632" w:rsidP="00CE2632">
      <w:pPr>
        <w:pStyle w:val="FootnoteText"/>
        <w:jc w:val="both"/>
      </w:pPr>
      <w:r>
        <w:rPr>
          <w:rStyle w:val="FootnoteReference"/>
        </w:rPr>
        <w:footnoteRef/>
      </w:r>
      <w:r>
        <w:t xml:space="preserve"> Gibson, Elizabeth, Judicial Management of Mass Tort Bankruptcy Cases, p. 77, Federal Judicial Center (2005) (“To conform with substantially to official Form 10 (predecessor to Form 410), the special claim form should elicit basic information about the nature and basis of the claim without creating an obstacle that will discourage persons from filing legitimate claims.”) </w:t>
      </w:r>
    </w:p>
  </w:footnote>
  <w:footnote w:id="314">
    <w:p w14:paraId="0A85B59F" w14:textId="18D6DFC6" w:rsidR="00CE2632" w:rsidRDefault="00CE2632" w:rsidP="00CE2632">
      <w:pPr>
        <w:pStyle w:val="FootnoteText"/>
      </w:pPr>
      <w:r>
        <w:rPr>
          <w:rStyle w:val="FootnoteReference"/>
        </w:rPr>
        <w:footnoteRef/>
      </w:r>
      <w:r>
        <w:t xml:space="preserve"> </w:t>
      </w:r>
      <w:r w:rsidR="001B7640">
        <w:t>FED. R. CIV. P.</w:t>
      </w:r>
      <w:r>
        <w:t xml:space="preserve"> 16.1, Committee Note (December 1, 2025).</w:t>
      </w:r>
    </w:p>
  </w:footnote>
  <w:footnote w:id="315">
    <w:p w14:paraId="46953E0C" w14:textId="77777777" w:rsidR="00CE2632" w:rsidRDefault="00CE2632" w:rsidP="00CE2632">
      <w:pPr>
        <w:pStyle w:val="FootnoteText"/>
        <w:jc w:val="both"/>
      </w:pPr>
      <w:r>
        <w:rPr>
          <w:rStyle w:val="FootnoteReference"/>
        </w:rPr>
        <w:footnoteRef/>
      </w:r>
      <w:r>
        <w:t xml:space="preserve"> </w:t>
      </w:r>
      <w:r w:rsidRPr="00F60717">
        <w:rPr>
          <w:i/>
          <w:iCs/>
        </w:rPr>
        <w:t>See</w:t>
      </w:r>
      <w:r>
        <w:t xml:space="preserve"> The Helicopter State: Misuse of </w:t>
      </w:r>
      <w:r w:rsidRPr="0020378A">
        <w:rPr>
          <w:i/>
          <w:iCs/>
        </w:rPr>
        <w:t>Parens Patriae</w:t>
      </w:r>
      <w:r>
        <w:t xml:space="preserve"> Unconstitutionally Precludes Individual and Class Claims, Gabriell Hanna, 97 Washington Law Review 871, 877 (2022) (raises concerns with </w:t>
      </w:r>
      <w:r w:rsidRPr="005B1BC3">
        <w:rPr>
          <w:i/>
          <w:iCs/>
        </w:rPr>
        <w:t>parens patriae</w:t>
      </w:r>
      <w:r>
        <w:t xml:space="preserve"> claims depriving individuals  of their rights to sue); </w:t>
      </w:r>
      <w:r w:rsidRPr="005B1BC3">
        <w:rPr>
          <w:i/>
          <w:iCs/>
        </w:rPr>
        <w:t>see also</w:t>
      </w:r>
      <w:r>
        <w:t xml:space="preserve"> Mitigating Municipality Litigation, Rob McKenna, Elbert Lin, and Drew Ketterer, U.S. Chamber of Commerce, Institute for Legal Reform, Scope and Solutions (March 2019) (raising concerns with political subdivisions filing </w:t>
      </w:r>
      <w:r w:rsidRPr="005B1BC3">
        <w:rPr>
          <w:i/>
          <w:iCs/>
        </w:rPr>
        <w:t>parens patriae</w:t>
      </w:r>
      <w:r>
        <w:t xml:space="preserve"> claims if the state also files such claims).</w:t>
      </w:r>
    </w:p>
  </w:footnote>
  <w:footnote w:id="316">
    <w:p w14:paraId="667A2F6B" w14:textId="77777777" w:rsidR="00CE2632" w:rsidRDefault="00CE2632" w:rsidP="00CE2632">
      <w:pPr>
        <w:pStyle w:val="FootnoteText"/>
        <w:jc w:val="both"/>
      </w:pPr>
      <w:r>
        <w:rPr>
          <w:rStyle w:val="FootnoteReference"/>
        </w:rPr>
        <w:footnoteRef/>
      </w:r>
      <w:r>
        <w:t xml:space="preserve"> Mitigating Municipality Litigation, White Paper, Rob McKenna, Elbert Lin, and Drew Ketterer, U.S. Chamber of Commerce, Institute for Legal Reform, Scope and Solutions, p. 15 (March 2019).</w:t>
      </w:r>
    </w:p>
  </w:footnote>
  <w:footnote w:id="317">
    <w:p w14:paraId="787A0CA3" w14:textId="77777777" w:rsidR="00CE2632" w:rsidRDefault="00CE2632" w:rsidP="00CE2632">
      <w:pPr>
        <w:jc w:val="both"/>
      </w:pPr>
      <w:r>
        <w:rPr>
          <w:rStyle w:val="FootnoteReference"/>
        </w:rPr>
        <w:footnoteRef/>
      </w:r>
      <w:r>
        <w:t xml:space="preserve"> </w:t>
      </w:r>
      <w:r w:rsidRPr="00F60717">
        <w:rPr>
          <w:rFonts w:cs="Times New Roman"/>
          <w:color w:val="001D35"/>
          <w:sz w:val="20"/>
          <w:szCs w:val="20"/>
          <w:shd w:val="clear" w:color="auto" w:fill="FFFFFF"/>
        </w:rPr>
        <w:t>Dillon's Rule and Home Rule represent contrasting philosophies on the relationship between state and local governments in the United States. Dillon's Rule, named after Iowa Supreme Court Justice John Dillon, dictates that local governments only have the powers explicitly granted by the state, while Home Rule provides local governments greater autonomy, allowing them to govern themselves unless specifically prohibited by state law.</w:t>
      </w:r>
      <w:r w:rsidRPr="0020378A">
        <w:rPr>
          <w:rStyle w:val="uv3um"/>
          <w:rFonts w:cs="Times New Roman"/>
          <w:color w:val="001D35"/>
          <w:shd w:val="clear" w:color="auto" w:fill="FFFFFF"/>
        </w:rPr>
        <w:t> </w:t>
      </w:r>
    </w:p>
  </w:footnote>
  <w:footnote w:id="318">
    <w:p w14:paraId="7D43B136" w14:textId="77777777" w:rsidR="00CE2632" w:rsidRDefault="00CE2632" w:rsidP="00CE2632">
      <w:pPr>
        <w:pStyle w:val="FootnoteText"/>
        <w:jc w:val="both"/>
      </w:pPr>
      <w:r>
        <w:rPr>
          <w:rStyle w:val="FootnoteReference"/>
        </w:rPr>
        <w:footnoteRef/>
      </w:r>
      <w:r>
        <w:t xml:space="preserve"> Dillon Rule and Home Rule, Principles of Local Governance, Travis Moore, LRO Snapshot, Nebraska Legislative Research Office (Feb. 2020) (Eight states apply Dillon Rule, including California, New Jersey, and Illinois, while 39 states provide for Home Rule by constitution or statute.).</w:t>
      </w:r>
    </w:p>
  </w:footnote>
  <w:footnote w:id="319">
    <w:p w14:paraId="28F26951" w14:textId="77777777" w:rsidR="00CE2632" w:rsidRDefault="00CE2632" w:rsidP="00CE2632">
      <w:pPr>
        <w:pStyle w:val="FootnoteText"/>
        <w:jc w:val="both"/>
      </w:pPr>
      <w:r>
        <w:rPr>
          <w:rStyle w:val="FootnoteReference"/>
        </w:rPr>
        <w:footnoteRef/>
      </w:r>
      <w:r>
        <w:t xml:space="preserve"> Federal Civil Procedure Manual, Lee Rosenthal, David Levi, and John Rabiej, Juris Publishing, Inc., </w:t>
      </w:r>
      <w:r>
        <w:rPr>
          <w:rFonts w:cs="Times New Roman"/>
        </w:rPr>
        <w:t xml:space="preserve">§ </w:t>
      </w:r>
      <w:r>
        <w:t>8.3.4 (2015).</w:t>
      </w:r>
    </w:p>
  </w:footnote>
  <w:footnote w:id="320">
    <w:p w14:paraId="76BF1646" w14:textId="77777777" w:rsidR="00CE2632" w:rsidRDefault="00CE2632" w:rsidP="00CE2632">
      <w:pPr>
        <w:pStyle w:val="FootnoteText"/>
      </w:pPr>
      <w:r>
        <w:rPr>
          <w:rStyle w:val="FootnoteReference"/>
        </w:rPr>
        <w:footnoteRef/>
      </w:r>
      <w:r>
        <w:t xml:space="preserve"> </w:t>
      </w:r>
      <w:r w:rsidRPr="00C05476">
        <w:rPr>
          <w:i/>
          <w:iCs/>
        </w:rPr>
        <w:t>See</w:t>
      </w:r>
      <w:r>
        <w:t xml:space="preserve"> Question 8, Official Form 410, Proof of Claim, which asks: “What is the basis of the claim?” A local political division filing a </w:t>
      </w:r>
      <w:r w:rsidRPr="00C05476">
        <w:rPr>
          <w:i/>
          <w:iCs/>
        </w:rPr>
        <w:t>parens patriae</w:t>
      </w:r>
      <w:r>
        <w:t xml:space="preserve"> claim must explain the basis of its claim, which would reflect its role.  </w:t>
      </w:r>
    </w:p>
  </w:footnote>
  <w:footnote w:id="321">
    <w:p w14:paraId="1BC67112" w14:textId="77777777" w:rsidR="00CE2632" w:rsidRDefault="00CE2632" w:rsidP="00CE2632">
      <w:pPr>
        <w:pStyle w:val="FootnoteText"/>
        <w:jc w:val="both"/>
      </w:pPr>
      <w:r>
        <w:rPr>
          <w:rStyle w:val="FootnoteReference"/>
        </w:rPr>
        <w:footnoteRef/>
      </w:r>
      <w:r>
        <w:t xml:space="preserve"> Fed. R. Bk. P. 3007, Committee Note (1983); </w:t>
      </w:r>
      <w:r w:rsidRPr="00B4229C">
        <w:rPr>
          <w:i/>
          <w:iCs/>
        </w:rPr>
        <w:t>see</w:t>
      </w:r>
      <w:r>
        <w:t xml:space="preserve"> 11 U.S.C. </w:t>
      </w:r>
      <w:r>
        <w:rPr>
          <w:rFonts w:cs="Times New Roman"/>
          <w:color w:val="001D35"/>
          <w:shd w:val="clear" w:color="auto" w:fill="FFFFFF"/>
        </w:rPr>
        <w:t>§ 704, Pub. L. 95-598, Senate Report No. 95-989 (Nov. 6, 1978) (“The trustee is required to examine proofs of claims and object to the allowance of any claim that is improper ...  if purposes would be served (such as if there are assets that will be distributed.”</w:t>
      </w:r>
      <w:r>
        <w:t>)</w:t>
      </w:r>
    </w:p>
  </w:footnote>
  <w:footnote w:id="322">
    <w:p w14:paraId="26EC79E9" w14:textId="77777777" w:rsidR="00CE2632" w:rsidRDefault="00CE2632" w:rsidP="00CE2632">
      <w:pPr>
        <w:pStyle w:val="FootnoteText"/>
        <w:jc w:val="both"/>
      </w:pPr>
      <w:r>
        <w:rPr>
          <w:rStyle w:val="FootnoteReference"/>
        </w:rPr>
        <w:footnoteRef/>
      </w:r>
      <w:r>
        <w:t xml:space="preserve"> 11 U.S.C. </w:t>
      </w:r>
      <w:r>
        <w:rPr>
          <w:rFonts w:cs="Times New Roman"/>
        </w:rPr>
        <w:t>§</w:t>
      </w:r>
      <w:r>
        <w:t xml:space="preserve"> 1104(d) (“If the court orders the appointment of a trustee or an examiner, ... then the United States trustee, after consultation with parties in interest, shall appoint, subject to the court’s approval, one disinterested person other than the United Sates trustee to serve as trustee or examiner, as the case may be, in the case.”).</w:t>
      </w:r>
    </w:p>
  </w:footnote>
  <w:footnote w:id="323">
    <w:p w14:paraId="590DA63A" w14:textId="77777777" w:rsidR="00CE2632" w:rsidRDefault="00CE2632" w:rsidP="00CE2632">
      <w:pPr>
        <w:pStyle w:val="FootnoteText"/>
        <w:jc w:val="both"/>
      </w:pPr>
      <w:r>
        <w:rPr>
          <w:rStyle w:val="FootnoteReference"/>
        </w:rPr>
        <w:footnoteRef/>
      </w:r>
      <w:r>
        <w:t xml:space="preserve"> “(Y)et, each of these options can give rise to significant costs and have inherent limitations – ultimately, tort victims, equity holders, and other creditors  are forced to finance the costs associated with endless discovery battles and challenges to these appointments...” Letter from Chief Judge Michael Kaplan, United States Bankruptcy Court (District of New Jersey) recommending amendment to Fed. R. Bk. P. 9031 to Advisory Committee on Bankruptcy Rules (January 10, 2024); </w:t>
      </w:r>
      <w:r w:rsidRPr="00A5493C">
        <w:rPr>
          <w:i/>
          <w:iCs/>
        </w:rPr>
        <w:t>see</w:t>
      </w:r>
      <w:r>
        <w:t xml:space="preserve"> Paulette Delk, </w:t>
      </w:r>
      <w:r w:rsidRPr="00A5493C">
        <w:rPr>
          <w:i/>
          <w:iCs/>
        </w:rPr>
        <w:t>Special Masters in Bankruptcy: The Case Against Bankruptcy Rule 9031</w:t>
      </w:r>
      <w:r>
        <w:t>, 67 Missouri L. Rev. 29, 52-53 (2002) (“Trustees and examiners are not authorized under the Code to perform the vast majority of tasks that a court would need and appoint a special master to perform. ... The trustee’s duties are to protect the debtor’s assets for its creditors and equity security holders. ...The examiner is appointed to conduct investigation of the debtor. ... Although trustees and examiners may be appointed by the bankruptcy court, the duties of the trustee and examiner as described in the Code do not include providing case management assistance to the court...”)</w:t>
      </w:r>
    </w:p>
  </w:footnote>
  <w:footnote w:id="324">
    <w:p w14:paraId="7BAEDCF4" w14:textId="77777777" w:rsidR="00CE2632" w:rsidRDefault="00CE2632" w:rsidP="00CE2632">
      <w:pPr>
        <w:pStyle w:val="FootnoteText"/>
        <w:jc w:val="both"/>
      </w:pPr>
      <w:r>
        <w:rPr>
          <w:rStyle w:val="FootnoteReference"/>
        </w:rPr>
        <w:footnoteRef/>
      </w:r>
      <w:r>
        <w:t xml:space="preserve"> S</w:t>
      </w:r>
      <w:r w:rsidRPr="00A5493C">
        <w:rPr>
          <w:i/>
          <w:iCs/>
        </w:rPr>
        <w:t>ee</w:t>
      </w:r>
      <w:r>
        <w:t xml:space="preserve"> Paulette Delk, </w:t>
      </w:r>
      <w:r w:rsidRPr="00A5493C">
        <w:rPr>
          <w:i/>
          <w:iCs/>
        </w:rPr>
        <w:t>Special Masters in Bankruptcy: The Case Against Bankruptcy Rule 9031</w:t>
      </w:r>
      <w:r>
        <w:t>, 67 Missouri L. Rev. 29, 57 (2002) (“Many authorities have concluded that no express statutory basis is required for courts of equity to appoint a special master.  These authorities hold that courts of equity have inherent power and authority to do that which is necessary to carry out their duties, including appointing persons unconnected with the case to assist the courts in performing their duties.”)</w:t>
      </w:r>
    </w:p>
  </w:footnote>
  <w:footnote w:id="325">
    <w:p w14:paraId="7E5F6D54" w14:textId="77777777" w:rsidR="00CE2632" w:rsidRDefault="00CE2632" w:rsidP="00CE2632">
      <w:pPr>
        <w:pStyle w:val="FootnoteText"/>
        <w:jc w:val="both"/>
      </w:pPr>
      <w:r>
        <w:rPr>
          <w:rStyle w:val="FootnoteReference"/>
        </w:rPr>
        <w:footnoteRef/>
      </w:r>
      <w:r>
        <w:t xml:space="preserve"> District court judges faced similar concerns and challenges that bankruptcy courts now experience, which led to the amendment of Rule 53 in 2003. The Advisory Committee on Civil Rules noted that the Federal Judicial Center’s report on the </w:t>
      </w:r>
      <w:r w:rsidRPr="00730DF4">
        <w:rPr>
          <w:i/>
          <w:iCs/>
        </w:rPr>
        <w:t>Special Masters’ Incidence and Activity</w:t>
      </w:r>
      <w:r>
        <w:t xml:space="preserve"> (2000) “found that indeed masters are frequently appointed for pretrial or postjudgment purposes; that the </w:t>
      </w:r>
      <w:r w:rsidRPr="00936117">
        <w:rPr>
          <w:i/>
          <w:iCs/>
        </w:rPr>
        <w:t>uncertain reach of Rule 53 in these areas is overcome largely by ‘consent and acquiescence’</w:t>
      </w:r>
      <w:r>
        <w:t xml:space="preserve">; and that </w:t>
      </w:r>
      <w:r w:rsidRPr="00936117">
        <w:rPr>
          <w:i/>
          <w:iCs/>
        </w:rPr>
        <w:t>many judges do not trouble to cite any source of authority, whether  Rule 53 or something else, in making appointments</w:t>
      </w:r>
      <w:r>
        <w:t xml:space="preserve">.” (Italics added.)  In a frank admission, the Committee concluded that “Rule 53 does not reflect these realities, and does not provide any guidance or establish any control.  At the same time, courts seem to be muddling along reasonably well.” </w:t>
      </w:r>
    </w:p>
  </w:footnote>
  <w:footnote w:id="326">
    <w:p w14:paraId="2DF236EA" w14:textId="77777777" w:rsidR="00CE2632" w:rsidRDefault="00CE2632" w:rsidP="00CE2632">
      <w:pPr>
        <w:pStyle w:val="FootnoteText"/>
        <w:jc w:val="both"/>
      </w:pPr>
      <w:r>
        <w:rPr>
          <w:rStyle w:val="FootnoteReference"/>
        </w:rPr>
        <w:footnoteRef/>
      </w:r>
      <w:r>
        <w:t xml:space="preserve"> Language contained in earlier draft, which was deleted because the Committee Note was too long. Edits shown in Report of the Advisory Committee on Civil Rules to the Standing Committee on Rules of Practice and Procedure, p. 74 (May 20, 2002).</w:t>
      </w:r>
    </w:p>
  </w:footnote>
  <w:footnote w:id="327">
    <w:p w14:paraId="40316B2D" w14:textId="77777777" w:rsidR="00CE2632" w:rsidRDefault="00CE2632" w:rsidP="00CE2632">
      <w:pPr>
        <w:pStyle w:val="FootnoteText"/>
        <w:jc w:val="both"/>
      </w:pPr>
      <w:r>
        <w:rPr>
          <w:rStyle w:val="FootnoteReference"/>
        </w:rPr>
        <w:footnoteRef/>
      </w:r>
      <w:r>
        <w:t xml:space="preserve"> The Advisory Committee on Civil Rules established a subcommittee to work on proposed amendments to Rule 53 at its November 1998 meeting.  The amended rule took effect on December 1, 2003.</w:t>
      </w:r>
    </w:p>
  </w:footnote>
  <w:footnote w:id="328">
    <w:p w14:paraId="42E971B8" w14:textId="47B3C44C" w:rsidR="00CE2632" w:rsidRDefault="00CE2632" w:rsidP="00CE2632">
      <w:pPr>
        <w:pStyle w:val="FootnoteText"/>
        <w:jc w:val="both"/>
      </w:pPr>
      <w:r>
        <w:rPr>
          <w:rStyle w:val="FootnoteReference"/>
        </w:rPr>
        <w:footnoteRef/>
      </w:r>
      <w:r>
        <w:t xml:space="preserve"> </w:t>
      </w:r>
      <w:r w:rsidR="001B7640">
        <w:t>FED. R. CIV. P.</w:t>
      </w:r>
      <w:r>
        <w:t xml:space="preserve"> 53 (f)(2) provides a party 21 days to file an objection to a master’s order, report, or recommendations “unless the court sets a different time.” It is likely that a shorter period of time should apply in a bankruptcy case or proceeding.</w:t>
      </w:r>
    </w:p>
  </w:footnote>
  <w:footnote w:id="329">
    <w:p w14:paraId="10BC678E" w14:textId="77777777" w:rsidR="00CE2632" w:rsidRDefault="00CE2632" w:rsidP="00CE2632">
      <w:pPr>
        <w:pStyle w:val="FootnoteText"/>
        <w:jc w:val="both"/>
      </w:pPr>
      <w:r>
        <w:rPr>
          <w:rStyle w:val="FootnoteReference"/>
        </w:rPr>
        <w:footnoteRef/>
      </w:r>
      <w:r>
        <w:t xml:space="preserve"> </w:t>
      </w:r>
      <w:r>
        <w:rPr>
          <w:rFonts w:cs="Times New Roman"/>
        </w:rPr>
        <w:t>An amendment to Fed. R. Bk. P.  9031 could take effect no earlier than December 1, 2027.</w:t>
      </w:r>
    </w:p>
  </w:footnote>
  <w:footnote w:id="330">
    <w:p w14:paraId="26DD5F8B" w14:textId="77777777" w:rsidR="00CE2632" w:rsidRDefault="00CE2632" w:rsidP="00CE2632">
      <w:pPr>
        <w:pStyle w:val="FootnoteText"/>
        <w:jc w:val="both"/>
      </w:pPr>
      <w:r>
        <w:rPr>
          <w:rStyle w:val="FootnoteReference"/>
        </w:rPr>
        <w:footnoteRef/>
      </w:r>
      <w:r>
        <w:t xml:space="preserve"> Applying the same appointment procedures and standards in both civil actions and bankruptcy cases and proceedings promotes transubstantive uniformity among the sets of rules of procedures, an important feature of the rulemaking process.</w:t>
      </w:r>
    </w:p>
  </w:footnote>
  <w:footnote w:id="331">
    <w:p w14:paraId="15A730BD" w14:textId="06B8AF59" w:rsidR="00CE2632" w:rsidRDefault="00CE2632" w:rsidP="00CE2632">
      <w:pPr>
        <w:pStyle w:val="FootnoteText"/>
        <w:jc w:val="both"/>
      </w:pPr>
      <w:r>
        <w:rPr>
          <w:rStyle w:val="FootnoteReference"/>
        </w:rPr>
        <w:footnoteRef/>
      </w:r>
      <w:r>
        <w:t xml:space="preserve"> </w:t>
      </w:r>
      <w:r w:rsidR="001B7640">
        <w:t>FED. R. CIV. P.</w:t>
      </w:r>
      <w:r>
        <w:t xml:space="preserve"> 53(a)(1) (“unless the parties, with the court’s approval, consent o the appointment pretrial and posttrial matters that cannot be effectively and timely addressed by an available” judge); </w:t>
      </w:r>
      <w:r w:rsidR="001B7640">
        <w:t>FED. R. CIV. P.</w:t>
      </w:r>
      <w:r>
        <w:t xml:space="preserve"> 53(b)(2)(A).</w:t>
      </w:r>
    </w:p>
  </w:footnote>
  <w:footnote w:id="332">
    <w:p w14:paraId="4A0582F3" w14:textId="02CC7BA2" w:rsidR="00CE2632" w:rsidRDefault="00CE2632" w:rsidP="00CE2632">
      <w:pPr>
        <w:pStyle w:val="FootnoteText"/>
        <w:jc w:val="both"/>
      </w:pPr>
      <w:r>
        <w:rPr>
          <w:rStyle w:val="FootnoteReference"/>
        </w:rPr>
        <w:footnoteRef/>
      </w:r>
      <w:r>
        <w:t xml:space="preserve"> </w:t>
      </w:r>
      <w:r w:rsidR="001B7640">
        <w:t>FED. R. CIV. P.</w:t>
      </w:r>
      <w:r>
        <w:t xml:space="preserve"> 53(a)(2) (except if “parties consent after the master discloses any potential grounds for disqualification”); master must file affidavit disclosing whether there is any ground for disqualification under 28 U.S.C.</w:t>
      </w:r>
      <w:r>
        <w:rPr>
          <w:rFonts w:cs="Times New Roman"/>
        </w:rPr>
        <w:t>§</w:t>
      </w:r>
      <w:r>
        <w:t xml:space="preserve"> 455 (same disqualification criteria that apply to all justices, judges, or magistrate judges); compare with Fed. R. Bk. P. 2014(a), which addresses conflict-of interest (disinterestedness) issues regarding appointment of  professionals by a trustee or a committee and requires submission of a “verified statement of the person to be employed setting forth the person’s connections with the debtor, creditors, any other party in interest, their respective attorneys and accountants, the United States trustee, or any person employed in the office of United States  trustee.”.</w:t>
      </w:r>
    </w:p>
  </w:footnote>
  <w:footnote w:id="333">
    <w:p w14:paraId="507D7845" w14:textId="62DD4EBD" w:rsidR="00CE2632" w:rsidRDefault="00CE2632" w:rsidP="00CE2632">
      <w:pPr>
        <w:pStyle w:val="FootnoteText"/>
        <w:jc w:val="both"/>
      </w:pPr>
      <w:r>
        <w:rPr>
          <w:rStyle w:val="FootnoteReference"/>
        </w:rPr>
        <w:footnoteRef/>
      </w:r>
      <w:r>
        <w:t xml:space="preserve"> </w:t>
      </w:r>
      <w:r w:rsidR="001B7640">
        <w:t>FED. R. CIV. P.</w:t>
      </w:r>
      <w:r>
        <w:t xml:space="preserve"> 53(b)(1).</w:t>
      </w:r>
    </w:p>
  </w:footnote>
  <w:footnote w:id="334">
    <w:p w14:paraId="787BE0A8" w14:textId="4F02BFF9" w:rsidR="00CE2632" w:rsidRDefault="00CE2632" w:rsidP="00CE2632">
      <w:pPr>
        <w:pStyle w:val="FootnoteText"/>
        <w:jc w:val="both"/>
      </w:pPr>
      <w:r>
        <w:rPr>
          <w:rStyle w:val="FootnoteReference"/>
        </w:rPr>
        <w:footnoteRef/>
      </w:r>
      <w:r>
        <w:t xml:space="preserve"> </w:t>
      </w:r>
      <w:r w:rsidR="001B7640">
        <w:t>FED. R. CIV. P.</w:t>
      </w:r>
      <w:r>
        <w:t xml:space="preserve"> 53(b)(1).</w:t>
      </w:r>
    </w:p>
  </w:footnote>
  <w:footnote w:id="335">
    <w:p w14:paraId="436674F5" w14:textId="0372C359" w:rsidR="00CE2632" w:rsidRDefault="00CE2632" w:rsidP="00CE2632">
      <w:pPr>
        <w:pStyle w:val="FootnoteText"/>
        <w:jc w:val="both"/>
      </w:pPr>
      <w:r>
        <w:rPr>
          <w:rStyle w:val="FootnoteReference"/>
        </w:rPr>
        <w:footnoteRef/>
      </w:r>
      <w:r>
        <w:t xml:space="preserve"> </w:t>
      </w:r>
      <w:r w:rsidR="001B7640">
        <w:t>FED. R. CIV. P.</w:t>
      </w:r>
      <w:r>
        <w:t xml:space="preserve"> 53(b)(2)(B); </w:t>
      </w:r>
      <w:r w:rsidRPr="00461F75">
        <w:rPr>
          <w:i/>
          <w:iCs/>
        </w:rPr>
        <w:t>Compare</w:t>
      </w:r>
      <w:r>
        <w:t xml:space="preserve"> Fed. R. Bk. P. 9003(a), which prohibits “</w:t>
      </w:r>
      <w:r w:rsidRPr="00461F75">
        <w:rPr>
          <w:i/>
          <w:iCs/>
        </w:rPr>
        <w:t>ex parte</w:t>
      </w:r>
      <w:r>
        <w:t xml:space="preserve"> meetings and communications with the court concerning matters affecting a particular case or proceeding” by “any examiner, any party in interest, and any attorney, accountant, or employee of a party in interest.” The last clause applies to “any attorney, accountant, or employee of a party in interest” and does  not apply to a neutral appointed by the court.  In addition, the last sentence of Fed. R. Bk. P. 9003(b) excepts “communications with the court to discuss general problems of administration and improvement of bankruptcy administration including the operation of the United States trustee system.”  </w:t>
      </w:r>
    </w:p>
  </w:footnote>
  <w:footnote w:id="336">
    <w:p w14:paraId="4CA1B272" w14:textId="3EE66167" w:rsidR="00CE2632" w:rsidRDefault="00CE2632" w:rsidP="00CE2632">
      <w:pPr>
        <w:pStyle w:val="FootnoteText"/>
        <w:jc w:val="both"/>
      </w:pPr>
      <w:r>
        <w:rPr>
          <w:rStyle w:val="FootnoteReference"/>
        </w:rPr>
        <w:footnoteRef/>
      </w:r>
      <w:r>
        <w:t xml:space="preserve"> </w:t>
      </w:r>
      <w:r w:rsidR="001B7640">
        <w:t>FED. R. CIV. P.</w:t>
      </w:r>
      <w:r>
        <w:t xml:space="preserve"> 53(b)(1)(C).</w:t>
      </w:r>
    </w:p>
  </w:footnote>
  <w:footnote w:id="337">
    <w:p w14:paraId="72479847" w14:textId="7F98594C" w:rsidR="00CE2632" w:rsidRDefault="00CE2632" w:rsidP="00CE2632">
      <w:pPr>
        <w:pStyle w:val="FootnoteText"/>
        <w:jc w:val="both"/>
      </w:pPr>
      <w:r>
        <w:rPr>
          <w:rStyle w:val="FootnoteReference"/>
        </w:rPr>
        <w:footnoteRef/>
      </w:r>
      <w:r>
        <w:t xml:space="preserve"> </w:t>
      </w:r>
      <w:r w:rsidR="001B7640">
        <w:t>FED. R. CIV. P.</w:t>
      </w:r>
      <w:r>
        <w:t xml:space="preserve"> 53(b)(1)(D).</w:t>
      </w:r>
    </w:p>
  </w:footnote>
  <w:footnote w:id="338">
    <w:p w14:paraId="3FA9C5F7" w14:textId="23517B30" w:rsidR="00CE2632" w:rsidRDefault="00CE2632" w:rsidP="00CE2632">
      <w:pPr>
        <w:pStyle w:val="FootnoteText"/>
        <w:jc w:val="both"/>
      </w:pPr>
      <w:r>
        <w:rPr>
          <w:rStyle w:val="FootnoteReference"/>
        </w:rPr>
        <w:footnoteRef/>
      </w:r>
      <w:r>
        <w:t xml:space="preserve"> </w:t>
      </w:r>
      <w:r w:rsidR="001B7640">
        <w:t>FED. R. CIV. P.</w:t>
      </w:r>
      <w:r>
        <w:t xml:space="preserve"> 53(b)(1)(E).</w:t>
      </w:r>
    </w:p>
  </w:footnote>
  <w:footnote w:id="339">
    <w:p w14:paraId="6F1C7D67" w14:textId="0FBF0A84" w:rsidR="00CE2632" w:rsidRDefault="00CE2632" w:rsidP="00CE2632">
      <w:pPr>
        <w:pStyle w:val="FootnoteText"/>
        <w:jc w:val="both"/>
      </w:pPr>
      <w:r>
        <w:rPr>
          <w:rStyle w:val="FootnoteReference"/>
        </w:rPr>
        <w:footnoteRef/>
      </w:r>
      <w:r>
        <w:t xml:space="preserve"> </w:t>
      </w:r>
      <w:r w:rsidR="001B7640">
        <w:t>FED. R. CIV. P.</w:t>
      </w:r>
      <w:r>
        <w:t xml:space="preserve"> 53(d) (“clerk must enter the order on the docket”); Oral orders should be noted on the record.</w:t>
      </w:r>
    </w:p>
  </w:footnote>
  <w:footnote w:id="340">
    <w:p w14:paraId="3303CF1B" w14:textId="261F700A" w:rsidR="00CE2632" w:rsidRDefault="00CE2632" w:rsidP="00CE2632">
      <w:pPr>
        <w:pStyle w:val="FootnoteText"/>
        <w:jc w:val="both"/>
      </w:pPr>
      <w:r>
        <w:rPr>
          <w:rStyle w:val="FootnoteReference"/>
        </w:rPr>
        <w:footnoteRef/>
      </w:r>
      <w:r>
        <w:t xml:space="preserve"> </w:t>
      </w:r>
      <w:r w:rsidR="001B7640">
        <w:t>FED. R. CIV. P.</w:t>
      </w:r>
      <w:r>
        <w:t xml:space="preserve"> 53(f)(1).</w:t>
      </w:r>
    </w:p>
  </w:footnote>
  <w:footnote w:id="341">
    <w:p w14:paraId="342D0DDC" w14:textId="4218B917" w:rsidR="00CE2632" w:rsidRDefault="00CE2632" w:rsidP="00CE2632">
      <w:pPr>
        <w:pStyle w:val="FootnoteText"/>
        <w:jc w:val="both"/>
      </w:pPr>
      <w:r>
        <w:rPr>
          <w:rStyle w:val="FootnoteReference"/>
        </w:rPr>
        <w:footnoteRef/>
      </w:r>
      <w:r>
        <w:t xml:space="preserve"> </w:t>
      </w:r>
      <w:r w:rsidR="001B7640">
        <w:t>FED. R. CIV. P.</w:t>
      </w:r>
      <w:r>
        <w:t xml:space="preserve"> 53(f)(2) (the court should fix shorter period of time when appropriate).</w:t>
      </w:r>
    </w:p>
  </w:footnote>
  <w:footnote w:id="342">
    <w:p w14:paraId="3F797C9A" w14:textId="7465FC81" w:rsidR="00CE2632" w:rsidRDefault="00CE2632" w:rsidP="00CE2632">
      <w:pPr>
        <w:pStyle w:val="FootnoteText"/>
        <w:jc w:val="both"/>
      </w:pPr>
      <w:r>
        <w:rPr>
          <w:rStyle w:val="FootnoteReference"/>
        </w:rPr>
        <w:footnoteRef/>
      </w:r>
      <w:r>
        <w:t xml:space="preserve"> </w:t>
      </w:r>
      <w:r w:rsidR="001B7640">
        <w:t>FED. R. CIV. P.</w:t>
      </w:r>
      <w:r>
        <w:t xml:space="preserve"> 53(f)(3) &amp; (4) (if parties stipulate with the court’s approval, that the master’s findings of fact will be reviewed for clear error); “Unless the appointing order establishes a different standard of review, the court may set aside a master’s ruling on a procedural matter only for an abuse of discretion.” </w:t>
      </w:r>
      <w:r w:rsidR="001B7640">
        <w:t>FED. R. CIV. P.</w:t>
      </w:r>
      <w:r>
        <w:t xml:space="preserve"> 53(f)(5).</w:t>
      </w:r>
    </w:p>
  </w:footnote>
  <w:footnote w:id="343">
    <w:p w14:paraId="32ADE4F5" w14:textId="7520BFC8" w:rsidR="00CE2632" w:rsidRDefault="00CE2632" w:rsidP="00CE2632">
      <w:pPr>
        <w:pStyle w:val="FootnoteText"/>
        <w:jc w:val="both"/>
      </w:pPr>
      <w:r>
        <w:rPr>
          <w:rStyle w:val="FootnoteReference"/>
        </w:rPr>
        <w:footnoteRef/>
      </w:r>
      <w:r>
        <w:t xml:space="preserve"> </w:t>
      </w:r>
      <w:r w:rsidR="001B7640">
        <w:t>FED. R. CIV. P.</w:t>
      </w:r>
      <w:r>
        <w:t xml:space="preserve"> 53(g)(2); parties will typically formalize the arrangement in a written contract with the special master.</w:t>
      </w:r>
    </w:p>
  </w:footnote>
  <w:footnote w:id="344">
    <w:p w14:paraId="543549A5" w14:textId="7B73255C" w:rsidR="00CE2632" w:rsidRDefault="00CE2632" w:rsidP="00CE2632">
      <w:pPr>
        <w:pStyle w:val="FootnoteText"/>
      </w:pPr>
      <w:r>
        <w:rPr>
          <w:rStyle w:val="FootnoteReference"/>
        </w:rPr>
        <w:footnoteRef/>
      </w:r>
      <w:r>
        <w:t xml:space="preserve"> </w:t>
      </w:r>
      <w:r w:rsidR="001B7640">
        <w:t>FED. R. CIV. P.</w:t>
      </w:r>
      <w:r>
        <w:t xml:space="preserve"> 53 (b)(2)((E).</w:t>
      </w:r>
    </w:p>
  </w:footnote>
  <w:footnote w:id="345">
    <w:p w14:paraId="1B571317" w14:textId="750DA4DF" w:rsidR="00CE2632" w:rsidRDefault="00CE2632" w:rsidP="00CE2632">
      <w:pPr>
        <w:pStyle w:val="FootnoteText"/>
      </w:pPr>
      <w:r>
        <w:rPr>
          <w:rStyle w:val="FootnoteReference"/>
        </w:rPr>
        <w:footnoteRef/>
      </w:r>
      <w:r>
        <w:t xml:space="preserve"> </w:t>
      </w:r>
      <w:r w:rsidRPr="004D6F3C">
        <w:rPr>
          <w:i/>
          <w:iCs/>
        </w:rPr>
        <w:t>See</w:t>
      </w:r>
      <w:r>
        <w:t xml:space="preserve"> 11 U.S.C. </w:t>
      </w:r>
      <w:r>
        <w:rPr>
          <w:rFonts w:cs="Times New Roman"/>
        </w:rPr>
        <w:t>§</w:t>
      </w:r>
      <w:r>
        <w:t xml:space="preserve"> 503(b)(4) and </w:t>
      </w:r>
      <w:r w:rsidR="001B7640">
        <w:t>FED. R. CIV. P.</w:t>
      </w:r>
      <w:r>
        <w:t xml:space="preserve"> 53(h), Committee Note (2003). </w:t>
      </w:r>
    </w:p>
  </w:footnote>
  <w:footnote w:id="346">
    <w:p w14:paraId="76840C27" w14:textId="77777777" w:rsidR="00CE2632" w:rsidRDefault="00CE2632" w:rsidP="00CE2632">
      <w:pPr>
        <w:pStyle w:val="FootnoteText"/>
        <w:jc w:val="both"/>
      </w:pPr>
      <w:r>
        <w:rPr>
          <w:rStyle w:val="FootnoteReference"/>
        </w:rPr>
        <w:footnoteRef/>
      </w:r>
      <w:r>
        <w:t xml:space="preserve"> </w:t>
      </w:r>
      <w:r w:rsidRPr="0053128B">
        <w:rPr>
          <w:i/>
          <w:iCs/>
        </w:rPr>
        <w:t>Compare In re McCombs</w:t>
      </w:r>
      <w:r>
        <w:t>, 751 F.2d 286, 288 (8</w:t>
      </w:r>
      <w:r w:rsidRPr="0053128B">
        <w:rPr>
          <w:vertAlign w:val="superscript"/>
        </w:rPr>
        <w:t>th</w:t>
      </w:r>
      <w:r>
        <w:t xml:space="preserve"> Cir. 1984) (Factors to consider when compensating professionals hired by trustee under </w:t>
      </w:r>
      <w:r>
        <w:rPr>
          <w:rFonts w:cs="Times New Roman"/>
        </w:rPr>
        <w:t>§</w:t>
      </w:r>
      <w:r>
        <w:t xml:space="preserve"> 330 similar to compensation for professional service rendered under </w:t>
      </w:r>
      <w:r>
        <w:rPr>
          <w:rFonts w:cs="Times New Roman"/>
        </w:rPr>
        <w:t xml:space="preserve">§ 503: </w:t>
      </w:r>
      <w:r>
        <w:t>“Bankruptcy courts must consider whether the fee awards are commensurate with fees for professional services in non-bankruptcy cases, thus providing sufficient economic incentive to practice in the bankruptcy courts.”)</w:t>
      </w:r>
    </w:p>
  </w:footnote>
  <w:footnote w:id="347">
    <w:p w14:paraId="42D33A37" w14:textId="77777777" w:rsidR="00CE2632" w:rsidRDefault="00CE2632" w:rsidP="00CE2632">
      <w:pPr>
        <w:pStyle w:val="FootnoteText"/>
        <w:jc w:val="both"/>
      </w:pPr>
      <w:r>
        <w:rPr>
          <w:rStyle w:val="FootnoteReference"/>
        </w:rPr>
        <w:footnoteRef/>
      </w:r>
      <w:r>
        <w:t xml:space="preserve"> 11 U.S.C.</w:t>
      </w:r>
      <w:r>
        <w:rPr>
          <w:rFonts w:cs="Times New Roman"/>
        </w:rPr>
        <w:t>§</w:t>
      </w:r>
      <w:r>
        <w:t xml:space="preserve"> 507(a)(2).</w:t>
      </w:r>
    </w:p>
  </w:footnote>
  <w:footnote w:id="348">
    <w:p w14:paraId="3C6D282C" w14:textId="32CEE7A0" w:rsidR="00CE2632" w:rsidRDefault="00CE2632" w:rsidP="00CE2632">
      <w:pPr>
        <w:pStyle w:val="FootnoteText"/>
        <w:jc w:val="both"/>
      </w:pPr>
      <w:r>
        <w:rPr>
          <w:rStyle w:val="FootnoteReference"/>
        </w:rPr>
        <w:footnoteRef/>
      </w:r>
      <w:r>
        <w:t xml:space="preserve"> </w:t>
      </w:r>
      <w:r w:rsidR="001B7640">
        <w:t>FED. R. CIV. P.</w:t>
      </w:r>
      <w:r>
        <w:t xml:space="preserve"> 53(h), Committee Note (2003).</w:t>
      </w:r>
    </w:p>
  </w:footnote>
  <w:footnote w:id="349">
    <w:p w14:paraId="42AAF1CE" w14:textId="77777777" w:rsidR="00CE2632" w:rsidRDefault="00CE2632" w:rsidP="00CE2632">
      <w:pPr>
        <w:pStyle w:val="FootnoteText"/>
        <w:jc w:val="both"/>
      </w:pPr>
      <w:r>
        <w:rPr>
          <w:rStyle w:val="FootnoteReference"/>
        </w:rPr>
        <w:footnoteRef/>
      </w:r>
      <w:r>
        <w:t xml:space="preserve"> Fed. R. Bk. P. 2016(a).</w:t>
      </w:r>
    </w:p>
  </w:footnote>
  <w:footnote w:id="350">
    <w:p w14:paraId="330B532A" w14:textId="6ADA92CF" w:rsidR="00CE2632" w:rsidRDefault="00CE2632" w:rsidP="00CE2632">
      <w:pPr>
        <w:pStyle w:val="FootnoteText"/>
        <w:jc w:val="both"/>
      </w:pPr>
      <w:r>
        <w:rPr>
          <w:rStyle w:val="FootnoteReference"/>
        </w:rPr>
        <w:footnoteRef/>
      </w:r>
      <w:r>
        <w:t xml:space="preserve"> </w:t>
      </w:r>
      <w:r w:rsidR="001B7640">
        <w:t>FED. R. CIV. P.</w:t>
      </w:r>
      <w:r>
        <w:t xml:space="preserve"> 53(g)(3).</w:t>
      </w:r>
    </w:p>
  </w:footnote>
  <w:footnote w:id="351">
    <w:p w14:paraId="5482383D"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603 U.S.204, 215 (2024).  Section 524(g) of the Bankruptcy Code expressly authorizes nonconsensual non-debtor releases in asbestos-related bankruptcy cases.</w:t>
      </w:r>
    </w:p>
  </w:footnote>
  <w:footnote w:id="352">
    <w:p w14:paraId="22B46F07"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xml:space="preserve">., 603 U.S. 204, 241 (2024), Kavanaugh, dissenting; </w:t>
      </w:r>
      <w:r w:rsidRPr="004B52AF">
        <w:rPr>
          <w:i/>
          <w:iCs/>
        </w:rPr>
        <w:t>see</w:t>
      </w:r>
      <w:r>
        <w:t xml:space="preserve"> </w:t>
      </w:r>
      <w:r w:rsidRPr="004B52AF">
        <w:rPr>
          <w:i/>
          <w:iCs/>
        </w:rPr>
        <w:t>also</w:t>
      </w:r>
      <w:r>
        <w:t xml:space="preserve"> Gibson, Elizabeth, Judicial Management of Mass Tort Bankruptcy Cases, p. 143, Federal Judicial Center (2005) (“The issue therefore that is squarely presented is whether the court has authority outside of </w:t>
      </w:r>
      <w:r>
        <w:rPr>
          <w:rFonts w:cs="Times New Roman"/>
        </w:rPr>
        <w:t xml:space="preserve">§524(g) to enjoin tort claimants from pursuing claims against entities other than the debtor.  The courts of appeals are divided over whether such authority exists. ...These courts have relied on section 524(e), which provides that the ‘discharge of a debt of the debtor does not affect the liability of any other entity on, or the property of any other entity for, such debt.’...  In conflict with these decisions are other circuits, who read section 524(g) as being merely declarative of the effect of the discharge itself and have found authority in section 105(a) for the bankruptcy court under ‘unusual circumstances’ to supplement the discharge by permanently enjoining collection efforts against non-debtors.  Other courts of appeals have rendered decisions that fall somewhere in the middle. Concluding that section 524(e) is not necessarily dispositive of the issue, they have left open the possibility that there might be circumstances under which a bankruptcy court could authorize the release of third parties with accompanying injunctive relief.”)  </w:t>
      </w:r>
    </w:p>
  </w:footnote>
  <w:footnote w:id="353">
    <w:p w14:paraId="7F142479"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603 U.S.  204, 241-42 (2024), Kavanaugh, dissenting.</w:t>
      </w:r>
    </w:p>
  </w:footnote>
  <w:footnote w:id="354">
    <w:p w14:paraId="42C83A5B" w14:textId="77777777" w:rsidR="00CE2632" w:rsidRDefault="00CE2632" w:rsidP="00CE2632">
      <w:pPr>
        <w:pStyle w:val="FootnoteText"/>
      </w:pPr>
      <w:r w:rsidRPr="005C501D">
        <w:rPr>
          <w:rStyle w:val="FootnoteReference"/>
          <w:i/>
          <w:iCs/>
        </w:rPr>
        <w:footnoteRef/>
      </w:r>
      <w:r w:rsidRPr="005C501D">
        <w:rPr>
          <w:i/>
          <w:iCs/>
        </w:rPr>
        <w:t xml:space="preserve"> See In Re Purdue Pharma L.P</w:t>
      </w:r>
      <w:r>
        <w:t>., 69 F.4</w:t>
      </w:r>
      <w:r w:rsidRPr="005C501D">
        <w:rPr>
          <w:vertAlign w:val="superscript"/>
        </w:rPr>
        <w:t>th</w:t>
      </w:r>
      <w:r>
        <w:t xml:space="preserve"> 45, 77-89 (2d Cir. 2023), reversed </w:t>
      </w:r>
      <w:r w:rsidRPr="00400A39">
        <w:rPr>
          <w:i/>
          <w:iCs/>
        </w:rPr>
        <w:t>Harrington v. Purdue Pharma, L.P</w:t>
      </w:r>
      <w:r>
        <w:t>., 603 U.S. 204 (2024).</w:t>
      </w:r>
    </w:p>
  </w:footnote>
  <w:footnote w:id="355">
    <w:p w14:paraId="16738D67"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xml:space="preserve">., 603 U.S. 204 (2024), </w:t>
      </w:r>
    </w:p>
  </w:footnote>
  <w:footnote w:id="356">
    <w:p w14:paraId="6A0461D0"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603 U.S. 204, 206-07 (2024).</w:t>
      </w:r>
    </w:p>
  </w:footnote>
  <w:footnote w:id="357">
    <w:p w14:paraId="452947A6" w14:textId="77777777" w:rsidR="00CE2632" w:rsidRDefault="00CE2632" w:rsidP="00CE2632">
      <w:pPr>
        <w:pStyle w:val="FootnoteText"/>
        <w:jc w:val="both"/>
      </w:pPr>
      <w:r>
        <w:rPr>
          <w:rStyle w:val="FootnoteReference"/>
        </w:rPr>
        <w:footnoteRef/>
      </w:r>
      <w:r>
        <w:t xml:space="preserve"> Of course, provisions governing the release of claims against nondebtors were commonly used in all types of bankruptcies, in addition to mass-tort bankruptcies, before </w:t>
      </w:r>
      <w:r w:rsidRPr="006E2A20">
        <w:rPr>
          <w:i/>
          <w:iCs/>
        </w:rPr>
        <w:t>Purdue Pharma</w:t>
      </w:r>
      <w:r>
        <w:t xml:space="preserve">. To the extent appropriate, the best practices addressing consensual-release provisions in mass-tort bankruptcies may be considered in other bankruptcies. </w:t>
      </w:r>
    </w:p>
  </w:footnote>
  <w:footnote w:id="358">
    <w:p w14:paraId="5BAE7209" w14:textId="77777777" w:rsidR="00CE2632" w:rsidRDefault="00CE2632" w:rsidP="00CE2632">
      <w:pPr>
        <w:pStyle w:val="FootnoteText"/>
        <w:jc w:val="both"/>
      </w:pPr>
      <w:r>
        <w:rPr>
          <w:rStyle w:val="FootnoteReference"/>
        </w:rPr>
        <w:footnoteRef/>
      </w:r>
      <w:r>
        <w:t xml:space="preserve"> </w:t>
      </w:r>
      <w:r w:rsidRPr="005C501D">
        <w:rPr>
          <w:i/>
          <w:iCs/>
        </w:rPr>
        <w:t>See In re Smallhold, Inc</w:t>
      </w:r>
      <w:r>
        <w:t>., Case No. 24-10267 (CTG), p.1 (D. Del. Sept. 25, 2024) (“Consensual releases, on the other hand, are commonplace.”)</w:t>
      </w:r>
    </w:p>
  </w:footnote>
  <w:footnote w:id="359">
    <w:p w14:paraId="4E59AF17"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603 U.S.  204, 206-07 (2024); compare with Justice Kavanaugh’s dissent, which challenged the Court’s position on consensual releases, noting that while a “consensual release is uncontroversial, even though it is not expressly authorized by the Bankruptcy Code,” the holding’s statutory construction would not permit consensual releases under any circumstances.</w:t>
      </w:r>
    </w:p>
  </w:footnote>
  <w:footnote w:id="360">
    <w:p w14:paraId="619EEDCE" w14:textId="77777777" w:rsidR="00CE2632" w:rsidRDefault="00CE2632" w:rsidP="00CE2632">
      <w:pPr>
        <w:pStyle w:val="FootnoteText"/>
        <w:jc w:val="both"/>
      </w:pPr>
      <w:r>
        <w:rPr>
          <w:rStyle w:val="FootnoteReference"/>
        </w:rPr>
        <w:footnoteRef/>
      </w:r>
      <w:r>
        <w:t xml:space="preserve"> </w:t>
      </w:r>
      <w:r w:rsidRPr="005C501D">
        <w:rPr>
          <w:i/>
          <w:iCs/>
        </w:rPr>
        <w:t>See</w:t>
      </w:r>
      <w:r>
        <w:t xml:space="preserve"> amicus brief </w:t>
      </w:r>
      <w:r w:rsidRPr="005C501D">
        <w:rPr>
          <w:i/>
          <w:iCs/>
        </w:rPr>
        <w:t>In re Roman Catholic Church</w:t>
      </w:r>
      <w:r>
        <w:t>, p. 16 (“Both the insurers and the non-debtor co-insureds will not consent to a resolution as to the allocation of insurance proceeds under these shared policies unless they are assured that they will not face future claims”).</w:t>
      </w:r>
    </w:p>
  </w:footnote>
  <w:footnote w:id="361">
    <w:p w14:paraId="2915D99E"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xml:space="preserve">., 603 U.S. 204, 206 (2024), citing </w:t>
      </w:r>
      <w:r w:rsidRPr="00537D42">
        <w:rPr>
          <w:i/>
          <w:iCs/>
        </w:rPr>
        <w:t>In Re Specialty Equip. Cos</w:t>
      </w:r>
      <w:r>
        <w:t>.,3 F.3.d 1043, 1047 (7</w:t>
      </w:r>
      <w:r w:rsidRPr="00537D42">
        <w:rPr>
          <w:vertAlign w:val="superscript"/>
        </w:rPr>
        <w:t>th</w:t>
      </w:r>
      <w:r>
        <w:t xml:space="preserve"> Cir. 1993) (The reorganization plan approved in </w:t>
      </w:r>
      <w:r w:rsidRPr="00C37E9F">
        <w:rPr>
          <w:i/>
          <w:iCs/>
        </w:rPr>
        <w:t>In re</w:t>
      </w:r>
      <w:r>
        <w:t xml:space="preserve"> </w:t>
      </w:r>
      <w:r w:rsidRPr="00C37E9F">
        <w:rPr>
          <w:i/>
          <w:iCs/>
        </w:rPr>
        <w:t>Specialty Eq</w:t>
      </w:r>
      <w:r>
        <w:rPr>
          <w:i/>
          <w:iCs/>
        </w:rPr>
        <w:t>u</w:t>
      </w:r>
      <w:r w:rsidRPr="00C37E9F">
        <w:rPr>
          <w:i/>
          <w:iCs/>
        </w:rPr>
        <w:t>ip. Cos</w:t>
      </w:r>
      <w:r>
        <w:t xml:space="preserve">. and cited in </w:t>
      </w:r>
      <w:r w:rsidRPr="00402E00">
        <w:rPr>
          <w:i/>
          <w:iCs/>
        </w:rPr>
        <w:t>Purdue Pharma</w:t>
      </w:r>
      <w:r>
        <w:t xml:space="preserve"> may provide a viable model for consensual release agreements.  The plan provided that “creditors voting in favor of the Plan are deemed to give releases to a number of third parties (including the Senior Lenders, Debtors’ management and underwriters...) from any liability arising out of a relationship with the Debtors.  Creditors who abstained or voted against the Plan are deemed not to have granted the Releases.”)  </w:t>
      </w:r>
    </w:p>
  </w:footnote>
  <w:footnote w:id="362">
    <w:p w14:paraId="464A5DD0" w14:textId="77777777" w:rsidR="00CE2632" w:rsidRDefault="00CE2632" w:rsidP="00CE2632">
      <w:pPr>
        <w:pStyle w:val="FootnoteText"/>
        <w:jc w:val="both"/>
      </w:pPr>
      <w:r>
        <w:rPr>
          <w:rStyle w:val="FootnoteReference"/>
        </w:rPr>
        <w:footnoteRef/>
      </w:r>
      <w:r>
        <w:t xml:space="preserve"> 3 F.3d 1043, 1047 (7</w:t>
      </w:r>
      <w:r w:rsidRPr="00B20DC7">
        <w:rPr>
          <w:vertAlign w:val="superscript"/>
        </w:rPr>
        <w:t>th</w:t>
      </w:r>
      <w:r>
        <w:t xml:space="preserve"> Cir. 1993)</w:t>
      </w:r>
    </w:p>
  </w:footnote>
  <w:footnote w:id="363">
    <w:p w14:paraId="2DFDBF1E" w14:textId="77777777" w:rsidR="00CE2632" w:rsidRDefault="00CE2632" w:rsidP="00CE2632">
      <w:pPr>
        <w:pStyle w:val="FootnoteText"/>
        <w:jc w:val="both"/>
      </w:pPr>
      <w:r>
        <w:rPr>
          <w:rStyle w:val="FootnoteReference"/>
        </w:rPr>
        <w:footnoteRef/>
      </w:r>
      <w:r>
        <w:t xml:space="preserve"> </w:t>
      </w:r>
      <w:r w:rsidRPr="00400A39">
        <w:rPr>
          <w:i/>
          <w:iCs/>
        </w:rPr>
        <w:t>Harrington v. Purdue Pharma, L.P</w:t>
      </w:r>
      <w:r>
        <w:t>., 603 U.S. 204, 206-07(2024).</w:t>
      </w:r>
    </w:p>
  </w:footnote>
  <w:footnote w:id="364">
    <w:p w14:paraId="7A99B178" w14:textId="77777777" w:rsidR="00CE2632" w:rsidRDefault="00CE2632" w:rsidP="00CE2632">
      <w:pPr>
        <w:pStyle w:val="FootnoteText"/>
        <w:jc w:val="both"/>
      </w:pPr>
      <w:r>
        <w:rPr>
          <w:rStyle w:val="FootnoteReference"/>
        </w:rPr>
        <w:footnoteRef/>
      </w:r>
      <w:r>
        <w:t xml:space="preserve"> </w:t>
      </w:r>
      <w:r w:rsidRPr="00AE1D5A">
        <w:rPr>
          <w:i/>
          <w:iCs/>
        </w:rPr>
        <w:t>See</w:t>
      </w:r>
      <w:r>
        <w:t xml:space="preserve"> 11 U.S.C. </w:t>
      </w:r>
      <w:r>
        <w:rPr>
          <w:rFonts w:cs="Times New Roman"/>
        </w:rPr>
        <w:t>§</w:t>
      </w:r>
      <w:r>
        <w:t xml:space="preserve"> 1125(a)(1) (defining “adequate information”) and 11 U.S.C. </w:t>
      </w:r>
      <w:r>
        <w:rPr>
          <w:rFonts w:cs="Times New Roman"/>
        </w:rPr>
        <w:t>§</w:t>
      </w:r>
      <w:r>
        <w:t xml:space="preserve"> 1126(b) (requiring “adequate information” as condition for accepting plan).</w:t>
      </w:r>
    </w:p>
  </w:footnote>
  <w:footnote w:id="365">
    <w:p w14:paraId="753A450C" w14:textId="77777777" w:rsidR="00CE2632" w:rsidRDefault="00CE2632" w:rsidP="00CE2632">
      <w:pPr>
        <w:pStyle w:val="FootnoteText"/>
        <w:jc w:val="both"/>
      </w:pPr>
      <w:r>
        <w:rPr>
          <w:rStyle w:val="FootnoteReference"/>
        </w:rPr>
        <w:footnoteRef/>
      </w:r>
      <w:r>
        <w:rPr>
          <w:i/>
          <w:iCs/>
        </w:rPr>
        <w:t xml:space="preserve"> See </w:t>
      </w:r>
      <w:r w:rsidRPr="00DB52B5">
        <w:rPr>
          <w:i/>
          <w:iCs/>
        </w:rPr>
        <w:t>In re Smallhold, Inc</w:t>
      </w:r>
      <w:r>
        <w:t xml:space="preserve">., Case No. 24-10267 (CTG), p. 2 (Bankr. D. Del. Sept. 25, 2024) (Some opinions have adopted a ‘contract’ model, concluding that a finding of consent required an affirmative indication that the creditor consented to the release.  To comply with this view, a creditor was typically required affirmatively to check a box on its ballot indicating that it intended to ‘opt in’ to the third-party release.  Others have taken the opposite view, concluding that so long as the creditor was clearly and conspicuously informed that the failure to ‘opt out’ would operate as a release of third-party claims, such a release would be effective against any creditor that did not check a box to ‘opt out’ of the third-party release.”; </w:t>
      </w:r>
      <w:r w:rsidRPr="005C501D">
        <w:rPr>
          <w:i/>
          <w:iCs/>
        </w:rPr>
        <w:t>see also</w:t>
      </w:r>
      <w:r>
        <w:t xml:space="preserve"> </w:t>
      </w:r>
      <w:r w:rsidRPr="005C501D">
        <w:t xml:space="preserve">U.S. Supreme Court Bankruptcy update </w:t>
      </w:r>
      <w:r w:rsidRPr="00445B60">
        <w:t>Jones Day</w:t>
      </w:r>
      <w:r>
        <w:t xml:space="preserve"> (August 1, 2024) (“It is generally accepted that a chapter 11 plan can release nondebtors from claims of other nondebtor third parties, if the release is consensual.  </w:t>
      </w:r>
      <w:r w:rsidRPr="005C501D">
        <w:rPr>
          <w:i/>
          <w:iCs/>
        </w:rPr>
        <w:t>See generally</w:t>
      </w:r>
      <w:r>
        <w:t xml:space="preserve"> Collier on Bankruptcy </w:t>
      </w:r>
      <w:r>
        <w:rPr>
          <w:rFonts w:cs="Times New Roman"/>
        </w:rPr>
        <w:t>¶</w:t>
      </w:r>
      <w:r>
        <w:t xml:space="preserve"> 524.05 (16</w:t>
      </w:r>
      <w:r w:rsidRPr="005C501D">
        <w:rPr>
          <w:vertAlign w:val="superscript"/>
        </w:rPr>
        <w:t>th</w:t>
      </w:r>
      <w:r>
        <w:t xml:space="preserve"> ed. 2024) (citing cases). What constitutes consent, however, is sometimes disputed.  Collier </w:t>
      </w:r>
      <w:r>
        <w:rPr>
          <w:rFonts w:cs="Times New Roman"/>
        </w:rPr>
        <w:t>¶</w:t>
      </w:r>
      <w:r>
        <w:t xml:space="preserve"> 1141.02[5](b) (discussing various opt-out and opt-in mechanisms that have been attempted as a manifestation of consent for impaired and unimpaired creditors). </w:t>
      </w:r>
    </w:p>
  </w:footnote>
  <w:footnote w:id="366">
    <w:p w14:paraId="5777D252" w14:textId="77777777" w:rsidR="00CE2632" w:rsidRDefault="00CE2632" w:rsidP="00CE2632">
      <w:pPr>
        <w:pStyle w:val="FootnoteText"/>
        <w:jc w:val="both"/>
      </w:pPr>
      <w:r>
        <w:rPr>
          <w:rStyle w:val="FootnoteReference"/>
        </w:rPr>
        <w:footnoteRef/>
      </w:r>
      <w:r>
        <w:t xml:space="preserve"> </w:t>
      </w:r>
      <w:r w:rsidRPr="00E94A4F">
        <w:rPr>
          <w:i/>
          <w:iCs/>
        </w:rPr>
        <w:t xml:space="preserve">See In re Spirit Airlines, Inc., </w:t>
      </w:r>
      <w:r>
        <w:t>Case No. 24-11988 (SHL), Doc. 115, p. 18 (Bankr S.D. N.Y. Nov. 26, 2024) (“An opt-in provides that no party (even a party voting in favor of the proposed plan) would be deemed to have granted a third-party release unless that party elected to submit a form that opted into a release, with that election being separate from that party’s vote with respect to the plan.).</w:t>
      </w:r>
    </w:p>
  </w:footnote>
  <w:footnote w:id="367">
    <w:p w14:paraId="2ACC8276" w14:textId="77777777" w:rsidR="00CE2632" w:rsidRDefault="00CE2632" w:rsidP="00CE2632">
      <w:pPr>
        <w:pStyle w:val="FootnoteText"/>
        <w:jc w:val="both"/>
      </w:pPr>
      <w:r>
        <w:rPr>
          <w:rStyle w:val="FootnoteReference"/>
        </w:rPr>
        <w:footnoteRef/>
      </w:r>
      <w:r>
        <w:t xml:space="preserve"> </w:t>
      </w:r>
      <w:r w:rsidRPr="00E94A4F">
        <w:rPr>
          <w:i/>
          <w:iCs/>
        </w:rPr>
        <w:t>See</w:t>
      </w:r>
      <w:r>
        <w:rPr>
          <w:i/>
          <w:iCs/>
        </w:rPr>
        <w:t xml:space="preserve"> In re Roman Catholic Diocese of Syracuse, 2024 Bankr. LEXIS 2807, at *8 </w:t>
      </w:r>
      <w:r w:rsidRPr="0051301C">
        <w:t>(</w:t>
      </w:r>
      <w:r w:rsidRPr="005C501D">
        <w:t>proposed ballots contained an optional form allowing claimants to opt out of third-party releases; if a claimant failed to check the opt-out box or return a ballot, the claimant was deemed to consent to the releases.”);</w:t>
      </w:r>
      <w:r>
        <w:rPr>
          <w:i/>
          <w:iCs/>
        </w:rPr>
        <w:t xml:space="preserve"> see also</w:t>
      </w:r>
      <w:r w:rsidRPr="00E94A4F">
        <w:rPr>
          <w:i/>
          <w:iCs/>
        </w:rPr>
        <w:t xml:space="preserve"> In re Spirit Airlines, Inc., </w:t>
      </w:r>
      <w:r>
        <w:t xml:space="preserve">Chapter 11 Case No. 24-11988 (SHL), Doc. 115, p. 18 (S.D. N.Y. Nov. 26, 2024) (An opt-out provides that a third-party release will be effective as to each party who is sent a ballot or opt-out form that clearly explains that the ballot or opt-out form must be returned and the opt-out box checked if the party elects not to approve the third-party release.”); </w:t>
      </w:r>
      <w:r w:rsidRPr="005C501D">
        <w:rPr>
          <w:i/>
          <w:iCs/>
        </w:rPr>
        <w:t>contra In re Tonawanda Coke Corp</w:t>
      </w:r>
      <w:r>
        <w:t>., 662 B.R. 220, 223 (Bankr. W.D.N.Y. 2024) (“mere ability to opt out of a release is insufficient to establish ... consent.”)</w:t>
      </w:r>
    </w:p>
  </w:footnote>
  <w:footnote w:id="368">
    <w:p w14:paraId="02B5A736" w14:textId="30FA39BA" w:rsidR="00CE2632" w:rsidRDefault="00CE2632" w:rsidP="00CE2632">
      <w:pPr>
        <w:pStyle w:val="FootnoteText"/>
        <w:jc w:val="both"/>
      </w:pPr>
      <w:r>
        <w:rPr>
          <w:rStyle w:val="FootnoteReference"/>
        </w:rPr>
        <w:footnoteRef/>
      </w:r>
      <w:r>
        <w:t xml:space="preserve"> </w:t>
      </w:r>
      <w:r>
        <w:rPr>
          <w:i/>
          <w:iCs/>
        </w:rPr>
        <w:t xml:space="preserve"> </w:t>
      </w:r>
      <w:r>
        <w:t xml:space="preserve"> </w:t>
      </w:r>
      <w:r w:rsidR="001B7640">
        <w:t>FED. R. CIV. P.</w:t>
      </w:r>
      <w:r>
        <w:t xml:space="preserve"> 23(c)(2), Committee Note 2018 (“The ultimate goal of giving notice is to enable class members to make informed decisions about whether to opt out, or, in instances where a proposed settlement is involved, to object or to make claims.”; </w:t>
      </w:r>
      <w:r w:rsidRPr="005C501D">
        <w:rPr>
          <w:i/>
          <w:iCs/>
        </w:rPr>
        <w:t>see also</w:t>
      </w:r>
      <w:r>
        <w:t xml:space="preserve"> </w:t>
      </w:r>
      <w:r w:rsidRPr="00E94A4F">
        <w:rPr>
          <w:i/>
          <w:iCs/>
        </w:rPr>
        <w:t xml:space="preserve">See In re Spirit Airlines, Inc., </w:t>
      </w:r>
      <w:r>
        <w:t>Case No. 24-11988 (SHL), Doc. 115, p. 19 (Bankr S.D.N.Y. Nov. 26, 2024) (“Decisions in this District generally permit use of an opt-out mechanism if the affected parties receive clear and prominent notice and explanation of the releases and are provided an opportunity to decline to grant them.”)</w:t>
      </w:r>
    </w:p>
  </w:footnote>
  <w:footnote w:id="369">
    <w:p w14:paraId="0DDC7AE4" w14:textId="3796D59C" w:rsidR="00CE2632" w:rsidRDefault="00CE2632" w:rsidP="00CE2632">
      <w:pPr>
        <w:pStyle w:val="FootnoteText"/>
        <w:jc w:val="both"/>
      </w:pPr>
      <w:r>
        <w:rPr>
          <w:rStyle w:val="FootnoteReference"/>
        </w:rPr>
        <w:footnoteRef/>
      </w:r>
      <w:r>
        <w:t xml:space="preserve"> In a mass-tort bankruptcy, tort-claimant creditors are asked whether they want to be excluded from an agreement releasing and forsaking the opportunity to sue a tortious nondebtor in return for the nondebtor’s contributions to a litigation trust established on their behalf.  In a analogous class action, class members are also asked whether they want to be excluded from an agreement releasing the tortious defendant from liability in return for a settlement award. The principles and due-process concerns regarding the “opt-out” mechanisms, which relinquish important rights, are similar in both types of cases.  </w:t>
      </w:r>
      <w:r w:rsidR="001B7640">
        <w:t>FED. R. CIV. P.</w:t>
      </w:r>
      <w:r>
        <w:t xml:space="preserve"> 23(c)(2)(B)(v) (“The notice must clearly and concisely state in plain, easily understood language: ...(v) that the court will exclude from the class any member who requests exclusion.”) </w:t>
      </w:r>
    </w:p>
  </w:footnote>
  <w:footnote w:id="370">
    <w:p w14:paraId="2F1B622B" w14:textId="77777777" w:rsidR="00B21B6D" w:rsidRPr="00C5770F" w:rsidRDefault="00B21B6D" w:rsidP="00B21B6D">
      <w:pPr>
        <w:pStyle w:val="FootnoteText"/>
        <w:jc w:val="both"/>
      </w:pPr>
      <w:r>
        <w:rPr>
          <w:rStyle w:val="FootnoteReference"/>
        </w:rPr>
        <w:footnoteRef/>
      </w:r>
      <w:r>
        <w:rPr>
          <w:i/>
          <w:iCs/>
        </w:rPr>
        <w:t xml:space="preserve"> </w:t>
      </w:r>
      <w:r w:rsidRPr="005C48B3">
        <w:rPr>
          <w:i/>
          <w:iCs/>
        </w:rPr>
        <w:t xml:space="preserve">See </w:t>
      </w:r>
      <w:r w:rsidRPr="005C48B3">
        <w:t>Best Practice MDL-§ 16(a)</w:t>
      </w:r>
      <w:r>
        <w:t>, above.</w:t>
      </w:r>
    </w:p>
  </w:footnote>
  <w:footnote w:id="371">
    <w:p w14:paraId="4891C89D" w14:textId="77777777" w:rsidR="00B21B6D" w:rsidRPr="003275FF" w:rsidRDefault="00B21B6D" w:rsidP="00B21B6D">
      <w:pPr>
        <w:pStyle w:val="FootnoteText"/>
        <w:jc w:val="both"/>
      </w:pPr>
      <w:r w:rsidRPr="003275FF">
        <w:rPr>
          <w:rStyle w:val="FootnoteReference"/>
        </w:rPr>
        <w:footnoteRef/>
      </w:r>
      <w:r w:rsidRPr="0051224E">
        <w:rPr>
          <w:vertAlign w:val="superscript"/>
        </w:rPr>
        <w:t xml:space="preserve"> </w:t>
      </w:r>
      <w:r w:rsidRPr="003275FF">
        <w:rPr>
          <w:i/>
          <w:iCs/>
        </w:rPr>
        <w:t>See</w:t>
      </w:r>
      <w:r w:rsidRPr="0051224E">
        <w:rPr>
          <w:i/>
        </w:rPr>
        <w:t xml:space="preserve"> </w:t>
      </w:r>
      <w:r w:rsidRPr="003275FF">
        <w:t>11 U.S.C. § 1125(a)(1) (defining “adequate information”) and 11 U.S.C. § 1126(b) (requiring “adequate information” as condition for accepting plan).</w:t>
      </w:r>
    </w:p>
  </w:footnote>
  <w:footnote w:id="372">
    <w:p w14:paraId="1BCA0355" w14:textId="77777777" w:rsidR="00B21B6D" w:rsidRDefault="00B21B6D" w:rsidP="00B21B6D">
      <w:pPr>
        <w:pStyle w:val="FootnoteText"/>
        <w:jc w:val="both"/>
      </w:pPr>
      <w:r>
        <w:rPr>
          <w:rStyle w:val="FootnoteReference"/>
        </w:rPr>
        <w:footnoteRef/>
      </w:r>
      <w:r>
        <w:t xml:space="preserve"> </w:t>
      </w:r>
      <w:r w:rsidRPr="008D0A22">
        <w:rPr>
          <w:i/>
          <w:iCs/>
        </w:rPr>
        <w:t>See</w:t>
      </w:r>
      <w:r>
        <w:t xml:space="preserve"> Appendix A, which contains more details about the anticipated tort-claimants’ recoveries in the summary-disclosure statement.</w:t>
      </w:r>
    </w:p>
  </w:footnote>
  <w:footnote w:id="373">
    <w:p w14:paraId="2FEE949E" w14:textId="77777777" w:rsidR="00B21B6D" w:rsidRPr="007B64B7" w:rsidRDefault="00B21B6D" w:rsidP="00B21B6D">
      <w:pPr>
        <w:pStyle w:val="FootnoteText"/>
        <w:jc w:val="both"/>
      </w:pPr>
      <w:r>
        <w:rPr>
          <w:rStyle w:val="FootnoteReference"/>
        </w:rPr>
        <w:footnoteRef/>
      </w:r>
      <w:r>
        <w:t xml:space="preserve"> </w:t>
      </w:r>
      <w:r w:rsidRPr="00912033">
        <w:rPr>
          <w:i/>
          <w:iCs/>
        </w:rPr>
        <w:t>See In re Spirit Airlines, Inc</w:t>
      </w:r>
      <w:r w:rsidRPr="0051224E">
        <w:rPr>
          <w:i/>
        </w:rPr>
        <w:t>.,</w:t>
      </w:r>
      <w:r w:rsidRPr="007B64B7">
        <w:t xml:space="preserve"> 668 B.R. 689, 703-716 (Bankr. S.D.N.Y 2025) (providing extended discussion of caselaw on court rulings regarding various scenarios involving opt-out provisions).</w:t>
      </w:r>
    </w:p>
  </w:footnote>
  <w:footnote w:id="374">
    <w:p w14:paraId="6EC848D6" w14:textId="3FD0CD96" w:rsidR="00B21B6D" w:rsidRPr="001A28F3" w:rsidRDefault="00B21B6D" w:rsidP="00B21B6D">
      <w:pPr>
        <w:pStyle w:val="FootnoteText"/>
        <w:jc w:val="both"/>
      </w:pPr>
      <w:r w:rsidRPr="009D0E15">
        <w:rPr>
          <w:rStyle w:val="FootnoteReference"/>
        </w:rPr>
        <w:footnoteRef/>
      </w:r>
      <w:r w:rsidRPr="0051224E">
        <w:rPr>
          <w:vertAlign w:val="superscript"/>
        </w:rPr>
        <w:t xml:space="preserve">  </w:t>
      </w:r>
      <w:r>
        <w:rPr>
          <w:i/>
          <w:iCs/>
        </w:rPr>
        <w:t xml:space="preserve">See </w:t>
      </w:r>
      <w:r w:rsidR="001B7640">
        <w:t>FED. R. CIV. P.</w:t>
      </w:r>
      <w:r w:rsidRPr="001A28F3">
        <w:t xml:space="preserve"> 23(c)(2), Committee Note 2018 (“The ultimate goal of giving notice is to enable class members to make informed decisions about whether to opt out, or, in instances where a proposed settlement is involved, to object or to make claims.”; </w:t>
      </w:r>
      <w:r w:rsidRPr="009654EB">
        <w:rPr>
          <w:i/>
          <w:iCs/>
        </w:rPr>
        <w:t>see also</w:t>
      </w:r>
      <w:r w:rsidRPr="0051224E">
        <w:rPr>
          <w:i/>
        </w:rPr>
        <w:t xml:space="preserve"> </w:t>
      </w:r>
      <w:r w:rsidRPr="009654EB">
        <w:rPr>
          <w:i/>
          <w:iCs/>
        </w:rPr>
        <w:t>In re Spirit Airlines, Inc.,</w:t>
      </w:r>
      <w:r w:rsidRPr="0051224E">
        <w:t xml:space="preserve"> </w:t>
      </w:r>
      <w:r w:rsidRPr="001A28F3">
        <w:t xml:space="preserve">Chapter 11 Case No. 24-11988 (SHL), Doc. 115, p. 19 (S.D. N.Y. Nov. 26, 2024) (“Decisions in this District generally permit use of an </w:t>
      </w:r>
      <w:r w:rsidRPr="007B64B7">
        <w:t>opt</w:t>
      </w:r>
      <w:r w:rsidRPr="001A28F3">
        <w:t xml:space="preserve">-out mechanism if the affected parties receive clear and prominent notice and explanation of the releases and are provided an opportunity to decline to grant them.”) </w:t>
      </w:r>
      <w:r>
        <w:t xml:space="preserve"> </w:t>
      </w:r>
    </w:p>
    <w:p w14:paraId="149F38F9" w14:textId="06E193A1" w:rsidR="00B21B6D" w:rsidRPr="001A28F3" w:rsidRDefault="00B21B6D" w:rsidP="00B21B6D">
      <w:pPr>
        <w:pStyle w:val="FootnoteText"/>
        <w:jc w:val="both"/>
      </w:pPr>
      <w:r>
        <w:tab/>
      </w:r>
      <w:r w:rsidRPr="001A28F3">
        <w:t xml:space="preserve">Jurisprudence governing notices to opt out from proposed class-action settlements under </w:t>
      </w:r>
      <w:r w:rsidR="001B7640">
        <w:t>FED. R. CIV. P.</w:t>
      </w:r>
      <w:r w:rsidRPr="001A28F3">
        <w:t xml:space="preserve"> 23(c)</w:t>
      </w:r>
      <w:r>
        <w:t>—</w:t>
      </w:r>
      <w:r w:rsidRPr="001A28F3">
        <w:t>including the means, format, and content of notices that meet constitutional due-process requirements</w:t>
      </w:r>
      <w:r>
        <w:t>—</w:t>
      </w:r>
      <w:r w:rsidRPr="001A28F3">
        <w:t xml:space="preserve"> provides </w:t>
      </w:r>
      <w:r>
        <w:t xml:space="preserve">useful </w:t>
      </w:r>
      <w:r w:rsidRPr="001A28F3">
        <w:t xml:space="preserve">guidance on effecting a valid consensual release in a mass-tort bankruptcy. </w:t>
      </w:r>
      <w:r>
        <w:t xml:space="preserve"> </w:t>
      </w:r>
      <w:r w:rsidRPr="001A28F3">
        <w:t xml:space="preserve">In a class action, class members are also asked whether they want to be excluded from an agreement releasing the tortious defendant from liability in return for a settlement award. </w:t>
      </w:r>
      <w:r>
        <w:t xml:space="preserve"> That’s so because t</w:t>
      </w:r>
      <w:r w:rsidRPr="001A28F3">
        <w:t xml:space="preserve">he principles and due-process concerns regarding the “opt-out” mechanisms, which relinquish important rights, are similar in both types of cases.  </w:t>
      </w:r>
      <w:r>
        <w:t xml:space="preserve">Those concerns are expressly addressed in </w:t>
      </w:r>
      <w:r w:rsidR="001B7640">
        <w:t>FED. R. CIV. P.</w:t>
      </w:r>
      <w:r w:rsidRPr="001A28F3">
        <w:t xml:space="preserve"> 23(c)(2)(B)(v) (“The notice must clearly and concisely state in plain, easily understood language: ...(v) that the court will exclude from the class any member who requests exclusion.”)</w:t>
      </w:r>
    </w:p>
  </w:footnote>
  <w:footnote w:id="375">
    <w:p w14:paraId="3B596C6B" w14:textId="77777777" w:rsidR="00B21B6D" w:rsidRPr="001A28F3" w:rsidRDefault="00B21B6D" w:rsidP="00B21B6D">
      <w:pPr>
        <w:pStyle w:val="FootnoteText"/>
        <w:jc w:val="both"/>
      </w:pPr>
      <w:r w:rsidRPr="0051224E">
        <w:rPr>
          <w:rStyle w:val="FootnoteReference"/>
        </w:rPr>
        <w:footnoteRef/>
      </w:r>
      <w:r w:rsidRPr="001A28F3">
        <w:t xml:space="preserve"> </w:t>
      </w:r>
      <w:r w:rsidRPr="00637F2F">
        <w:rPr>
          <w:i/>
          <w:iCs/>
        </w:rPr>
        <w:t>See In re Smallhold, Inc</w:t>
      </w:r>
      <w:r w:rsidRPr="0051224E">
        <w:rPr>
          <w:i/>
        </w:rPr>
        <w:t>.,</w:t>
      </w:r>
      <w:r w:rsidRPr="001A28F3">
        <w:t xml:space="preserve"> Case No. 24-10267, Doc. 181-1, Exhibit C, p. 21, Ballot for Accepting or Rejecting Chapter 11 Plan of Reorganization of Smallhold, Inc. (</w:t>
      </w:r>
      <w:r>
        <w:t>Bankr. D. Del.</w:t>
      </w:r>
      <w:r w:rsidRPr="001A28F3">
        <w:t xml:space="preserve"> June 3, 2024) (no opt-out box was contained in the ballot; acceptance was presumed if the plan were to be accepted) and Notice of deadlines to accept or reject the plan, submit opt-out forms, and object to confirmation of plan, Doc. 271, pp.-10 (Dec. 18, 2024); </w:t>
      </w:r>
      <w:r w:rsidRPr="005D5EE1">
        <w:rPr>
          <w:i/>
          <w:iCs/>
        </w:rPr>
        <w:t>see also In re Spirit Airlines, Inc.,</w:t>
      </w:r>
      <w:r w:rsidRPr="001A28F3">
        <w:t xml:space="preserve"> Case No. 24-11988, Doc. 115, p. 96, Master Ballot for Voting on the Joint Chapter 11 Plan of Reorganization (Nov. 26, 2024) (separate opt-out box included alongside boxes to approve or reject plan).  </w:t>
      </w:r>
    </w:p>
  </w:footnote>
  <w:footnote w:id="376">
    <w:p w14:paraId="70A1150B" w14:textId="77777777" w:rsidR="00B21B6D" w:rsidRPr="001A28F3" w:rsidRDefault="00B21B6D" w:rsidP="00B21B6D">
      <w:pPr>
        <w:pStyle w:val="FootnoteText"/>
        <w:jc w:val="both"/>
      </w:pPr>
      <w:r w:rsidRPr="0051224E">
        <w:rPr>
          <w:rStyle w:val="FootnoteReference"/>
        </w:rPr>
        <w:footnoteRef/>
      </w:r>
      <w:r w:rsidRPr="001A28F3">
        <w:t xml:space="preserve"> </w:t>
      </w:r>
      <w:r w:rsidRPr="00CD4AB4">
        <w:rPr>
          <w:i/>
          <w:iCs/>
        </w:rPr>
        <w:t>See, e.g., In re Smallhold, Inc.,</w:t>
      </w:r>
      <w:r w:rsidRPr="001A28F3">
        <w:t xml:space="preserve"> Case No. 24-10267 (CTG), ECF #288, Appendix A (D. Del. Sept. 25, 2024) (Including a </w:t>
      </w:r>
      <w:r>
        <w:t>t</w:t>
      </w:r>
      <w:r w:rsidRPr="001A28F3">
        <w:t>hird-</w:t>
      </w:r>
      <w:r>
        <w:t>p</w:t>
      </w:r>
      <w:r w:rsidRPr="001A28F3">
        <w:t>arty release in a confirmation notice containing 377 words in a single run-on sentence</w:t>
      </w:r>
      <w:r>
        <w:t xml:space="preserve">; </w:t>
      </w:r>
      <w:r w:rsidRPr="001A28F3">
        <w:t xml:space="preserve">is added to Appendix B as an example of what </w:t>
      </w:r>
      <w:r w:rsidRPr="0051224E">
        <w:t>not</w:t>
      </w:r>
      <w:r w:rsidRPr="001A28F3">
        <w:t xml:space="preserve"> to use as a model in any case going forward).</w:t>
      </w:r>
    </w:p>
  </w:footnote>
  <w:footnote w:id="377">
    <w:p w14:paraId="5E63401D" w14:textId="77777777" w:rsidR="00CE2632" w:rsidRDefault="00CE2632" w:rsidP="00CE2632">
      <w:pPr>
        <w:pStyle w:val="FootnoteText"/>
        <w:jc w:val="both"/>
      </w:pPr>
      <w:r>
        <w:rPr>
          <w:rStyle w:val="FootnoteReference"/>
        </w:rPr>
        <w:footnoteRef/>
      </w:r>
      <w:r>
        <w:t xml:space="preserve"> </w:t>
      </w:r>
      <w:r w:rsidRPr="005C501D">
        <w:rPr>
          <w:i/>
          <w:iCs/>
        </w:rPr>
        <w:t>See In re The Roman Catholic Diocese of Rockville Centre, New York</w:t>
      </w:r>
      <w:r>
        <w:t xml:space="preserve">, No., 20-12345 (MG) (Bankr. S.D.N.Y. Dec. 4, 2024), ECF No.3465; </w:t>
      </w:r>
      <w:r w:rsidRPr="005C501D">
        <w:rPr>
          <w:i/>
          <w:iCs/>
        </w:rPr>
        <w:t>see also Amicus brief Boys Scouts</w:t>
      </w:r>
      <w:r>
        <w:t xml:space="preserve"> (“[M]ore than 1,000 insurance policies have been sold back to issuing insurers and insurance rights conveyed to the settlement trust by BSA and thousands of nondebtors”).  </w:t>
      </w:r>
    </w:p>
  </w:footnote>
  <w:footnote w:id="378">
    <w:p w14:paraId="209F8DBA" w14:textId="77777777" w:rsidR="00CE2632" w:rsidRDefault="00CE2632" w:rsidP="00CE2632">
      <w:pPr>
        <w:pStyle w:val="FootnoteText"/>
        <w:jc w:val="both"/>
      </w:pPr>
      <w:r>
        <w:rPr>
          <w:rStyle w:val="FootnoteReference"/>
        </w:rPr>
        <w:footnoteRef/>
      </w:r>
      <w:r>
        <w:t xml:space="preserve"> 11 U.S.C. 1123(b)(4) – “a plan may provide for the sale of all or substantially all of the property of the estate, and the distribution of the proceeds of such sale among holders of claims or interests.”; </w:t>
      </w:r>
      <w:r w:rsidRPr="005C501D">
        <w:rPr>
          <w:i/>
          <w:iCs/>
        </w:rPr>
        <w:t>see Nat’l Union Fire Ins. v. BSA</w:t>
      </w:r>
      <w:r>
        <w:t>, 650 B.R. 87 (D. Del. March 28, 2023) (“Debtors routinely assign their insurance policy interests to a settlement trust”.);  s</w:t>
      </w:r>
      <w:r w:rsidRPr="005C501D">
        <w:rPr>
          <w:i/>
          <w:iCs/>
        </w:rPr>
        <w:t>ee also, e.g., In re Combustion Eng’g</w:t>
      </w:r>
      <w:r>
        <w:t xml:space="preserve">, 391 F. 3d 190, 218 n.27 (3d Cir. 2003) (‘The Bankruptcy Code expressly contemplates the inclusion of debtor insurance policies in the bankruptcy estate.’); </w:t>
      </w:r>
      <w:r w:rsidRPr="005C501D">
        <w:rPr>
          <w:i/>
          <w:iCs/>
        </w:rPr>
        <w:t>In re Kaiser Aluminum Corp</w:t>
      </w:r>
      <w:r>
        <w:t xml:space="preserve">., 343 B.R. 88, 95 (Bankr. D. Del. 2006); </w:t>
      </w:r>
      <w:r w:rsidRPr="005C501D">
        <w:rPr>
          <w:i/>
          <w:iCs/>
        </w:rPr>
        <w:t>In re Fed.-Mogul, Inc.,</w:t>
      </w:r>
      <w:r>
        <w:t xml:space="preserve"> 385 B.R. 560, 567 (Bankr. D. Del. 2008) (‘[Section] 1123(a)(5)(B) expressly contemplates that the debtor’s interests in the policies may be assigned to a trust or other entity.); </w:t>
      </w:r>
      <w:r w:rsidRPr="005C501D">
        <w:rPr>
          <w:i/>
          <w:iCs/>
        </w:rPr>
        <w:t>see also</w:t>
      </w:r>
      <w:r>
        <w:t xml:space="preserve"> </w:t>
      </w:r>
      <w:r w:rsidRPr="005C501D">
        <w:rPr>
          <w:i/>
          <w:iCs/>
        </w:rPr>
        <w:t xml:space="preserve">In re </w:t>
      </w:r>
      <w:r w:rsidRPr="008C0C76">
        <w:rPr>
          <w:i/>
          <w:iCs/>
        </w:rPr>
        <w:t>Congoleum</w:t>
      </w:r>
      <w:r w:rsidRPr="005C501D">
        <w:rPr>
          <w:i/>
          <w:iCs/>
        </w:rPr>
        <w:t xml:space="preserve"> Corp</w:t>
      </w:r>
      <w:r>
        <w:t>., 2008 Bank. LEXIS 2375, 2008 WL 4186899, at *2 (Bankr. D.N.J. Sept. 2, 2008 [A] plan of reorganization may assign insurance policies to a personal injury trust.’).”</w:t>
      </w:r>
    </w:p>
  </w:footnote>
  <w:footnote w:id="379">
    <w:p w14:paraId="240CCF58" w14:textId="77777777" w:rsidR="00CE2632" w:rsidRDefault="00CE2632" w:rsidP="00CE2632">
      <w:pPr>
        <w:pStyle w:val="FootnoteText"/>
        <w:jc w:val="both"/>
      </w:pPr>
      <w:r>
        <w:rPr>
          <w:rStyle w:val="FootnoteReference"/>
        </w:rPr>
        <w:footnoteRef/>
      </w:r>
      <w:r>
        <w:t xml:space="preserve"> </w:t>
      </w:r>
      <w:r w:rsidRPr="005C501D">
        <w:rPr>
          <w:i/>
          <w:iCs/>
        </w:rPr>
        <w:t>See</w:t>
      </w:r>
      <w:r>
        <w:t xml:space="preserve"> amicus brief </w:t>
      </w:r>
      <w:r w:rsidRPr="005C501D">
        <w:rPr>
          <w:i/>
          <w:iCs/>
        </w:rPr>
        <w:t>In Re Boy Scouts of Am.</w:t>
      </w:r>
      <w:r>
        <w:t xml:space="preserve"> (“more than 1,000 insurance policies have been sold back to issuing insurers and insurance rights conveyed to the settlement trust by BSA and thousands of nondebtors”).</w:t>
      </w:r>
    </w:p>
  </w:footnote>
  <w:footnote w:id="380">
    <w:p w14:paraId="1A7B3458" w14:textId="77777777" w:rsidR="00CE2632" w:rsidRDefault="00CE2632" w:rsidP="00CE2632">
      <w:pPr>
        <w:pStyle w:val="FootnoteText"/>
        <w:jc w:val="both"/>
      </w:pPr>
      <w:r>
        <w:rPr>
          <w:rStyle w:val="FootnoteReference"/>
        </w:rPr>
        <w:footnoteRef/>
      </w:r>
      <w:r>
        <w:t xml:space="preserve"> </w:t>
      </w:r>
      <w:r w:rsidRPr="00A06E57">
        <w:rPr>
          <w:i/>
          <w:iCs/>
        </w:rPr>
        <w:t xml:space="preserve">See </w:t>
      </w:r>
      <w:r w:rsidRPr="00EF5814">
        <w:rPr>
          <w:i/>
          <w:iCs/>
        </w:rPr>
        <w:t xml:space="preserve">NexPoint Advisors, L.P. v. Highland Capital Mgmt., L.P. (In re Highland Capital Mgmt., L.P.), </w:t>
      </w:r>
      <w:r>
        <w:t>48 F.4</w:t>
      </w:r>
      <w:r w:rsidRPr="00A06E57">
        <w:rPr>
          <w:vertAlign w:val="superscript"/>
        </w:rPr>
        <w:t>th</w:t>
      </w:r>
      <w:r>
        <w:t xml:space="preserve"> 419 (5</w:t>
      </w:r>
      <w:r w:rsidRPr="00A06E57">
        <w:rPr>
          <w:vertAlign w:val="superscript"/>
        </w:rPr>
        <w:t>th</w:t>
      </w:r>
      <w:r>
        <w:t xml:space="preserve"> Cir. 2022) (“The injunction requires that, before any lawsuit is filed, the plaintiff must seek the bankruptcy court’s approval of the claim as ‘colorable’ – </w:t>
      </w:r>
      <w:r w:rsidRPr="00991D83">
        <w:rPr>
          <w:i/>
          <w:iCs/>
        </w:rPr>
        <w:t>i.e</w:t>
      </w:r>
      <w:r>
        <w:t xml:space="preserve">., the bankruptcy court acts as gatekeeper.”).  The gatekeeper injunction was thereafter continued by the bankruptcy court after analyzing whether, after that decision, the gatekeeper provision continued to be permissible.  </w:t>
      </w:r>
      <w:r w:rsidRPr="005106A5">
        <w:rPr>
          <w:i/>
          <w:iCs/>
        </w:rPr>
        <w:t>See In re Highland Capital Mgmt., L.P.,</w:t>
      </w:r>
      <w:r>
        <w:t xml:space="preserve"> 2023 Bankr. LEXIS 527, *15-18, 2023 WL 2250145 (Bankr. N.D. Tex. Feb. 27, 2023) (“the Gatekeeper Provision was somewhat of a tool to deal with any future, potential lawsuits that might be deemed to run afoul of the Injunctions.  It did not effectuate a release or an absolution of any liability.  Rather, as the ‘gatekeeper’ nickname implies, it simply provided that a plaintiff would have to ask the gatekeeper before bringing a claim.  No one would be allowed to bring a claim against a defined universe of ‘Protected Parties’ without first asking the bankruptcy court.  The bankruptcy court would have to determine, after notice, that such claim or cause of action represents a colorable claim against a Protected Party and specifically authorize such plaintiff to bring such claim against any such Protected Party.  If the bankruptcy court were to deny permission, then, presumably, such denial could be appealed.”)</w:t>
      </w:r>
    </w:p>
    <w:p w14:paraId="0393D17D" w14:textId="77777777" w:rsidR="00CE2632" w:rsidRDefault="00CE2632" w:rsidP="00CE2632">
      <w:pPr>
        <w:pStyle w:val="FootnoteText"/>
        <w:jc w:val="both"/>
      </w:pPr>
    </w:p>
    <w:p w14:paraId="58D860C1" w14:textId="77777777" w:rsidR="00CE2632" w:rsidRDefault="00CE2632" w:rsidP="00CE2632">
      <w:pPr>
        <w:pStyle w:val="FootnoteText"/>
        <w:jc w:val="both"/>
      </w:pPr>
      <w:r w:rsidRPr="0096771A">
        <w:rPr>
          <w:i/>
          <w:iCs/>
        </w:rPr>
        <w:t>See also In re Highland Cap. Mgmt., L.P.,</w:t>
      </w:r>
      <w:r>
        <w:t xml:space="preserve"> 2023 Bankr. LEXIS 2104, 2023 WL 5523949 (Bankr. S.D. Tex. Aug. 25, 2023) (bankruptcy court determined, further to its earlier gatekeeper injunction and gatekeeper role, that the debtor company was acting under the influence of an officer in continuing to pursue vexatious litigation to achieve his desired result in the bankruptcy case—so, in addition to failing to show that its proposed claims had foundation and merit, the debtor could not show that it was pursuing the proposed claims for a proper purpose and, thus, could not meet the requirements under the gatekeeper injunction’s colorability requirement); </w:t>
      </w:r>
    </w:p>
    <w:p w14:paraId="0004BCBC" w14:textId="77777777" w:rsidR="00CE2632" w:rsidRDefault="00CE2632" w:rsidP="00CE2632">
      <w:pPr>
        <w:pStyle w:val="FootnoteText"/>
        <w:jc w:val="both"/>
      </w:pPr>
    </w:p>
    <w:p w14:paraId="50C92BFF" w14:textId="77777777" w:rsidR="00CE2632" w:rsidRDefault="00CE2632" w:rsidP="00CE2632">
      <w:pPr>
        <w:pStyle w:val="FootnoteText"/>
        <w:jc w:val="both"/>
      </w:pPr>
      <w:r w:rsidRPr="00B713FB">
        <w:rPr>
          <w:i/>
          <w:iCs/>
        </w:rPr>
        <w:t>See also In re BearingPoint, Inc</w:t>
      </w:r>
      <w:r w:rsidRPr="00B713FB">
        <w:t>.</w:t>
      </w:r>
      <w:r>
        <w:t xml:space="preserve"> 453 B.R. 486, 495 (Bankr. S.D.N.Y. 2011) (not a mass tort case) (implementing a gatekeeper injunction: “I’ve canvassed the allegations the Trustee wishes to pursue, and I'm satisfied that they're colorable and the action isn’t a strike suit.  Thus, as the Trustee properly observes, the concerns as to which I wanted to act in a gatekeeper role have been satisfied.”); </w:t>
      </w:r>
      <w:r w:rsidRPr="00941A23">
        <w:rPr>
          <w:i/>
          <w:iCs/>
        </w:rPr>
        <w:t>In re BlockFi Inc. et al.,</w:t>
      </w:r>
      <w:r w:rsidRPr="00941A23">
        <w:t xml:space="preserve"> Case No. 22-19361 -MBK, Docket No. 1660, ¶ 18</w:t>
      </w:r>
      <w:r>
        <w:t xml:space="preserve"> (not a mass tort case) (</w:t>
      </w:r>
      <w:r w:rsidRPr="00A7548C">
        <w:t>confirm</w:t>
      </w:r>
      <w:r>
        <w:t>ing</w:t>
      </w:r>
      <w:r w:rsidRPr="00A7548C">
        <w:t xml:space="preserve"> a plan with similar </w:t>
      </w:r>
      <w:r>
        <w:t>gatekeeping</w:t>
      </w:r>
      <w:r w:rsidRPr="00A7548C">
        <w:t xml:space="preserve"> provisions in </w:t>
      </w:r>
      <w:r>
        <w:t>that</w:t>
      </w:r>
      <w:r w:rsidRPr="00A7548C">
        <w:t xml:space="preserve"> case</w:t>
      </w:r>
      <w:r>
        <w:t>)</w:t>
      </w:r>
      <w:r w:rsidRPr="00941A23">
        <w:t>.</w:t>
      </w:r>
    </w:p>
    <w:p w14:paraId="50A9BC37" w14:textId="77777777" w:rsidR="00CE2632" w:rsidRDefault="00CE2632" w:rsidP="00CE2632">
      <w:pPr>
        <w:pStyle w:val="FootnoteText"/>
        <w:jc w:val="both"/>
      </w:pPr>
    </w:p>
    <w:p w14:paraId="1AA664DF" w14:textId="77777777" w:rsidR="00CE2632" w:rsidRDefault="00CE2632" w:rsidP="00CE2632">
      <w:pPr>
        <w:pStyle w:val="FootnoteText"/>
        <w:jc w:val="both"/>
      </w:pPr>
      <w:r>
        <w:t xml:space="preserve">Several commentators have observed, after </w:t>
      </w:r>
      <w:r w:rsidRPr="00640E0A">
        <w:rPr>
          <w:i/>
          <w:iCs/>
        </w:rPr>
        <w:t>Highland Capital</w:t>
      </w:r>
      <w:r>
        <w:t xml:space="preserve">, that if nonconsensual third-party releases turned out to be invalidated by the Supreme Court in </w:t>
      </w:r>
      <w:r w:rsidRPr="00640E0A">
        <w:rPr>
          <w:i/>
          <w:iCs/>
        </w:rPr>
        <w:t>Purdue</w:t>
      </w:r>
      <w:r>
        <w:t xml:space="preserve"> (as they later were), some of the protections offered by third-party releases might be obtained by Gatekeeper Orders.  </w:t>
      </w:r>
      <w:r w:rsidRPr="00640E0A">
        <w:rPr>
          <w:i/>
          <w:iCs/>
        </w:rPr>
        <w:t>See</w:t>
      </w:r>
      <w:r>
        <w:t xml:space="preserve"> Dickinson &amp; Ray, Gatekeeping Provisions May Provide an Alternative to Nonconsensual Releases, ABI JOURNAL, Vol.  XLII, No. 12 (DEC. 2023); Hollander, Rubens and Litterine-Kaufman, Highland Ch. 11 Remand Reinforces Gatekeeping Availability (Mar. 20, 2023), http://media.orrick.com/Media%20Library/public/files/insights/2023/law360-highland-ch-11-remand-reinforces-gatekeeping-availability.pdf (Mar. 10, 2023) (last visited Aug. 30, 2025); Chovanes &amp; Herz, Are Gate-Keeper Provisions in Chapter 11 Confirmation Orders a Stopgap for Nonconsensual Third-Party Releases?, http://insolvency.foxrothschild.com/2024/01/are-gate-keeper-provisions-in-chapter-11-confirmation-orders-a-stopgap-for-nonconsensual-third-party-releases/ (Jan 2, 2024) (last visited Aug. 30, 2025).</w:t>
      </w:r>
    </w:p>
  </w:footnote>
  <w:footnote w:id="381">
    <w:p w14:paraId="7C787F26" w14:textId="77777777" w:rsidR="00CE2632" w:rsidRDefault="00CE2632" w:rsidP="00CE2632">
      <w:pPr>
        <w:pStyle w:val="FootnoteText"/>
        <w:jc w:val="both"/>
      </w:pPr>
      <w:r>
        <w:rPr>
          <w:rStyle w:val="FootnoteReference"/>
        </w:rPr>
        <w:footnoteRef/>
      </w:r>
      <w:r>
        <w:t xml:space="preserve"> Gibson, Elizabeth, Judicial Management of Mass Tort Bankruptcy Cases, p. 22, Federal Judicial Center (2005).</w:t>
      </w:r>
    </w:p>
  </w:footnote>
  <w:footnote w:id="382">
    <w:p w14:paraId="35B2C13A" w14:textId="77777777" w:rsidR="00CE2632" w:rsidRDefault="00CE2632" w:rsidP="00CE2632">
      <w:pPr>
        <w:pStyle w:val="FootnoteText"/>
        <w:jc w:val="both"/>
      </w:pPr>
      <w:r>
        <w:rPr>
          <w:rStyle w:val="FootnoteReference"/>
        </w:rPr>
        <w:footnoteRef/>
      </w:r>
      <w:r>
        <w:t xml:space="preserve"> 28 U.S.C. </w:t>
      </w:r>
      <w:r>
        <w:rPr>
          <w:rFonts w:cs="Times New Roman"/>
        </w:rPr>
        <w:t>§</w:t>
      </w:r>
      <w:r>
        <w:t>157(b)(5); 28</w:t>
      </w:r>
      <w:r w:rsidRPr="000A3421">
        <w:t xml:space="preserve"> </w:t>
      </w:r>
      <w:r>
        <w:t xml:space="preserve">U.S.C. </w:t>
      </w:r>
      <w:r>
        <w:rPr>
          <w:rFonts w:cs="Times New Roman"/>
        </w:rPr>
        <w:t>§1334(b)</w:t>
      </w:r>
      <w:r>
        <w:t>.</w:t>
      </w:r>
    </w:p>
  </w:footnote>
  <w:footnote w:id="383">
    <w:p w14:paraId="25ABA19E" w14:textId="77777777" w:rsidR="00CE2632" w:rsidRDefault="00CE2632" w:rsidP="00CE2632">
      <w:pPr>
        <w:pStyle w:val="FootnoteText"/>
        <w:jc w:val="both"/>
      </w:pPr>
      <w:r>
        <w:rPr>
          <w:rStyle w:val="FootnoteReference"/>
        </w:rPr>
        <w:footnoteRef/>
      </w:r>
      <w:r>
        <w:t xml:space="preserve"> </w:t>
      </w:r>
      <w:r w:rsidRPr="00B82223">
        <w:rPr>
          <w:i/>
          <w:iCs/>
        </w:rPr>
        <w:t>See In Re: Imerys Talc Amer., Inc</w:t>
      </w:r>
      <w:r>
        <w:t>., No. 19-mc-103 (MN) (Dist. Del. July 19, 2019) (“The Court need not consider all factors and no one factor is determinative, but instead ‘should apply these factors flexibly, for their relevance and importance will vary with the particular circumstances of each case.’”)</w:t>
      </w:r>
    </w:p>
  </w:footnote>
  <w:footnote w:id="384">
    <w:p w14:paraId="4463F22E" w14:textId="77777777" w:rsidR="00CE2632" w:rsidRDefault="00CE2632" w:rsidP="00CE2632">
      <w:pPr>
        <w:pStyle w:val="FootnoteText"/>
        <w:jc w:val="both"/>
      </w:pPr>
      <w:r>
        <w:rPr>
          <w:rStyle w:val="FootnoteReference"/>
        </w:rPr>
        <w:footnoteRef/>
      </w:r>
      <w:r>
        <w:t xml:space="preserve"> Courts are able to dispose of mass-tort MDLs involving tens of thousands of individual tort actions, primarily because the actions are dismissed or settle. </w:t>
      </w:r>
      <w:r w:rsidRPr="005C501D">
        <w:rPr>
          <w:i/>
          <w:iCs/>
        </w:rPr>
        <w:t>See</w:t>
      </w:r>
      <w:r>
        <w:t xml:space="preserve"> Gibson, Elizabeth, Judicial Management of Mass Tort Bankruptcy Cases, p. 24, Federal Judicial Center (2005) (“In cases in which the courts approved the transfer of mass tort litigation against closely affiliated nondebtor parties, those claims ended up being resolved as part of the overall resolution of the tort claims in the debtor’s plan of reorganization.” citing </w:t>
      </w:r>
      <w:r w:rsidRPr="005C501D">
        <w:rPr>
          <w:i/>
          <w:iCs/>
        </w:rPr>
        <w:t>In re Dow Corning Corp</w:t>
      </w:r>
      <w:r>
        <w:t xml:space="preserve">., 255 B.R. 445, 475 (Bankr. E.D. Mich. 2000); </w:t>
      </w:r>
      <w:r w:rsidRPr="005C501D">
        <w:rPr>
          <w:i/>
          <w:iCs/>
        </w:rPr>
        <w:t>but see</w:t>
      </w:r>
      <w:r>
        <w:t xml:space="preserve"> </w:t>
      </w:r>
      <w:r w:rsidRPr="005C501D">
        <w:rPr>
          <w:i/>
          <w:iCs/>
        </w:rPr>
        <w:t>In re Imery’s Talc Amer. Inc.</w:t>
      </w:r>
      <w:r w:rsidRPr="00885859">
        <w:t xml:space="preserve"> </w:t>
      </w:r>
      <w:r>
        <w:t xml:space="preserve">No. 19-mc-103 (MN) (Dist. Del. July 19, 2019) (court abstained from transferring 2,400 state cases, concluding that such an undertaking would be difficult).  </w:t>
      </w:r>
    </w:p>
  </w:footnote>
  <w:footnote w:id="385">
    <w:p w14:paraId="494EA900" w14:textId="77777777" w:rsidR="00CE2632" w:rsidRDefault="00CE2632" w:rsidP="00CE2632">
      <w:pPr>
        <w:pStyle w:val="FootnoteText"/>
        <w:jc w:val="both"/>
      </w:pPr>
      <w:r>
        <w:rPr>
          <w:rStyle w:val="FootnoteReference"/>
        </w:rPr>
        <w:footnoteRef/>
      </w:r>
      <w:r>
        <w:t xml:space="preserve"> </w:t>
      </w:r>
      <w:r w:rsidRPr="005C501D">
        <w:rPr>
          <w:i/>
          <w:iCs/>
        </w:rPr>
        <w:t>See, e.g., Am. Imaging Servs., Inc. v. Eagle-Picher Indus., Inc.</w:t>
      </w:r>
      <w:r>
        <w:t xml:space="preserve">, 963 F.2d 855 (6th Cir. 1992); </w:t>
      </w:r>
      <w:r w:rsidRPr="005C501D">
        <w:rPr>
          <w:i/>
          <w:iCs/>
        </w:rPr>
        <w:t xml:space="preserve">A.H. Robins v. Piccinin, </w:t>
      </w:r>
      <w:r>
        <w:t xml:space="preserve">788 F.2d 994 (4th Cir. 1986); </w:t>
      </w:r>
      <w:r w:rsidRPr="005C501D">
        <w:rPr>
          <w:i/>
          <w:iCs/>
        </w:rPr>
        <w:t>Johns-Manville Corp. v. Asbestos Litig. Group</w:t>
      </w:r>
      <w:r>
        <w:rPr>
          <w:i/>
          <w:iCs/>
        </w:rPr>
        <w:t>,</w:t>
      </w:r>
      <w:r>
        <w:t xml:space="preserve"> 40 B.R. 219 (S.D.N.Y. 1984); </w:t>
      </w:r>
      <w:r w:rsidRPr="005C501D">
        <w:rPr>
          <w:i/>
          <w:iCs/>
        </w:rPr>
        <w:t>W.R. Grace &amp; Co. v. Chakarian</w:t>
      </w:r>
      <w:r w:rsidRPr="008E0BA7">
        <w:t>, 42 Bankr. Ct. Dec. 270 (Bankr. D. Del. 2004)</w:t>
      </w:r>
      <w:r>
        <w:t>.</w:t>
      </w:r>
    </w:p>
  </w:footnote>
  <w:footnote w:id="386">
    <w:p w14:paraId="69B63A1E" w14:textId="77777777" w:rsidR="00CE2632" w:rsidRDefault="00CE2632" w:rsidP="00CE2632">
      <w:pPr>
        <w:pStyle w:val="FootnoteText"/>
        <w:jc w:val="both"/>
      </w:pPr>
      <w:r>
        <w:rPr>
          <w:rStyle w:val="FootnoteReference"/>
        </w:rPr>
        <w:footnoteRef/>
      </w:r>
      <w:r>
        <w:t xml:space="preserve"> Gibson, Elizabeth, Judicial Management of Mass Tort Bankruptcy Cases, p. 25, Federal Judicial Center (2005).</w:t>
      </w:r>
    </w:p>
  </w:footnote>
  <w:footnote w:id="387">
    <w:p w14:paraId="0EE077EE" w14:textId="77777777" w:rsidR="00CE2632" w:rsidRDefault="00CE2632" w:rsidP="00CE2632">
      <w:pPr>
        <w:pStyle w:val="FootnoteText"/>
        <w:jc w:val="both"/>
      </w:pPr>
      <w:r>
        <w:rPr>
          <w:rStyle w:val="FootnoteReference"/>
        </w:rPr>
        <w:footnoteRef/>
      </w:r>
      <w:r>
        <w:t xml:space="preserve"> Gibson, Elizabeth, Judicial Management of Mass Tort Bankruptcy Cases, p. 27, Federal Judicial Center (2005).</w:t>
      </w:r>
    </w:p>
  </w:footnote>
  <w:footnote w:id="388">
    <w:p w14:paraId="54658F92" w14:textId="77777777" w:rsidR="00CE2632" w:rsidRPr="006D4327" w:rsidRDefault="00CE2632" w:rsidP="00CE2632">
      <w:pPr>
        <w:pStyle w:val="FootnoteText"/>
      </w:pPr>
      <w:r>
        <w:rPr>
          <w:rStyle w:val="FootnoteReference"/>
        </w:rPr>
        <w:footnoteRef/>
      </w:r>
      <w:r>
        <w:t xml:space="preserve"> </w:t>
      </w:r>
      <w:r w:rsidRPr="00EC6C89">
        <w:rPr>
          <w:i/>
          <w:iCs/>
        </w:rPr>
        <w:t>See, e.g., In re Parlement Techs., Inc.,</w:t>
      </w:r>
      <w:r w:rsidRPr="007618DC">
        <w:t xml:space="preserve"> 661 B.R. 722 (Bankr. D. Del. 2024)</w:t>
      </w:r>
      <w:r>
        <w:t xml:space="preserve">; (determining that such an injunction was authorized, but concluding, in that case, that an insufficient showing for obtaining it had been made); </w:t>
      </w:r>
      <w:r w:rsidRPr="00EC6C89">
        <w:rPr>
          <w:i/>
          <w:iCs/>
        </w:rPr>
        <w:t>Purdue Pharma L.P. v. Commonwealth of Mass.</w:t>
      </w:r>
      <w:r>
        <w:t xml:space="preserve"> (</w:t>
      </w:r>
      <w:r w:rsidRPr="00C7017D">
        <w:rPr>
          <w:i/>
          <w:iCs/>
        </w:rPr>
        <w:t>In re</w:t>
      </w:r>
      <w:r w:rsidRPr="00946C69">
        <w:t xml:space="preserve"> </w:t>
      </w:r>
      <w:r w:rsidRPr="00946C69">
        <w:rPr>
          <w:i/>
          <w:iCs/>
        </w:rPr>
        <w:t>Purdue Pharma L.P</w:t>
      </w:r>
      <w:r w:rsidRPr="00EC6C89">
        <w:t>), 666 B.R. 461</w:t>
      </w:r>
      <w:r>
        <w:t xml:space="preserve"> </w:t>
      </w:r>
      <w:r w:rsidRPr="00EC6C89">
        <w:t>(Bankr. S.D.N.Y. 2024)</w:t>
      </w:r>
      <w:r>
        <w:t xml:space="preserve"> (on remand after nonconsensual third-party releases had been invalidated in the </w:t>
      </w:r>
      <w:r w:rsidRPr="00EC6C89">
        <w:rPr>
          <w:i/>
          <w:iCs/>
        </w:rPr>
        <w:t>Purdue</w:t>
      </w:r>
      <w:r>
        <w:t xml:space="preserve"> Supreme Court decision, issuing what became the 40</w:t>
      </w:r>
      <w:r w:rsidRPr="005D7328">
        <w:rPr>
          <w:vertAlign w:val="superscript"/>
        </w:rPr>
        <w:t>th</w:t>
      </w:r>
      <w:r>
        <w:t xml:space="preserve"> preliminary injunction blocking litigation against nondebtors during the pendency of the case, to assist mediators working to achieve agreement on consensual releases).</w:t>
      </w:r>
    </w:p>
    <w:p w14:paraId="5741B106" w14:textId="77777777" w:rsidR="00CE2632" w:rsidRDefault="00CE2632" w:rsidP="00CE2632">
      <w:pPr>
        <w:pStyle w:val="FootnoteText"/>
      </w:pPr>
    </w:p>
    <w:p w14:paraId="0E311CFB" w14:textId="77777777" w:rsidR="00CE2632" w:rsidRDefault="00CE2632" w:rsidP="00CE2632">
      <w:pPr>
        <w:pStyle w:val="FootnoteText"/>
      </w:pPr>
      <w:r>
        <w:t xml:space="preserve">In </w:t>
      </w:r>
      <w:r w:rsidRPr="00EC6C89">
        <w:rPr>
          <w:i/>
          <w:iCs/>
        </w:rPr>
        <w:t>Parlement Technologies,</w:t>
      </w:r>
      <w:r>
        <w:t xml:space="preserve"> which was likewise decided after </w:t>
      </w:r>
      <w:r w:rsidRPr="00EC6C89">
        <w:rPr>
          <w:i/>
          <w:iCs/>
        </w:rPr>
        <w:t>Purdue</w:t>
      </w:r>
      <w:r>
        <w:t xml:space="preserve">, the court, after analyzing the earlier decisions (including, of course, </w:t>
      </w:r>
      <w:r w:rsidRPr="00EC6C89">
        <w:rPr>
          <w:i/>
          <w:iCs/>
        </w:rPr>
        <w:t>Purdue</w:t>
      </w:r>
      <w:r>
        <w:t>), concluded, in the context of a stay of litigation against nondebtors during the pendency of a chapter 11 case (and the requirement, for a preliminary injunction, of “success on the merits”), explained:</w:t>
      </w:r>
    </w:p>
    <w:p w14:paraId="0D318EF2" w14:textId="77777777" w:rsidR="00CE2632" w:rsidRDefault="00CE2632" w:rsidP="00CE2632">
      <w:pPr>
        <w:pStyle w:val="fnquote"/>
        <w:spacing w:after="0"/>
        <w:ind w:left="720" w:right="720"/>
      </w:pPr>
      <w:r>
        <w:t xml:space="preserve">“[S]uccess on the merits” cannot be based on the likelihood that the non-debtor would be entitled to a non-consensual third-party release through the plan process.  But a preliminary injunction may still be granted if the Court concludes that (a) providing the debtor's management a breathing spell from the distraction of other litigation is necessary to permit the debtor to focus on the reorganization of its business or </w:t>
      </w:r>
      <w:r w:rsidRPr="00665ABF">
        <w:t>(b) because it believes the parties may ultimately be able to negotiate a plan that includes a consensual resolution of the claims against the non-debtors.</w:t>
      </w:r>
      <w:r>
        <w:t xml:space="preserve">  </w:t>
      </w:r>
    </w:p>
    <w:p w14:paraId="41459183" w14:textId="77777777" w:rsidR="00CE2632" w:rsidRDefault="00CE2632" w:rsidP="00CE2632">
      <w:pPr>
        <w:pStyle w:val="fnquote"/>
        <w:spacing w:after="0"/>
        <w:ind w:left="720" w:right="720"/>
      </w:pPr>
    </w:p>
    <w:p w14:paraId="24EC1FE4" w14:textId="77777777" w:rsidR="00CE2632" w:rsidRDefault="00CE2632" w:rsidP="00CE2632">
      <w:pPr>
        <w:pStyle w:val="FootnoteText"/>
      </w:pPr>
      <w:r>
        <w:t>661 B.R. at 724.</w:t>
      </w:r>
    </w:p>
  </w:footnote>
  <w:footnote w:id="389">
    <w:p w14:paraId="2053C2E9" w14:textId="77777777" w:rsidR="00F62B2D" w:rsidRPr="007B45C1" w:rsidRDefault="00F62B2D" w:rsidP="00F62B2D">
      <w:pPr>
        <w:pStyle w:val="FootnoteText"/>
        <w:jc w:val="both"/>
        <w:rPr>
          <w:rFonts w:cs="Times New Roman"/>
        </w:rPr>
      </w:pPr>
      <w:r w:rsidRPr="007B45C1">
        <w:rPr>
          <w:rStyle w:val="FootnoteReference"/>
          <w:rFonts w:cs="Times New Roman"/>
        </w:rPr>
        <w:footnoteRef/>
      </w:r>
      <w:r w:rsidRPr="007B45C1">
        <w:rPr>
          <w:rFonts w:cs="Times New Roman"/>
        </w:rPr>
        <w:t xml:space="preserve"> </w:t>
      </w:r>
      <w:r w:rsidRPr="007B45C1">
        <w:rPr>
          <w:rFonts w:cs="Times New Roman"/>
          <w:smallCaps/>
        </w:rPr>
        <w:t>Manual for Complex Litigation</w:t>
      </w:r>
      <w:r w:rsidRPr="007B45C1">
        <w:rPr>
          <w:rFonts w:cs="Times New Roman"/>
        </w:rPr>
        <w:t xml:space="preserve"> (MCL), § 22.5, Fourth Edition, Federal Judicial Center (2004). The criteria for Chapter 11 bankruptcy relief eligibility is often hotly disputed.  In </w:t>
      </w:r>
      <w:r w:rsidRPr="007B45C1">
        <w:rPr>
          <w:rFonts w:cs="Times New Roman"/>
          <w:i/>
          <w:iCs/>
        </w:rPr>
        <w:t>LTL Management</w:t>
      </w:r>
      <w:r w:rsidRPr="007B45C1">
        <w:rPr>
          <w:rFonts w:cs="Times New Roman"/>
        </w:rPr>
        <w:t xml:space="preserve">, the dispute centered on the “immediacy” of the financial distress. </w:t>
      </w:r>
      <w:r>
        <w:rPr>
          <w:rFonts w:cs="Times New Roman"/>
        </w:rPr>
        <w:t>“</w:t>
      </w:r>
      <w:r w:rsidRPr="007B45C1">
        <w:rPr>
          <w:rFonts w:cs="Times New Roman"/>
        </w:rPr>
        <w:t>In any event,</w:t>
      </w:r>
      <w:r>
        <w:rPr>
          <w:rFonts w:cs="Times New Roman"/>
        </w:rPr>
        <w:t xml:space="preserve"> </w:t>
      </w:r>
      <w:r w:rsidRPr="007B45C1">
        <w:rPr>
          <w:rFonts w:cs="Times New Roman"/>
        </w:rPr>
        <w:t>[the] takeaway here is that when financial distress is present, bankruptcy may be an appropriate forum for a debtor to address mass tort liability.” In re LTL Management. LLC, 64 F.4</w:t>
      </w:r>
      <w:r w:rsidRPr="007B45C1">
        <w:rPr>
          <w:rFonts w:cs="Times New Roman"/>
          <w:vertAlign w:val="superscript"/>
        </w:rPr>
        <w:t xml:space="preserve">th   </w:t>
      </w:r>
      <w:r w:rsidRPr="007B45C1">
        <w:rPr>
          <w:rFonts w:cs="Times New Roman"/>
        </w:rPr>
        <w:t>84, 104 (3</w:t>
      </w:r>
      <w:r w:rsidRPr="007B45C1">
        <w:rPr>
          <w:rFonts w:cs="Times New Roman"/>
          <w:vertAlign w:val="superscript"/>
        </w:rPr>
        <w:t>rd</w:t>
      </w:r>
      <w:r w:rsidRPr="007B45C1">
        <w:rPr>
          <w:rFonts w:cs="Times New Roman"/>
        </w:rPr>
        <w:t xml:space="preserve"> Cir. 2023).</w:t>
      </w:r>
    </w:p>
  </w:footnote>
  <w:footnote w:id="390">
    <w:p w14:paraId="486934E4" w14:textId="77777777" w:rsidR="00F62B2D" w:rsidRPr="007B45C1" w:rsidRDefault="00F62B2D" w:rsidP="00F62B2D">
      <w:pPr>
        <w:pStyle w:val="FootnoteText"/>
        <w:jc w:val="both"/>
        <w:rPr>
          <w:rFonts w:cs="Times New Roman"/>
        </w:rPr>
      </w:pPr>
      <w:r w:rsidRPr="007B45C1">
        <w:rPr>
          <w:rStyle w:val="FootnoteReference"/>
          <w:rFonts w:cs="Times New Roman"/>
        </w:rPr>
        <w:footnoteRef/>
      </w:r>
      <w:r w:rsidRPr="007B45C1">
        <w:rPr>
          <w:rFonts w:cs="Times New Roman"/>
        </w:rPr>
        <w:t xml:space="preserve"> </w:t>
      </w:r>
      <w:r>
        <w:rPr>
          <w:rFonts w:cs="Times New Roman"/>
        </w:rPr>
        <w:t xml:space="preserve">Under 11 U.S.C. § 1126(c), creditors </w:t>
      </w:r>
      <w:r w:rsidRPr="00C97C00">
        <w:rPr>
          <w:rFonts w:cs="Times New Roman"/>
        </w:rPr>
        <w:t xml:space="preserve">holding “at least two-thirds in amount and more than one-half in number of the allowed claims” are necessary to accept a proposed reorganization plan. </w:t>
      </w:r>
      <w:r>
        <w:rPr>
          <w:rFonts w:cs="Times New Roman"/>
        </w:rPr>
        <w:t xml:space="preserve">But the Bankruptcy Code includes an additional provision governing asbestos mass-tort bankruptcies.  </w:t>
      </w:r>
      <w:r w:rsidRPr="00C97C00">
        <w:rPr>
          <w:rFonts w:cs="Times New Roman"/>
        </w:rPr>
        <w:t xml:space="preserve">11 U.S.C. § 524(g)(2)(B)(iv)(bb) applies </w:t>
      </w:r>
      <w:r>
        <w:rPr>
          <w:rFonts w:cs="Times New Roman"/>
        </w:rPr>
        <w:t xml:space="preserve">specifically </w:t>
      </w:r>
      <w:r w:rsidRPr="00C97C00">
        <w:rPr>
          <w:rFonts w:cs="Times New Roman"/>
        </w:rPr>
        <w:t>to asbestos mass-tort bankruptcies, and requires that “</w:t>
      </w:r>
      <w:r w:rsidRPr="00C97C00">
        <w:rPr>
          <w:rFonts w:cs="Times New Roman"/>
          <w:color w:val="333333"/>
          <w:shd w:val="clear" w:color="auto" w:fill="FFFFFF"/>
        </w:rPr>
        <w:t>at least 75 percent of those voting” favor the plan</w:t>
      </w:r>
      <w:r w:rsidRPr="00C97C00">
        <w:rPr>
          <w:rFonts w:cs="Times New Roman"/>
        </w:rPr>
        <w:t xml:space="preserve">.  </w:t>
      </w:r>
      <w:r>
        <w:rPr>
          <w:rFonts w:cs="Times New Roman"/>
        </w:rPr>
        <w:t>In an asbestos mass-tort bankruptcy, the plan proponent will likely have to show that at least two-thirds in amount and 75% in number of the asbestos claimants accept the plan.</w:t>
      </w:r>
    </w:p>
  </w:footnote>
  <w:footnote w:id="391">
    <w:p w14:paraId="071EFD47" w14:textId="77777777" w:rsidR="00F62B2D" w:rsidRPr="007B45C1" w:rsidRDefault="00F62B2D" w:rsidP="00F62B2D">
      <w:pPr>
        <w:pStyle w:val="FootnoteText"/>
        <w:jc w:val="both"/>
        <w:rPr>
          <w:rFonts w:cs="Times New Roman"/>
        </w:rPr>
      </w:pPr>
      <w:r w:rsidRPr="007B45C1">
        <w:rPr>
          <w:rStyle w:val="FootnoteReference"/>
          <w:rFonts w:cs="Times New Roman"/>
        </w:rPr>
        <w:footnoteRef/>
      </w:r>
      <w:r w:rsidRPr="007B45C1">
        <w:rPr>
          <w:rFonts w:cs="Times New Roman"/>
        </w:rPr>
        <w:t xml:space="preserve"> MCL, § 22.56</w:t>
      </w:r>
      <w:r>
        <w:rPr>
          <w:rFonts w:cs="Times New Roman"/>
        </w:rPr>
        <w:t xml:space="preserve">; </w:t>
      </w:r>
      <w:r w:rsidRPr="00363BB2">
        <w:rPr>
          <w:rFonts w:cs="Times New Roman"/>
          <w:i/>
          <w:iCs/>
        </w:rPr>
        <w:t>see also</w:t>
      </w:r>
      <w:r w:rsidRPr="00C74A8B">
        <w:rPr>
          <w:rFonts w:cs="Times New Roman"/>
          <w:i/>
          <w:iCs/>
        </w:rPr>
        <w:t xml:space="preserve"> </w:t>
      </w:r>
      <w:r w:rsidRPr="00ED73B7">
        <w:rPr>
          <w:rFonts w:cs="Times New Roman"/>
          <w:i/>
          <w:iCs/>
        </w:rPr>
        <w:t>In Re LTL Management, LLC</w:t>
      </w:r>
      <w:r>
        <w:rPr>
          <w:rFonts w:cs="Times New Roman"/>
        </w:rPr>
        <w:t xml:space="preserve">, Case No. 23-12825 (MBK), TCC Motion for Order Authorizing Estimation for Voting Purposes, PACER Document 1020-1, p. 15 (July 12, 2023) (citing cases applying section 502(g) to estimate claims “when such is necessary to ensure that such claims are accorded the proper weight for voting purposes”). </w:t>
      </w:r>
    </w:p>
  </w:footnote>
  <w:footnote w:id="392">
    <w:p w14:paraId="4AE7363A" w14:textId="77777777" w:rsidR="00F62B2D" w:rsidRPr="0009781C" w:rsidRDefault="00F62B2D" w:rsidP="00F62B2D">
      <w:pPr>
        <w:pStyle w:val="FootnoteText"/>
        <w:jc w:val="both"/>
        <w:rPr>
          <w:rFonts w:cs="Times New Roman"/>
        </w:rPr>
      </w:pPr>
      <w:r>
        <w:rPr>
          <w:rStyle w:val="FootnoteReference"/>
        </w:rPr>
        <w:footnoteRef/>
      </w:r>
      <w:r>
        <w:t xml:space="preserve"> </w:t>
      </w:r>
      <w:r>
        <w:rPr>
          <w:rFonts w:cs="Times New Roman"/>
        </w:rPr>
        <w:t>Tort claimants have argued that many of these mass-tort bankruptcies are illegitimate because they really are intended to do an end-around the tort system.</w:t>
      </w:r>
    </w:p>
  </w:footnote>
  <w:footnote w:id="393">
    <w:p w14:paraId="23183A12" w14:textId="77777777" w:rsidR="00F62B2D" w:rsidRPr="00962C4C" w:rsidRDefault="00F62B2D" w:rsidP="00F62B2D">
      <w:pPr>
        <w:pStyle w:val="FootnoteText"/>
        <w:jc w:val="both"/>
        <w:rPr>
          <w:rFonts w:cs="Times New Roman"/>
        </w:rPr>
      </w:pPr>
      <w:r>
        <w:rPr>
          <w:rStyle w:val="FootnoteReference"/>
        </w:rPr>
        <w:footnoteRef/>
      </w:r>
      <w:r>
        <w:t xml:space="preserve"> </w:t>
      </w:r>
      <w:r>
        <w:rPr>
          <w:rFonts w:cs="Times New Roman"/>
        </w:rPr>
        <w:t>In many mass-tort bankruptcy cases the parties have estimated the tort claims themselves by negotiation, and they have proposed a reorganization plan and trust-distribution procedures that were structured around the agreed-upon value of the tort claims.  Many of those cases involved asbestos bankruptcies and § 524(g), which applies explicitly to asbestos actions.</w:t>
      </w:r>
    </w:p>
  </w:footnote>
  <w:footnote w:id="394">
    <w:p w14:paraId="737886B3" w14:textId="77777777" w:rsidR="00F62B2D" w:rsidRDefault="00F62B2D" w:rsidP="00F62B2D">
      <w:pPr>
        <w:pStyle w:val="FootnoteText"/>
        <w:jc w:val="both"/>
      </w:pPr>
      <w:r>
        <w:rPr>
          <w:rStyle w:val="FootnoteReference"/>
        </w:rPr>
        <w:footnoteRef/>
      </w:r>
      <w:r>
        <w:t xml:space="preserve"> </w:t>
      </w:r>
      <w:bookmarkStart w:id="39" w:name="_Hlk144556674"/>
      <w:r w:rsidRPr="00DE435E">
        <w:rPr>
          <w:rFonts w:cs="Times New Roman"/>
          <w:i/>
          <w:iCs/>
        </w:rPr>
        <w:t>See</w:t>
      </w:r>
      <w:r>
        <w:t xml:space="preserve"> </w:t>
      </w:r>
      <w:r w:rsidRPr="007B45C1">
        <w:rPr>
          <w:rFonts w:cs="Times New Roman"/>
        </w:rPr>
        <w:t>MCL, § 22.56.</w:t>
      </w:r>
      <w:bookmarkEnd w:id="39"/>
    </w:p>
  </w:footnote>
  <w:footnote w:id="395">
    <w:p w14:paraId="71D469C6" w14:textId="77777777" w:rsidR="00F62B2D" w:rsidRDefault="00F62B2D" w:rsidP="00F62B2D">
      <w:pPr>
        <w:pStyle w:val="FootnoteText"/>
        <w:jc w:val="both"/>
      </w:pPr>
      <w:r>
        <w:rPr>
          <w:rStyle w:val="FootnoteReference"/>
        </w:rPr>
        <w:footnoteRef/>
      </w:r>
      <w:r>
        <w:t xml:space="preserve"> </w:t>
      </w:r>
      <w:r w:rsidRPr="00F82BDC">
        <w:rPr>
          <w:rFonts w:cs="Times New Roman"/>
        </w:rPr>
        <w:t>11 U.S.C. § 502(c).</w:t>
      </w:r>
    </w:p>
  </w:footnote>
  <w:footnote w:id="396">
    <w:p w14:paraId="7CEACEBB" w14:textId="77777777" w:rsidR="00F62B2D" w:rsidRDefault="00F62B2D" w:rsidP="00F62B2D">
      <w:pPr>
        <w:pStyle w:val="FootnoteText"/>
        <w:jc w:val="both"/>
      </w:pPr>
      <w:r>
        <w:rPr>
          <w:rStyle w:val="FootnoteReference"/>
        </w:rPr>
        <w:footnoteRef/>
      </w:r>
      <w:r>
        <w:t xml:space="preserve"> S</w:t>
      </w:r>
      <w:r w:rsidRPr="00AA6101">
        <w:rPr>
          <w:rFonts w:cs="Times New Roman"/>
          <w:i/>
          <w:iCs/>
        </w:rPr>
        <w:t xml:space="preserve">ee </w:t>
      </w:r>
      <w:r w:rsidRPr="00ED73B7">
        <w:rPr>
          <w:rFonts w:cs="Times New Roman"/>
          <w:i/>
          <w:iCs/>
        </w:rPr>
        <w:t>In Re LTL Management, LLC</w:t>
      </w:r>
      <w:r>
        <w:rPr>
          <w:rFonts w:cs="Times New Roman"/>
        </w:rPr>
        <w:t>, Case No. 21-30589 (MBK), Debtor’s Reply in Support of the Need for Estimation, PACER Document 2769, p. 16 (July 22, 2022).</w:t>
      </w:r>
    </w:p>
  </w:footnote>
  <w:footnote w:id="397">
    <w:p w14:paraId="5709DB3C" w14:textId="77777777" w:rsidR="00F62B2D" w:rsidRPr="008F76D6" w:rsidRDefault="00F62B2D" w:rsidP="00F62B2D">
      <w:pPr>
        <w:pStyle w:val="FootnoteText"/>
        <w:jc w:val="both"/>
        <w:rPr>
          <w:rFonts w:cs="Times New Roman"/>
        </w:rPr>
      </w:pPr>
      <w:r>
        <w:rPr>
          <w:rStyle w:val="FootnoteReference"/>
        </w:rPr>
        <w:footnoteRef/>
      </w:r>
      <w:r>
        <w:t xml:space="preserve"> </w:t>
      </w:r>
      <w:r w:rsidRPr="008F76D6">
        <w:rPr>
          <w:rFonts w:cs="Times New Roman"/>
          <w:i/>
          <w:iCs/>
        </w:rPr>
        <w:t>See</w:t>
      </w:r>
      <w:r>
        <w:rPr>
          <w:rFonts w:cs="Times New Roman"/>
        </w:rPr>
        <w:t xml:space="preserve"> 11 U.S.C. §502(c).</w:t>
      </w:r>
    </w:p>
  </w:footnote>
  <w:footnote w:id="398">
    <w:p w14:paraId="302C7E04" w14:textId="77777777" w:rsidR="00F62B2D" w:rsidRDefault="00F62B2D" w:rsidP="00F62B2D">
      <w:pPr>
        <w:pStyle w:val="FootnoteText"/>
        <w:jc w:val="both"/>
      </w:pPr>
      <w:r>
        <w:rPr>
          <w:rStyle w:val="FootnoteReference"/>
        </w:rPr>
        <w:footnoteRef/>
      </w:r>
      <w:r>
        <w:t xml:space="preserve"> </w:t>
      </w:r>
      <w:r w:rsidRPr="00AA6101">
        <w:rPr>
          <w:rFonts w:cs="Times New Roman"/>
          <w:i/>
          <w:iCs/>
        </w:rPr>
        <w:t xml:space="preserve">See </w:t>
      </w:r>
      <w:r w:rsidRPr="00ED73B7">
        <w:rPr>
          <w:rFonts w:cs="Times New Roman"/>
          <w:i/>
          <w:iCs/>
        </w:rPr>
        <w:t>In Re LTL Management, LLC</w:t>
      </w:r>
      <w:r>
        <w:rPr>
          <w:rFonts w:cs="Times New Roman"/>
        </w:rPr>
        <w:t>, Case No. 21-30589 (MBK), TCC Statement in Opposition to Debtor’s Request for Estimation, PACER Document 2722, p. 6 (July 22, 2022) (“Simply put, if the claimants disagree with the results of the estimation proceeding, they can veto the proposed plan based on that estimation, leaving the case unresolved and putting parties right back to where they started.).</w:t>
      </w:r>
    </w:p>
  </w:footnote>
  <w:footnote w:id="399">
    <w:p w14:paraId="35EB248A" w14:textId="77777777" w:rsidR="00F62B2D" w:rsidRDefault="00F62B2D" w:rsidP="00F62B2D">
      <w:pPr>
        <w:pStyle w:val="FootnoteText"/>
        <w:jc w:val="both"/>
      </w:pPr>
      <w:r>
        <w:rPr>
          <w:rStyle w:val="FootnoteReference"/>
        </w:rPr>
        <w:footnoteRef/>
      </w:r>
      <w:r>
        <w:t xml:space="preserve"> </w:t>
      </w:r>
      <w:r w:rsidRPr="00ED73B7">
        <w:rPr>
          <w:rFonts w:cs="Times New Roman"/>
          <w:i/>
          <w:iCs/>
        </w:rPr>
        <w:t>In Re LTL Management, LLC</w:t>
      </w:r>
      <w:r>
        <w:rPr>
          <w:rFonts w:cs="Times New Roman"/>
        </w:rPr>
        <w:t>, Case No. 23-12825 (MBK), TCC Motion for Order Authorizing Estimation for Voting Purposes, PACER Document 1020-1, p. 18 (July 12, 2023</w:t>
      </w:r>
      <w:r w:rsidRPr="009314B2">
        <w:rPr>
          <w:rFonts w:cs="Times New Roman"/>
        </w:rPr>
        <w:t>) (“In other words, a party solicited to vote on [the reorganization] plan may only be said to have adequate information if such party knows what its recovery will be under the plan.”)</w:t>
      </w:r>
      <w:r>
        <w:rPr>
          <w:rFonts w:cs="Times New Roman"/>
        </w:rPr>
        <w:t>.</w:t>
      </w:r>
    </w:p>
  </w:footnote>
  <w:footnote w:id="400">
    <w:p w14:paraId="18E587BE" w14:textId="77777777" w:rsidR="00F62B2D" w:rsidRPr="00EF687A" w:rsidRDefault="00F62B2D" w:rsidP="00F62B2D">
      <w:pPr>
        <w:pStyle w:val="FootnoteText"/>
        <w:jc w:val="both"/>
        <w:rPr>
          <w:rFonts w:cs="Times New Roman"/>
        </w:rPr>
      </w:pPr>
      <w:r>
        <w:rPr>
          <w:rStyle w:val="FootnoteReference"/>
        </w:rPr>
        <w:footnoteRef/>
      </w:r>
      <w:r>
        <w:t xml:space="preserve"> </w:t>
      </w:r>
      <w:r w:rsidRPr="00ED73B7">
        <w:rPr>
          <w:rFonts w:cs="Times New Roman"/>
          <w:i/>
          <w:iCs/>
        </w:rPr>
        <w:t>In Re LTL Management, LLC</w:t>
      </w:r>
      <w:r>
        <w:rPr>
          <w:rFonts w:cs="Times New Roman"/>
        </w:rPr>
        <w:t>, Case No. 21-30589 (MBK), Debtor’s Statement on Proposed Next Steps, PACER Document 2473, p.2 (June 10, 2022) (“Estimation here will force the parties to develop support for their positions pursuant to a schedule set by and under the supervision of this Court, which will advance this case and mediation by requiring the parties to objectively consider their positions.”)</w:t>
      </w:r>
    </w:p>
  </w:footnote>
  <w:footnote w:id="401">
    <w:p w14:paraId="68DBA5DC" w14:textId="77777777" w:rsidR="00F62B2D" w:rsidRDefault="00F62B2D" w:rsidP="00F62B2D">
      <w:pPr>
        <w:pStyle w:val="FootnoteText"/>
        <w:jc w:val="both"/>
      </w:pPr>
      <w:r>
        <w:rPr>
          <w:rStyle w:val="FootnoteReference"/>
        </w:rPr>
        <w:footnoteRef/>
      </w:r>
      <w:r>
        <w:t xml:space="preserve"> </w:t>
      </w:r>
      <w:r w:rsidRPr="00AA6101">
        <w:rPr>
          <w:rFonts w:cs="Times New Roman"/>
          <w:i/>
          <w:iCs/>
        </w:rPr>
        <w:t xml:space="preserve">See </w:t>
      </w:r>
      <w:r w:rsidRPr="00ED73B7">
        <w:rPr>
          <w:rFonts w:cs="Times New Roman"/>
          <w:i/>
          <w:iCs/>
        </w:rPr>
        <w:t>In Re LTL Management, LLC</w:t>
      </w:r>
      <w:r>
        <w:rPr>
          <w:rFonts w:cs="Times New Roman"/>
        </w:rPr>
        <w:t xml:space="preserve">, Case No. 23-12825 (MBK), TCC Motion for Order Authorizing Estimation for Voting Purposes, PACER Document 1020-1, p. 24 (July 12, 2023); </w:t>
      </w:r>
      <w:r w:rsidRPr="00AA6101">
        <w:rPr>
          <w:rFonts w:cs="Times New Roman"/>
          <w:i/>
          <w:iCs/>
        </w:rPr>
        <w:t>see also</w:t>
      </w:r>
      <w:r>
        <w:rPr>
          <w:rFonts w:cs="Times New Roman"/>
        </w:rPr>
        <w:t xml:space="preserve"> </w:t>
      </w:r>
      <w:r w:rsidRPr="00ED73B7">
        <w:rPr>
          <w:rFonts w:cs="Times New Roman"/>
          <w:i/>
          <w:iCs/>
        </w:rPr>
        <w:t>In Re LTL Management, LLC</w:t>
      </w:r>
      <w:r>
        <w:rPr>
          <w:rFonts w:cs="Times New Roman"/>
        </w:rPr>
        <w:t>, Case No. 21-30589 (MBK), Debtor’s Statement on Proposed Next Steps, PACER Document 2473, p. 9 (June 10, 2022) (“Regardless of the precise procedures or estimation methodology adopted, however, the goal would be to determine the validity and amount of claims on an aggregate basis under applicable law (here, state law).).</w:t>
      </w:r>
    </w:p>
  </w:footnote>
  <w:footnote w:id="402">
    <w:p w14:paraId="32AA6654" w14:textId="77777777" w:rsidR="00E813A4" w:rsidRDefault="00E813A4" w:rsidP="00E813A4">
      <w:pPr>
        <w:pStyle w:val="FootnoteText"/>
        <w:jc w:val="both"/>
      </w:pPr>
      <w:r>
        <w:rPr>
          <w:rStyle w:val="FootnoteReference"/>
        </w:rPr>
        <w:footnoteRef/>
      </w:r>
      <w:r>
        <w:t xml:space="preserve"> </w:t>
      </w:r>
      <w:bookmarkStart w:id="42" w:name="_Hlk144663386"/>
      <w:r w:rsidRPr="00ED73B7">
        <w:rPr>
          <w:rFonts w:cs="Times New Roman"/>
          <w:i/>
          <w:iCs/>
        </w:rPr>
        <w:t>In Re LTL Management, LLC</w:t>
      </w:r>
      <w:r>
        <w:rPr>
          <w:rFonts w:cs="Times New Roman"/>
        </w:rPr>
        <w:t>, Case No. 23-12825 (MBK), TCC Motion for Order Authorizing Estimation for Voting Purposes, PACER Document 1020-1, p. 21 (July 12, 2023).</w:t>
      </w:r>
      <w:bookmarkEnd w:id="42"/>
    </w:p>
  </w:footnote>
  <w:footnote w:id="403">
    <w:p w14:paraId="4E24737D" w14:textId="77777777" w:rsidR="00E813A4" w:rsidRPr="007B45C1" w:rsidRDefault="00E813A4" w:rsidP="00E813A4">
      <w:pPr>
        <w:pStyle w:val="FootnoteText"/>
        <w:jc w:val="both"/>
        <w:rPr>
          <w:rFonts w:cs="Times New Roman"/>
        </w:rPr>
      </w:pPr>
      <w:r w:rsidRPr="007B45C1">
        <w:rPr>
          <w:rStyle w:val="FootnoteReference"/>
          <w:rFonts w:cs="Times New Roman"/>
        </w:rPr>
        <w:footnoteRef/>
      </w:r>
      <w:r w:rsidRPr="007B45C1">
        <w:rPr>
          <w:rFonts w:cs="Times New Roman"/>
        </w:rPr>
        <w:t xml:space="preserve"> MCL, § 22.56.</w:t>
      </w:r>
    </w:p>
  </w:footnote>
  <w:footnote w:id="404">
    <w:p w14:paraId="676F6D7B" w14:textId="77777777" w:rsidR="00E813A4" w:rsidRDefault="00E813A4" w:rsidP="00E813A4">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102 (2005).</w:t>
      </w:r>
    </w:p>
  </w:footnote>
  <w:footnote w:id="405">
    <w:p w14:paraId="38C7F72D" w14:textId="77777777" w:rsidR="00E813A4" w:rsidRPr="00D013F2" w:rsidRDefault="00E813A4" w:rsidP="00E813A4">
      <w:pPr>
        <w:pStyle w:val="FootnoteText"/>
        <w:jc w:val="both"/>
        <w:rPr>
          <w:rFonts w:cs="Times New Roman"/>
        </w:rPr>
      </w:pPr>
      <w:r>
        <w:rPr>
          <w:rStyle w:val="FootnoteReference"/>
        </w:rPr>
        <w:footnoteRef/>
      </w:r>
      <w:r>
        <w:t xml:space="preserve"> </w:t>
      </w:r>
      <w:r w:rsidRPr="00B93B5B">
        <w:rPr>
          <w:rFonts w:cs="Times New Roman"/>
          <w:i/>
          <w:iCs/>
        </w:rPr>
        <w:t>See</w:t>
      </w:r>
      <w:r w:rsidRPr="00B93B5B">
        <w:rPr>
          <w:rFonts w:cs="Times New Roman"/>
        </w:rPr>
        <w:t xml:space="preserve"> </w:t>
      </w:r>
      <w:r w:rsidRPr="00B93B5B">
        <w:rPr>
          <w:rFonts w:cs="Times New Roman"/>
          <w:i/>
          <w:iCs/>
        </w:rPr>
        <w:t>In Re LTL Management, LLC</w:t>
      </w:r>
      <w:r w:rsidRPr="00B93B5B">
        <w:rPr>
          <w:rFonts w:cs="Times New Roman"/>
        </w:rPr>
        <w:t xml:space="preserve">, Case No. 21-30589 (MBK), Declaration of Kenneth Feinberg for appointment as Court Expert (Aug. 10, 2022) (“My negotiated fee, to be paid by the Debtor, will be $500,000 per month, plus reasonable reimbursements”); </w:t>
      </w:r>
      <w:r w:rsidRPr="00B93B5B">
        <w:rPr>
          <w:rFonts w:cs="Times New Roman"/>
          <w:i/>
          <w:iCs/>
        </w:rPr>
        <w:t>see also</w:t>
      </w:r>
      <w:r w:rsidRPr="00B93B5B">
        <w:rPr>
          <w:rFonts w:cs="Times New Roman"/>
        </w:rPr>
        <w:t xml:space="preserve"> </w:t>
      </w:r>
      <w:r w:rsidRPr="00B93B5B">
        <w:rPr>
          <w:rFonts w:cs="Times New Roman"/>
          <w:i/>
          <w:iCs/>
        </w:rPr>
        <w:t>Id</w:t>
      </w:r>
      <w:r>
        <w:rPr>
          <w:rFonts w:cs="Times New Roman"/>
          <w:i/>
          <w:iCs/>
        </w:rPr>
        <w:t xml:space="preserve"> </w:t>
      </w:r>
      <w:r w:rsidRPr="00B93B5B">
        <w:rPr>
          <w:rFonts w:cs="Times New Roman"/>
        </w:rPr>
        <w:t>at PACER Doc. 3562</w:t>
      </w:r>
      <w:r>
        <w:rPr>
          <w:rFonts w:cs="Times New Roman"/>
        </w:rPr>
        <w:t xml:space="preserve"> December 30, 2022) </w:t>
      </w:r>
      <w:r w:rsidRPr="00B93B5B">
        <w:rPr>
          <w:rFonts w:cs="Times New Roman"/>
        </w:rPr>
        <w:t xml:space="preserve"> </w:t>
      </w:r>
      <w:r>
        <w:rPr>
          <w:rFonts w:cs="Times New Roman"/>
        </w:rPr>
        <w:t>(</w:t>
      </w:r>
      <w:r w:rsidRPr="00B93B5B">
        <w:rPr>
          <w:rFonts w:cs="Times New Roman"/>
        </w:rPr>
        <w:t xml:space="preserve">letter on behalf of Kenneth Feinberg setting budget for retained expert at between $2.3 million and $2.8 </w:t>
      </w:r>
      <w:r>
        <w:rPr>
          <w:rFonts w:cs="Times New Roman"/>
        </w:rPr>
        <w:t>m</w:t>
      </w:r>
      <w:r w:rsidRPr="00B93B5B">
        <w:rPr>
          <w:rFonts w:cs="Times New Roman"/>
        </w:rPr>
        <w:t>illion plus estimated expenses between $35,000 and $65,000 completed in first quarter of 2023</w:t>
      </w:r>
      <w:r>
        <w:rPr>
          <w:rFonts w:cs="Times New Roman"/>
        </w:rPr>
        <w:t>)</w:t>
      </w:r>
      <w:r w:rsidRPr="00B93B5B">
        <w:rPr>
          <w:rFonts w:cs="Times New Roman"/>
        </w:rPr>
        <w:t>.</w:t>
      </w:r>
      <w:r>
        <w:t xml:space="preserve"> </w:t>
      </w:r>
    </w:p>
  </w:footnote>
  <w:footnote w:id="406">
    <w:p w14:paraId="6A625DF9" w14:textId="77777777" w:rsidR="00E813A4" w:rsidRDefault="00E813A4" w:rsidP="00E813A4">
      <w:pPr>
        <w:pStyle w:val="FootnoteText"/>
        <w:jc w:val="both"/>
      </w:pPr>
      <w:r>
        <w:rPr>
          <w:rStyle w:val="FootnoteReference"/>
        </w:rPr>
        <w:footnoteRef/>
      </w:r>
      <w:r>
        <w:t xml:space="preserve"> </w:t>
      </w:r>
      <w:r w:rsidRPr="00AA6101">
        <w:rPr>
          <w:rFonts w:cs="Times New Roman"/>
          <w:i/>
          <w:iCs/>
        </w:rPr>
        <w:t xml:space="preserve">See </w:t>
      </w:r>
      <w:r w:rsidRPr="00ED73B7">
        <w:rPr>
          <w:rFonts w:cs="Times New Roman"/>
          <w:i/>
          <w:iCs/>
        </w:rPr>
        <w:t>In Re LTL Management, LLC</w:t>
      </w:r>
      <w:r>
        <w:rPr>
          <w:rFonts w:cs="Times New Roman"/>
        </w:rPr>
        <w:t>, Case No. 21-30589 (MBK), TCC Statement in Opposition to Debtor’s Request for Estimation, PACER Document 2722, pp. 19-20 (July 15, 2022) (“In fact, the parties already have substantial information which can be produced and shared immediately.  J &amp; J has been litigating these issues for years in the tort system.  Verdicts have been rendered. Appellate courts have ruled.  The parties have been through discovery.  Both sides understand each other fully.  J &amp; J has been settling talc claims for years.  All of this data is presently available.”).</w:t>
      </w:r>
    </w:p>
  </w:footnote>
  <w:footnote w:id="407">
    <w:p w14:paraId="5ABC177C" w14:textId="77777777" w:rsidR="00E813A4" w:rsidRDefault="00E813A4" w:rsidP="00E813A4">
      <w:pPr>
        <w:pStyle w:val="FootnoteText"/>
        <w:jc w:val="both"/>
      </w:pPr>
      <w:r>
        <w:rPr>
          <w:rStyle w:val="FootnoteReference"/>
        </w:rPr>
        <w:footnoteRef/>
      </w:r>
      <w:r>
        <w:t xml:space="preserve">  </w:t>
      </w:r>
      <w:r w:rsidRPr="00AA6101">
        <w:rPr>
          <w:rFonts w:cs="Times New Roman"/>
          <w:i/>
          <w:iCs/>
        </w:rPr>
        <w:t xml:space="preserve">See </w:t>
      </w:r>
      <w:r w:rsidRPr="00ED73B7">
        <w:rPr>
          <w:rFonts w:cs="Times New Roman"/>
          <w:i/>
          <w:iCs/>
        </w:rPr>
        <w:t>In Re LTL Management, LLC</w:t>
      </w:r>
      <w:r>
        <w:rPr>
          <w:rFonts w:cs="Times New Roman"/>
        </w:rPr>
        <w:t>, Case No. 21-30589 (MBK), TCC Motion to Terminate Debtor’s Exclusive Period, PACER Document 2769, p. 21 (July 22, 2022) (trust would include “eligibility gating factors, a claims matrix with base and maximum values for mesothelioma and ovarian cancer claims, as well as scaling factors to account for differences in the impact of disease on different cohorts of victims”).</w:t>
      </w:r>
    </w:p>
  </w:footnote>
  <w:footnote w:id="408">
    <w:p w14:paraId="7CDDDDD0" w14:textId="77777777" w:rsidR="00E813A4" w:rsidRPr="00896744" w:rsidRDefault="00E813A4" w:rsidP="00E813A4">
      <w:pPr>
        <w:pStyle w:val="FootnoteText"/>
        <w:jc w:val="both"/>
        <w:rPr>
          <w:rFonts w:cs="Times New Roman"/>
        </w:rPr>
      </w:pPr>
      <w:r>
        <w:rPr>
          <w:rStyle w:val="FootnoteReference"/>
        </w:rPr>
        <w:footnoteRef/>
      </w:r>
      <w:r>
        <w:t xml:space="preserve"> </w:t>
      </w:r>
      <w:r>
        <w:rPr>
          <w:rFonts w:cs="Times New Roman"/>
        </w:rPr>
        <w:t>Fed. R. Evid. 408(b)(2), “Evidence of the following is not admissible-on behalf of any party-either to prove or disprove the validity or amount of a disputed claim…(2) conduct or a statement made during compromise negotiations about the claim.”</w:t>
      </w:r>
    </w:p>
  </w:footnote>
  <w:footnote w:id="409">
    <w:p w14:paraId="4D76C9BB" w14:textId="77777777" w:rsidR="00F62B2D" w:rsidRDefault="00F62B2D" w:rsidP="00F62B2D">
      <w:pPr>
        <w:pStyle w:val="FootnoteText"/>
        <w:jc w:val="both"/>
        <w:rPr>
          <w:rFonts w:cs="Times New Roman"/>
        </w:rPr>
      </w:pPr>
      <w:r>
        <w:rPr>
          <w:rStyle w:val="FootnoteReference"/>
        </w:rPr>
        <w:footnoteRef/>
      </w:r>
      <w:r>
        <w:t xml:space="preserve"> </w:t>
      </w:r>
      <w:r>
        <w:rPr>
          <w:rFonts w:cs="Times New Roman"/>
        </w:rPr>
        <w:t xml:space="preserve">How categories of tort claims are valued is important to how tort claims are classified and whether tort claims can be included within a single class of claims.  Generally, tort claims receive the same “treatment” when such claims are valued in a manner consistent with tort-system outcomes and then paid based on the same payment percentage. </w:t>
      </w:r>
      <w:r w:rsidRPr="00082614">
        <w:rPr>
          <w:rFonts w:cs="Times New Roman"/>
          <w:i/>
          <w:iCs/>
        </w:rPr>
        <w:t>See In re W.R. Grace &amp; Co</w:t>
      </w:r>
      <w:r>
        <w:rPr>
          <w:rFonts w:cs="Times New Roman"/>
        </w:rPr>
        <w:t xml:space="preserve">., 729 F.3d 311, 329-330 (3d Cir. 2013) (tort claimants would receive the “same treatment” if they were all permitted to present their claims to a jury and were all paid whatever amounts the jury awarded, until funds were no longer available) (following </w:t>
      </w:r>
      <w:r w:rsidRPr="00082614">
        <w:rPr>
          <w:rFonts w:cs="Times New Roman"/>
          <w:i/>
          <w:iCs/>
        </w:rPr>
        <w:t>In re Joint E. &amp; S. Dist. Asbestos Litig</w:t>
      </w:r>
      <w:r>
        <w:rPr>
          <w:rFonts w:cs="Times New Roman"/>
        </w:rPr>
        <w:t xml:space="preserve">., 982 F.2d 721, 749 (2d Cir. 1992). </w:t>
      </w:r>
    </w:p>
    <w:p w14:paraId="6125D87C" w14:textId="77777777" w:rsidR="00F62B2D" w:rsidRPr="000173EB" w:rsidRDefault="00F62B2D" w:rsidP="00F62B2D">
      <w:pPr>
        <w:pStyle w:val="FootnoteText"/>
        <w:jc w:val="both"/>
        <w:rPr>
          <w:rFonts w:cs="Times New Roman"/>
        </w:rPr>
      </w:pPr>
      <w:r>
        <w:rPr>
          <w:rFonts w:cs="Times New Roman"/>
        </w:rPr>
        <w:t xml:space="preserve">Tort claims receive different treatment when they are assigned different payment percentages relative to their tort-system values. </w:t>
      </w:r>
      <w:r w:rsidRPr="00082614">
        <w:rPr>
          <w:rFonts w:cs="Times New Roman"/>
          <w:i/>
          <w:iCs/>
        </w:rPr>
        <w:t>See In re AOV Indus., Inc.,</w:t>
      </w:r>
      <w:r>
        <w:rPr>
          <w:rFonts w:cs="Times New Roman"/>
        </w:rPr>
        <w:t xml:space="preserve"> 792 F.2d 1140, 1152 (D.C.Cir. 1986) (“[T]he most conspicuous inequality that § 1123(a)(4) prohibits is payment of different percentage settlements to coclass members.”).  If a plan (or trust distribution-procedures) assign tort claims values that mirror tort-system values, high-valued claims will receive higher awards and low-value claims will receive lower awards.  This would not constitute different treatment -- or offend § 1123(a)(4) of the Bankruptcy Code – but would simply reflect differences in the claim values based on substantive differences in legal rights. </w:t>
      </w:r>
      <w:r w:rsidRPr="00A64BC9">
        <w:rPr>
          <w:rFonts w:cs="Times New Roman"/>
          <w:i/>
          <w:iCs/>
        </w:rPr>
        <w:t>See In re FINOVA Grp., Inc</w:t>
      </w:r>
      <w:r>
        <w:rPr>
          <w:rFonts w:cs="Times New Roman"/>
        </w:rPr>
        <w:t xml:space="preserve">., 304 B.R. 630, 637 (D. Del 2004) (§  1123(a)(4) does not require parties to receive equal payment under a reorganization plan).  If a plan (or trust-distribution procedures) assign tort claims values that do not mirror tort-system values, parties can argue that the plan effectuates different treatment within a class, which could necessitate separate classification.  Absent a consensual resolution, estimation of the value of categories of tort claims may be needed to determine the appropriate classification of tort claims under a plan. </w:t>
      </w:r>
    </w:p>
  </w:footnote>
  <w:footnote w:id="410">
    <w:p w14:paraId="03EEE6D1" w14:textId="77777777" w:rsidR="00F62B2D" w:rsidRDefault="00F62B2D" w:rsidP="00F62B2D">
      <w:pPr>
        <w:pStyle w:val="FootnoteText"/>
        <w:jc w:val="both"/>
      </w:pPr>
      <w:r>
        <w:rPr>
          <w:rStyle w:val="FootnoteReference"/>
        </w:rPr>
        <w:footnoteRef/>
      </w:r>
      <w:r>
        <w:t xml:space="preserve"> </w:t>
      </w:r>
      <w:r w:rsidRPr="00D820B3">
        <w:rPr>
          <w:rFonts w:cs="Times New Roman"/>
          <w:i/>
          <w:iCs/>
        </w:rPr>
        <w:t>See</w:t>
      </w:r>
      <w:r>
        <w:t xml:space="preserve"> </w:t>
      </w:r>
      <w:bookmarkStart w:id="44" w:name="_Hlk144652022"/>
      <w:r w:rsidRPr="00ED73B7">
        <w:rPr>
          <w:rFonts w:cs="Times New Roman"/>
          <w:i/>
          <w:iCs/>
        </w:rPr>
        <w:t>In Re LTL Management, LLC</w:t>
      </w:r>
      <w:r>
        <w:rPr>
          <w:rFonts w:cs="Times New Roman"/>
        </w:rPr>
        <w:t xml:space="preserve">, Case No. 21-30589 (MBK), </w:t>
      </w:r>
      <w:bookmarkEnd w:id="44"/>
      <w:r>
        <w:rPr>
          <w:rFonts w:cs="Times New Roman"/>
        </w:rPr>
        <w:t xml:space="preserve">Debtor’s Statement on Proposed Next Steps, PACER Document 2473, pp. 7-8 (June 10, 2022).  </w:t>
      </w:r>
      <w:r w:rsidRPr="00CE1748">
        <w:rPr>
          <w:rFonts w:cs="Times New Roman"/>
        </w:rPr>
        <w:t>Citing case that estimated personal</w:t>
      </w:r>
      <w:r>
        <w:rPr>
          <w:rFonts w:cs="Times New Roman"/>
        </w:rPr>
        <w:t>-</w:t>
      </w:r>
      <w:r w:rsidRPr="00CE1748">
        <w:rPr>
          <w:rFonts w:cs="Times New Roman"/>
        </w:rPr>
        <w:t>injury claims</w:t>
      </w:r>
      <w:r>
        <w:rPr>
          <w:rFonts w:cs="Times New Roman"/>
        </w:rPr>
        <w:t xml:space="preserve"> by determining claimants had “about a one-in-four chance of winning” and another case holding the estimated value of contract claims is “the amount of the claim diminished by [the] probability that it may be sustainable only in part or not at all.” </w:t>
      </w:r>
      <w:r>
        <w:t xml:space="preserve">    </w:t>
      </w:r>
    </w:p>
  </w:footnote>
  <w:footnote w:id="411">
    <w:p w14:paraId="7F198443" w14:textId="77777777" w:rsidR="00F62B2D" w:rsidRDefault="00F62B2D" w:rsidP="00F62B2D">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90 (2005).</w:t>
      </w:r>
    </w:p>
  </w:footnote>
  <w:footnote w:id="412">
    <w:p w14:paraId="10F40238" w14:textId="77777777" w:rsidR="00F62B2D" w:rsidRDefault="00F62B2D" w:rsidP="00F62B2D">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83 (2005).</w:t>
      </w:r>
    </w:p>
  </w:footnote>
  <w:footnote w:id="413">
    <w:p w14:paraId="7C05C5D4" w14:textId="77777777" w:rsidR="00F62B2D" w:rsidRDefault="00F62B2D" w:rsidP="00F62B2D">
      <w:pPr>
        <w:pStyle w:val="FootnoteText"/>
        <w:jc w:val="both"/>
      </w:pPr>
      <w:r>
        <w:rPr>
          <w:rStyle w:val="FootnoteReference"/>
        </w:rPr>
        <w:footnoteRef/>
      </w:r>
      <w:r>
        <w:t xml:space="preserve"> </w:t>
      </w:r>
      <w:r w:rsidRPr="00795209">
        <w:rPr>
          <w:rFonts w:cs="Times New Roman"/>
          <w:smallCaps/>
        </w:rPr>
        <w:t>Vetting the Wether: One Shepher</w:t>
      </w:r>
      <w:r>
        <w:rPr>
          <w:rFonts w:cs="Times New Roman"/>
          <w:smallCaps/>
        </w:rPr>
        <w:t>d’</w:t>
      </w:r>
      <w:r w:rsidRPr="00795209">
        <w:rPr>
          <w:rFonts w:cs="Times New Roman"/>
          <w:smallCaps/>
        </w:rPr>
        <w:t>s View</w:t>
      </w:r>
      <w:r w:rsidRPr="00795209">
        <w:rPr>
          <w:rFonts w:cs="Times New Roman"/>
        </w:rPr>
        <w:t>, Judge M. Casey Rodgers, 89 UMKC Law Review</w:t>
      </w:r>
      <w:r>
        <w:rPr>
          <w:rFonts w:cs="Times New Roman"/>
        </w:rPr>
        <w:t xml:space="preserve"> 873, </w:t>
      </w:r>
      <w:r w:rsidRPr="00795209">
        <w:rPr>
          <w:rFonts w:cs="Times New Roman"/>
        </w:rPr>
        <w:t>No. 4</w:t>
      </w:r>
      <w:r>
        <w:rPr>
          <w:rFonts w:cs="Times New Roman"/>
        </w:rPr>
        <w:t>, pp.</w:t>
      </w:r>
      <w:r w:rsidRPr="00795209">
        <w:rPr>
          <w:rFonts w:cs="Times New Roman"/>
        </w:rPr>
        <w:t xml:space="preserve"> 87</w:t>
      </w:r>
      <w:r>
        <w:rPr>
          <w:rFonts w:cs="Times New Roman"/>
        </w:rPr>
        <w:t>3-874</w:t>
      </w:r>
      <w:r w:rsidRPr="00795209">
        <w:rPr>
          <w:rFonts w:cs="Times New Roman"/>
        </w:rPr>
        <w:t xml:space="preserve"> (2021) (</w:t>
      </w:r>
      <w:r>
        <w:rPr>
          <w:rFonts w:cs="Times New Roman"/>
        </w:rPr>
        <w:t xml:space="preserve">“And yes, as some may be loath to admit, the sheer volume of unsupportable claims in some MDLs can grossly distort the true merit and size of the litigation.  To be sure, dealing with unsupportable claims, and with their consequences for an MDL more broadly, drains the time and resources of the parties, counsel, and the courts.” </w:t>
      </w:r>
      <w:r w:rsidRPr="00795209">
        <w:rPr>
          <w:rFonts w:cs="Times New Roman"/>
        </w:rPr>
        <w:t xml:space="preserve">Judge Rodgers reportedly dismissed 80,000 </w:t>
      </w:r>
      <w:r>
        <w:rPr>
          <w:rFonts w:cs="Times New Roman"/>
        </w:rPr>
        <w:t xml:space="preserve">such </w:t>
      </w:r>
      <w:r w:rsidRPr="00795209">
        <w:rPr>
          <w:rFonts w:cs="Times New Roman"/>
        </w:rPr>
        <w:t>actions in her 3M Earplug MDL</w:t>
      </w:r>
      <w:r>
        <w:rPr>
          <w:rFonts w:cs="Times New Roman"/>
        </w:rPr>
        <w:t xml:space="preserve"> No. 2885</w:t>
      </w:r>
      <w:r w:rsidRPr="00795209">
        <w:rPr>
          <w:rFonts w:cs="Times New Roman"/>
        </w:rPr>
        <w:t>).</w:t>
      </w:r>
    </w:p>
  </w:footnote>
  <w:footnote w:id="414">
    <w:p w14:paraId="04834BA8" w14:textId="77777777" w:rsidR="00F62B2D" w:rsidRDefault="00F62B2D" w:rsidP="00F62B2D">
      <w:pPr>
        <w:pStyle w:val="FootnoteText"/>
        <w:jc w:val="both"/>
      </w:pPr>
      <w:r>
        <w:rPr>
          <w:rStyle w:val="FootnoteReference"/>
        </w:rPr>
        <w:footnoteRef/>
      </w:r>
      <w:r>
        <w:t xml:space="preserve"> </w:t>
      </w:r>
      <w:r w:rsidRPr="00ED73B7">
        <w:rPr>
          <w:rFonts w:cs="Times New Roman"/>
          <w:i/>
          <w:iCs/>
        </w:rPr>
        <w:t>In Re LTL Management, LLC</w:t>
      </w:r>
      <w:r>
        <w:rPr>
          <w:rFonts w:cs="Times New Roman"/>
        </w:rPr>
        <w:t>, Case No. 23-12825 (MBK), TCC Motion for Order Authorizing Estimation for Voting Purposes, PACER Document 1020-1, p. 3 (July 12, 2023) (noting that in the absence of an evaluation of the merits of some claims “all talc claimants will be forced to accept nuisance value settlements and, at the same time, talc claimants who reject such awards will be denied the right to pursue J &amp; J in the tort system”).</w:t>
      </w:r>
    </w:p>
  </w:footnote>
  <w:footnote w:id="415">
    <w:p w14:paraId="3BFA2667" w14:textId="77777777" w:rsidR="00F62B2D" w:rsidRDefault="00F62B2D" w:rsidP="00F62B2D">
      <w:pPr>
        <w:pStyle w:val="FootnoteText"/>
        <w:jc w:val="both"/>
      </w:pPr>
      <w:r>
        <w:rPr>
          <w:rStyle w:val="FootnoteReference"/>
        </w:rPr>
        <w:footnoteRef/>
      </w:r>
      <w:r>
        <w:t xml:space="preserve">  </w:t>
      </w:r>
      <w:r w:rsidRPr="00D820B3">
        <w:rPr>
          <w:rFonts w:cs="Times New Roman"/>
          <w:i/>
          <w:iCs/>
        </w:rPr>
        <w:t xml:space="preserve">See </w:t>
      </w:r>
      <w:r w:rsidRPr="00ED73B7">
        <w:rPr>
          <w:rFonts w:cs="Times New Roman"/>
          <w:i/>
          <w:iCs/>
        </w:rPr>
        <w:t>In Re LTL Management, LLC</w:t>
      </w:r>
      <w:r>
        <w:rPr>
          <w:rFonts w:cs="Times New Roman"/>
        </w:rPr>
        <w:t xml:space="preserve">, Case No. 21-30589 (MBK), Debtor’s Statement on Proposed Next Steps, PACER Document 2473, p.9 (June 10, 2022) (citing </w:t>
      </w:r>
      <w:r w:rsidRPr="00D820B3">
        <w:rPr>
          <w:rFonts w:cs="Times New Roman"/>
          <w:i/>
          <w:iCs/>
        </w:rPr>
        <w:t>In re Garlock Sealing Techs., LLC</w:t>
      </w:r>
      <w:r>
        <w:rPr>
          <w:rFonts w:cs="Times New Roman"/>
        </w:rPr>
        <w:t xml:space="preserve"> 504 B.R.71, 74 (Bankr. W.D.N.C. 20140) and noting “the court concluded that the settlement approach was an un ‘unreliable predictor of [Garlock’s] true liability’ for two principal reasons: because the settlement history was ‘infected by the manipulation of exposure evidence by plaintiffs and their lawyers’ and because many cases were settled ‘virtually entirely for cost avoidance’ with no ‘real analysis of the ‘liability’ to any individual claimant.”).</w:t>
      </w:r>
    </w:p>
  </w:footnote>
  <w:footnote w:id="416">
    <w:p w14:paraId="06A00401" w14:textId="77777777" w:rsidR="00F62B2D" w:rsidRDefault="00F62B2D" w:rsidP="00F62B2D">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86 (2005).</w:t>
      </w:r>
    </w:p>
  </w:footnote>
  <w:footnote w:id="417">
    <w:p w14:paraId="43C651E3" w14:textId="77777777" w:rsidR="00F62B2D" w:rsidRDefault="00F62B2D" w:rsidP="00F62B2D">
      <w:pPr>
        <w:pStyle w:val="FootnoteText"/>
        <w:jc w:val="both"/>
      </w:pPr>
      <w:r>
        <w:rPr>
          <w:rStyle w:val="FootnoteReference"/>
        </w:rPr>
        <w:footnoteRef/>
      </w:r>
      <w:r>
        <w:t xml:space="preserve"> </w:t>
      </w:r>
      <w:r w:rsidRPr="00276690">
        <w:rPr>
          <w:rFonts w:cs="Times New Roman"/>
        </w:rPr>
        <w:t>28 U.S.C. §157((b)(2)(B).</w:t>
      </w:r>
    </w:p>
  </w:footnote>
  <w:footnote w:id="418">
    <w:p w14:paraId="2A403BCC" w14:textId="77777777" w:rsidR="00F62B2D" w:rsidRDefault="00F62B2D" w:rsidP="00F62B2D">
      <w:pPr>
        <w:pStyle w:val="FootnoteText"/>
        <w:jc w:val="both"/>
      </w:pPr>
      <w:r>
        <w:rPr>
          <w:rStyle w:val="FootnoteReference"/>
        </w:rPr>
        <w:footnoteRef/>
      </w:r>
      <w:r>
        <w:t xml:space="preserve"> </w:t>
      </w:r>
      <w:bookmarkStart w:id="45" w:name="_Hlk144637169"/>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89 (2005).</w:t>
      </w:r>
      <w:bookmarkEnd w:id="45"/>
    </w:p>
  </w:footnote>
  <w:footnote w:id="419">
    <w:p w14:paraId="7D42BBC6" w14:textId="77777777" w:rsidR="00F62B2D" w:rsidRDefault="00F62B2D" w:rsidP="00F62B2D">
      <w:pPr>
        <w:pStyle w:val="FootnoteText"/>
        <w:jc w:val="both"/>
      </w:pPr>
      <w:r>
        <w:rPr>
          <w:rStyle w:val="FootnoteReference"/>
        </w:rPr>
        <w:footnoteRef/>
      </w:r>
      <w:r>
        <w:t xml:space="preserve"> </w:t>
      </w:r>
      <w:r w:rsidRPr="00EC79FD">
        <w:rPr>
          <w:rFonts w:cs="Times New Roman"/>
          <w:i/>
          <w:iCs/>
        </w:rPr>
        <w:t>See</w:t>
      </w:r>
      <w:r>
        <w:t xml:space="preserve"> </w:t>
      </w:r>
      <w:r w:rsidRPr="00ED73B7">
        <w:rPr>
          <w:rFonts w:cs="Times New Roman"/>
          <w:i/>
          <w:iCs/>
        </w:rPr>
        <w:t>In Re LTL Management, LLC</w:t>
      </w:r>
      <w:r>
        <w:rPr>
          <w:rFonts w:cs="Times New Roman"/>
        </w:rPr>
        <w:t xml:space="preserve">, Case No. 23-12825 (MBK), TCC Motion for Order Authorizing Estimation for Voting Purposes, PACER Document 1020-1, p. 3 (July 12, 2023) </w:t>
      </w:r>
      <w:r w:rsidRPr="00F949B7">
        <w:rPr>
          <w:rFonts w:cs="Times New Roman"/>
        </w:rPr>
        <w:t>(</w:t>
      </w:r>
      <w:r w:rsidRPr="0012236D">
        <w:rPr>
          <w:rFonts w:cs="Times New Roman"/>
        </w:rPr>
        <w:t xml:space="preserve">These defenses are not always asserted by the debtor.  Historically, most mass-tort bankruptcies, which consisted primarily of asbestos actions, assigned an equal $1 weight to every claimant for voting purposes.  The Official Committee of Talc Claimants </w:t>
      </w:r>
      <w:r>
        <w:rPr>
          <w:rFonts w:cs="Times New Roman"/>
        </w:rPr>
        <w:t>(</w:t>
      </w:r>
      <w:r w:rsidRPr="0012236D">
        <w:rPr>
          <w:rFonts w:cs="Times New Roman"/>
        </w:rPr>
        <w:t>TCC</w:t>
      </w:r>
      <w:r>
        <w:rPr>
          <w:rFonts w:cs="Times New Roman"/>
        </w:rPr>
        <w:t>)</w:t>
      </w:r>
      <w:r w:rsidRPr="0012236D">
        <w:rPr>
          <w:rFonts w:cs="Times New Roman"/>
        </w:rPr>
        <w:t xml:space="preserve"> argued that judicial estimation would eliminate or substantially reduce the value of these claims for voting purposes, which required more than 50% of the total value to approve a proposed reorganization plan.  It would also provide adequate information sufficient to enable a claimant make an informed decision judgment about the plan.  After initially strongly protesting judicial estimation and while continuing to object to the validity of the bankruptcy in general, the TCC</w:t>
      </w:r>
      <w:r>
        <w:rPr>
          <w:rFonts w:cs="Times New Roman"/>
        </w:rPr>
        <w:t xml:space="preserve"> </w:t>
      </w:r>
      <w:r w:rsidRPr="0012236D">
        <w:rPr>
          <w:rFonts w:cs="Times New Roman"/>
        </w:rPr>
        <w:t>supported judicial estimation in the second LTL Management bankruptcy. The TCC limited its support to determining the eligibility of claimants for voting purposes and informing claimants before voting “as to their potential recovery.”)</w:t>
      </w:r>
      <w:r>
        <w:rPr>
          <w:rFonts w:cs="Times New Roman"/>
        </w:rPr>
        <w:t>.</w:t>
      </w:r>
    </w:p>
  </w:footnote>
  <w:footnote w:id="420">
    <w:p w14:paraId="042AA3C1" w14:textId="77777777" w:rsidR="00F62B2D" w:rsidRDefault="00F62B2D" w:rsidP="00F62B2D">
      <w:pPr>
        <w:pStyle w:val="FootnoteText"/>
        <w:jc w:val="both"/>
      </w:pPr>
      <w:r>
        <w:rPr>
          <w:rStyle w:val="FootnoteReference"/>
        </w:rPr>
        <w:footnoteRef/>
      </w:r>
      <w:r>
        <w:t xml:space="preserve"> </w:t>
      </w:r>
      <w:r w:rsidRPr="00DF5CB8">
        <w:rPr>
          <w:rFonts w:cs="Times New Roman"/>
          <w:smallCaps/>
        </w:rPr>
        <w:t>Judicial Management of Mass Tort Bankruptcy Cases</w:t>
      </w:r>
      <w:r w:rsidRPr="00DF5CB8">
        <w:rPr>
          <w:rFonts w:cs="Times New Roman"/>
        </w:rPr>
        <w:t xml:space="preserve">, </w:t>
      </w:r>
      <w:r>
        <w:rPr>
          <w:rFonts w:cs="Times New Roman"/>
        </w:rPr>
        <w:t>S. Elizabeth Gibson, Federal Judicial Center,</w:t>
      </w:r>
      <w:r w:rsidRPr="00DF5CB8">
        <w:rPr>
          <w:rFonts w:cs="Times New Roman"/>
        </w:rPr>
        <w:t xml:space="preserve"> </w:t>
      </w:r>
      <w:r>
        <w:rPr>
          <w:rFonts w:cs="Times New Roman"/>
        </w:rPr>
        <w:t>p. 99 (2005).</w:t>
      </w:r>
    </w:p>
  </w:footnote>
  <w:footnote w:id="421">
    <w:p w14:paraId="72D8CA4C" w14:textId="77777777" w:rsidR="00F62B2D" w:rsidRDefault="00F62B2D" w:rsidP="00F62B2D">
      <w:pPr>
        <w:pStyle w:val="FootnoteText"/>
        <w:jc w:val="both"/>
      </w:pPr>
      <w:r>
        <w:rPr>
          <w:rStyle w:val="FootnoteReference"/>
        </w:rPr>
        <w:footnoteRef/>
      </w:r>
      <w:r>
        <w:t xml:space="preserve"> S</w:t>
      </w:r>
      <w:r w:rsidRPr="00AA6101">
        <w:rPr>
          <w:rFonts w:cs="Times New Roman"/>
          <w:i/>
          <w:iCs/>
        </w:rPr>
        <w:t xml:space="preserve">ee </w:t>
      </w:r>
      <w:r w:rsidRPr="00ED73B7">
        <w:rPr>
          <w:rFonts w:cs="Times New Roman"/>
          <w:i/>
          <w:iCs/>
        </w:rPr>
        <w:t>In Re LTL Management, LLC</w:t>
      </w:r>
      <w:r>
        <w:rPr>
          <w:rFonts w:cs="Times New Roman"/>
        </w:rPr>
        <w:t>, Case No. 21-30589 (MBK), Debtor’s Reply in Support of the Need for Estimation, PACER Document 2769, p. 6 (July 22, 2022) (</w:t>
      </w:r>
      <w:r w:rsidRPr="00C90327">
        <w:rPr>
          <w:rFonts w:cs="Times New Roman"/>
        </w:rPr>
        <w:t>And, in fact, claimants have rejected the judicial estimation and substituted different negotiated estimates, which underscores the limited purpose of judicial estimation. “</w:t>
      </w:r>
      <w:r>
        <w:rPr>
          <w:rFonts w:cs="Times New Roman"/>
        </w:rPr>
        <w:t xml:space="preserve">The Court need only look at </w:t>
      </w:r>
      <w:r w:rsidRPr="00F025C3">
        <w:rPr>
          <w:rFonts w:cs="Times New Roman"/>
          <w:i/>
          <w:iCs/>
        </w:rPr>
        <w:t>Garlock</w:t>
      </w:r>
      <w:r>
        <w:rPr>
          <w:rFonts w:cs="Times New Roman"/>
        </w:rPr>
        <w:t xml:space="preserve">, where the court’s estimation of the debtor’s aggregate liability was less than the amount ultimately placed into the trust.”). </w:t>
      </w:r>
    </w:p>
  </w:footnote>
  <w:footnote w:id="422">
    <w:p w14:paraId="63876EE7" w14:textId="77777777" w:rsidR="001E7939" w:rsidRDefault="001E7939" w:rsidP="001E7939">
      <w:pPr>
        <w:pStyle w:val="FootnoteText"/>
        <w:jc w:val="both"/>
      </w:pPr>
      <w:r>
        <w:rPr>
          <w:rStyle w:val="FootnoteReference"/>
        </w:rPr>
        <w:footnoteRef/>
      </w:r>
      <w:r>
        <w:t xml:space="preserve"> </w:t>
      </w:r>
      <w:r w:rsidRPr="007B45C1">
        <w:rPr>
          <w:rFonts w:cs="Times New Roman"/>
        </w:rPr>
        <w:t>MCL, § 22.53</w:t>
      </w:r>
      <w:r>
        <w:rPr>
          <w:rFonts w:cs="Times New Roman"/>
        </w:rPr>
        <w:t xml:space="preserve">; </w:t>
      </w:r>
      <w:r w:rsidRPr="00344FC4">
        <w:rPr>
          <w:rFonts w:cs="Times New Roman"/>
          <w:i/>
          <w:iCs/>
        </w:rPr>
        <w:t>see</w:t>
      </w:r>
      <w:r>
        <w:rPr>
          <w:rFonts w:cs="Times New Roman"/>
        </w:rPr>
        <w:t xml:space="preserve"> 28 U.S.C.§ 157(d); </w:t>
      </w:r>
      <w:r w:rsidRPr="008545FD">
        <w:rPr>
          <w:rFonts w:cs="Times New Roman"/>
          <w:i/>
          <w:iCs/>
        </w:rPr>
        <w:t>see also In re PG &amp; E Corp. &amp; Pac. Gas &amp; Electric Co.,</w:t>
      </w:r>
      <w:r>
        <w:rPr>
          <w:rFonts w:cs="Times New Roman"/>
        </w:rPr>
        <w:t xml:space="preserve"> No. 19-30088 (DM) (Bank. N.D. Cal. Aug. 21, 2019) (Dkt. No. 3671) (</w:t>
      </w:r>
      <w:r w:rsidRPr="008545FD">
        <w:rPr>
          <w:rFonts w:cs="Times New Roman"/>
          <w:i/>
          <w:iCs/>
        </w:rPr>
        <w:t>sua sponte</w:t>
      </w:r>
      <w:r>
        <w:rPr>
          <w:rFonts w:cs="Times New Roman"/>
        </w:rPr>
        <w:t xml:space="preserve"> recommending that the district court withdraw the reference of an estimation proceeding involving personal-injury and wrongful-death claims).</w:t>
      </w:r>
    </w:p>
  </w:footnote>
  <w:footnote w:id="423">
    <w:p w14:paraId="5DB6832F" w14:textId="77777777" w:rsidR="001E7939" w:rsidRDefault="001E7939" w:rsidP="001E7939">
      <w:pPr>
        <w:pStyle w:val="FootnoteText"/>
        <w:jc w:val="both"/>
      </w:pPr>
      <w:r>
        <w:rPr>
          <w:rStyle w:val="FootnoteReference"/>
        </w:rPr>
        <w:footnoteRef/>
      </w:r>
      <w:r>
        <w:t xml:space="preserve"> </w:t>
      </w:r>
      <w:r w:rsidRPr="00DE435E">
        <w:rPr>
          <w:rFonts w:cs="Times New Roman"/>
          <w:i/>
          <w:iCs/>
        </w:rPr>
        <w:t>See</w:t>
      </w:r>
      <w:r>
        <w:t xml:space="preserve"> </w:t>
      </w:r>
      <w:r w:rsidRPr="007B45C1">
        <w:rPr>
          <w:rFonts w:cs="Times New Roman"/>
        </w:rPr>
        <w:t>MCL, § 22.56.</w:t>
      </w:r>
    </w:p>
  </w:footnote>
  <w:footnote w:id="424">
    <w:p w14:paraId="3DD39829" w14:textId="77777777" w:rsidR="001E7939" w:rsidRDefault="001E7939" w:rsidP="001E7939">
      <w:pPr>
        <w:pStyle w:val="FootnoteText"/>
        <w:jc w:val="both"/>
      </w:pPr>
      <w:r>
        <w:rPr>
          <w:rStyle w:val="FootnoteReference"/>
        </w:rPr>
        <w:footnoteRef/>
      </w:r>
      <w:r>
        <w:t xml:space="preserve"> </w:t>
      </w:r>
      <w:r w:rsidRPr="00DE435E">
        <w:rPr>
          <w:rFonts w:cs="Times New Roman"/>
          <w:i/>
          <w:iCs/>
        </w:rPr>
        <w:t>See</w:t>
      </w:r>
      <w:r>
        <w:t xml:space="preserve"> </w:t>
      </w:r>
      <w:r w:rsidRPr="007B45C1">
        <w:rPr>
          <w:rFonts w:cs="Times New Roman"/>
        </w:rPr>
        <w:t xml:space="preserve">MCL, </w:t>
      </w:r>
      <w:bookmarkStart w:id="46" w:name="_Hlk144629687"/>
      <w:r w:rsidRPr="007B45C1">
        <w:rPr>
          <w:rFonts w:cs="Times New Roman"/>
        </w:rPr>
        <w:t>§</w:t>
      </w:r>
      <w:bookmarkEnd w:id="46"/>
      <w:r w:rsidRPr="007B45C1">
        <w:rPr>
          <w:rFonts w:cs="Times New Roman"/>
        </w:rPr>
        <w:t xml:space="preserve"> 22.5</w:t>
      </w:r>
      <w:r>
        <w:rPr>
          <w:rFonts w:cs="Times New Roman"/>
        </w:rPr>
        <w:t>3</w:t>
      </w:r>
      <w:r w:rsidRPr="007B45C1">
        <w:rPr>
          <w:rFonts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FC4"/>
    <w:multiLevelType w:val="hybridMultilevel"/>
    <w:tmpl w:val="FEEC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0251A"/>
    <w:multiLevelType w:val="hybridMultilevel"/>
    <w:tmpl w:val="42D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26EC4"/>
    <w:multiLevelType w:val="hybridMultilevel"/>
    <w:tmpl w:val="FB0E08AE"/>
    <w:lvl w:ilvl="0" w:tplc="E3B08A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82065"/>
    <w:multiLevelType w:val="hybridMultilevel"/>
    <w:tmpl w:val="F458780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3C42DC4"/>
    <w:multiLevelType w:val="hybridMultilevel"/>
    <w:tmpl w:val="EE16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E467BA"/>
    <w:multiLevelType w:val="hybridMultilevel"/>
    <w:tmpl w:val="6E009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6337A"/>
    <w:multiLevelType w:val="hybridMultilevel"/>
    <w:tmpl w:val="F93AE8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EE063B"/>
    <w:multiLevelType w:val="hybridMultilevel"/>
    <w:tmpl w:val="706A2B66"/>
    <w:lvl w:ilvl="0" w:tplc="6E482E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0E647B"/>
    <w:multiLevelType w:val="hybridMultilevel"/>
    <w:tmpl w:val="38FEBE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7E3FD0"/>
    <w:multiLevelType w:val="hybridMultilevel"/>
    <w:tmpl w:val="24647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74809"/>
    <w:multiLevelType w:val="hybridMultilevel"/>
    <w:tmpl w:val="93DE2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7645C8"/>
    <w:multiLevelType w:val="hybridMultilevel"/>
    <w:tmpl w:val="AA62E95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218B154D"/>
    <w:multiLevelType w:val="hybridMultilevel"/>
    <w:tmpl w:val="98B03EB4"/>
    <w:lvl w:ilvl="0" w:tplc="4DF406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1604F2"/>
    <w:multiLevelType w:val="hybridMultilevel"/>
    <w:tmpl w:val="AC2EE5E8"/>
    <w:lvl w:ilvl="0" w:tplc="7AF4899C">
      <w:start w:val="15"/>
      <w:numFmt w:val="decimal"/>
      <w:lvlText w:val="%1."/>
      <w:lvlJc w:val="left"/>
      <w:pPr>
        <w:ind w:left="1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DE972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ACA52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E495F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4A253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EA13E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6CC1D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9CE6A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52191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9E46F5"/>
    <w:multiLevelType w:val="hybridMultilevel"/>
    <w:tmpl w:val="EA323808"/>
    <w:lvl w:ilvl="0" w:tplc="2EA82F7A">
      <w:start w:val="1"/>
      <w:numFmt w:val="lowerRoman"/>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706C4"/>
    <w:multiLevelType w:val="hybridMultilevel"/>
    <w:tmpl w:val="70A8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62780"/>
    <w:multiLevelType w:val="hybridMultilevel"/>
    <w:tmpl w:val="31284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3A0D6D"/>
    <w:multiLevelType w:val="hybridMultilevel"/>
    <w:tmpl w:val="A5CE57B4"/>
    <w:lvl w:ilvl="0" w:tplc="23A03AE6">
      <w:start w:val="19"/>
      <w:numFmt w:val="decimal"/>
      <w:lvlText w:val="%1."/>
      <w:lvlJc w:val="left"/>
      <w:pPr>
        <w:ind w:left="10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A2332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FC63A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0EAD5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46B1D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F8964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1E2C3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DA225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70AD3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5B7146"/>
    <w:multiLevelType w:val="hybridMultilevel"/>
    <w:tmpl w:val="246475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C1B78"/>
    <w:multiLevelType w:val="hybridMultilevel"/>
    <w:tmpl w:val="AE743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9B05D0"/>
    <w:multiLevelType w:val="hybridMultilevel"/>
    <w:tmpl w:val="65864A18"/>
    <w:lvl w:ilvl="0" w:tplc="E89C50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1545F3"/>
    <w:multiLevelType w:val="hybridMultilevel"/>
    <w:tmpl w:val="979259B2"/>
    <w:lvl w:ilvl="0" w:tplc="C654200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9111D7"/>
    <w:multiLevelType w:val="hybridMultilevel"/>
    <w:tmpl w:val="4F6AFC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0D1D09"/>
    <w:multiLevelType w:val="hybridMultilevel"/>
    <w:tmpl w:val="2C702B1C"/>
    <w:lvl w:ilvl="0" w:tplc="566AB0D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BE5C6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8A869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C255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E2A30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7CFCA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2EE5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34927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20CA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FB2456"/>
    <w:multiLevelType w:val="hybridMultilevel"/>
    <w:tmpl w:val="7F1C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76158"/>
    <w:multiLevelType w:val="hybridMultilevel"/>
    <w:tmpl w:val="62DCEFFE"/>
    <w:lvl w:ilvl="0" w:tplc="7AD49A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5568A2"/>
    <w:multiLevelType w:val="hybridMultilevel"/>
    <w:tmpl w:val="B07E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C79FB"/>
    <w:multiLevelType w:val="hybridMultilevel"/>
    <w:tmpl w:val="C558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E1C49"/>
    <w:multiLevelType w:val="hybridMultilevel"/>
    <w:tmpl w:val="A1FE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6401B"/>
    <w:multiLevelType w:val="hybridMultilevel"/>
    <w:tmpl w:val="2DD2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7D2D44"/>
    <w:multiLevelType w:val="hybridMultilevel"/>
    <w:tmpl w:val="5B6CABE8"/>
    <w:lvl w:ilvl="0" w:tplc="25C0B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596A4D"/>
    <w:multiLevelType w:val="hybridMultilevel"/>
    <w:tmpl w:val="B0BA3D8E"/>
    <w:lvl w:ilvl="0" w:tplc="DB26BB0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B0938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0C0D9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C2653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9C6AA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F0389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8EBDC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F84AF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498A5A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C4C4525"/>
    <w:multiLevelType w:val="hybridMultilevel"/>
    <w:tmpl w:val="CE78610C"/>
    <w:lvl w:ilvl="0" w:tplc="9E70961A">
      <w:start w:val="9"/>
      <w:numFmt w:val="decimal"/>
      <w:lvlText w:val="%1."/>
      <w:lvlJc w:val="left"/>
      <w:pPr>
        <w:ind w:left="11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46DA8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08745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CAD5B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EA69C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CCC88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E0873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C8A3B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44EC2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C581FB3"/>
    <w:multiLevelType w:val="hybridMultilevel"/>
    <w:tmpl w:val="9F7E2ABC"/>
    <w:lvl w:ilvl="0" w:tplc="D66C78C0">
      <w:start w:val="1"/>
      <w:numFmt w:val="decimal"/>
      <w:lvlText w:val="%1."/>
      <w:lvlJc w:val="left"/>
      <w:pPr>
        <w:ind w:left="10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9E187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FEB0E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FA508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32DDC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9AB25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F2BF9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6293C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E05D0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E8F00C0"/>
    <w:multiLevelType w:val="hybridMultilevel"/>
    <w:tmpl w:val="5CC43D56"/>
    <w:lvl w:ilvl="0" w:tplc="C6A2CE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FA66A30"/>
    <w:multiLevelType w:val="hybridMultilevel"/>
    <w:tmpl w:val="C04835EE"/>
    <w:lvl w:ilvl="0" w:tplc="FEAA46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8C35AA"/>
    <w:multiLevelType w:val="hybridMultilevel"/>
    <w:tmpl w:val="FD16E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2140164"/>
    <w:multiLevelType w:val="hybridMultilevel"/>
    <w:tmpl w:val="08A62CFA"/>
    <w:lvl w:ilvl="0" w:tplc="E6780BA8">
      <w:start w:val="6"/>
      <w:numFmt w:val="decimal"/>
      <w:lvlText w:val="%1."/>
      <w:lvlJc w:val="left"/>
      <w:pPr>
        <w:ind w:left="10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50259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130CBC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64723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4892F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F2119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6A4D9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26262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5A6CF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22F5EA8"/>
    <w:multiLevelType w:val="hybridMultilevel"/>
    <w:tmpl w:val="3844D4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56176C"/>
    <w:multiLevelType w:val="hybridMultilevel"/>
    <w:tmpl w:val="EA7673F6"/>
    <w:lvl w:ilvl="0" w:tplc="0700F6BC">
      <w:start w:val="1"/>
      <w:numFmt w:val="decimal"/>
      <w:lvlText w:val="%1."/>
      <w:lvlJc w:val="left"/>
      <w:pPr>
        <w:ind w:left="1530" w:hanging="360"/>
      </w:pPr>
      <w:rPr>
        <w:b w:val="0"/>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40" w15:restartNumberingAfterBreak="0">
    <w:nsid w:val="63E518A8"/>
    <w:multiLevelType w:val="hybridMultilevel"/>
    <w:tmpl w:val="237A4380"/>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1" w15:restartNumberingAfterBreak="0">
    <w:nsid w:val="6F2405B5"/>
    <w:multiLevelType w:val="hybridMultilevel"/>
    <w:tmpl w:val="501CDA78"/>
    <w:lvl w:ilvl="0" w:tplc="B0D8F51E">
      <w:start w:val="1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DC741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A0A27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F0A6D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0A7FD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769BA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30F6B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306A1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1206F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F561582"/>
    <w:multiLevelType w:val="hybridMultilevel"/>
    <w:tmpl w:val="CC0EBB80"/>
    <w:lvl w:ilvl="0" w:tplc="B916FB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4E2F83"/>
    <w:multiLevelType w:val="hybridMultilevel"/>
    <w:tmpl w:val="9D9CE178"/>
    <w:lvl w:ilvl="0" w:tplc="21A2B0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9A45669"/>
    <w:multiLevelType w:val="hybridMultilevel"/>
    <w:tmpl w:val="9F864A50"/>
    <w:lvl w:ilvl="0" w:tplc="474A32B8">
      <w:start w:val="12"/>
      <w:numFmt w:val="decimal"/>
      <w:lvlText w:val="%1."/>
      <w:lvlJc w:val="left"/>
      <w:pPr>
        <w:ind w:left="10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9C891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F4A4D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B86D4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78ADB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34B56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DA475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00B9A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3AD1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DD68CB"/>
    <w:multiLevelType w:val="hybridMultilevel"/>
    <w:tmpl w:val="C6A0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08673F"/>
    <w:multiLevelType w:val="hybridMultilevel"/>
    <w:tmpl w:val="9780AD5E"/>
    <w:lvl w:ilvl="0" w:tplc="9546332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04034C2">
      <w:numFmt w:val="bullet"/>
      <w:lvlText w:val="•"/>
      <w:lvlJc w:val="left"/>
      <w:pPr>
        <w:ind w:left="1980" w:hanging="360"/>
      </w:pPr>
      <w:rPr>
        <w:rFonts w:hint="default"/>
        <w:lang w:val="en-US" w:eastAsia="en-US" w:bidi="ar-SA"/>
      </w:rPr>
    </w:lvl>
    <w:lvl w:ilvl="2" w:tplc="42A63B0A">
      <w:numFmt w:val="bullet"/>
      <w:lvlText w:val="•"/>
      <w:lvlJc w:val="left"/>
      <w:pPr>
        <w:ind w:left="2880" w:hanging="360"/>
      </w:pPr>
      <w:rPr>
        <w:rFonts w:hint="default"/>
        <w:lang w:val="en-US" w:eastAsia="en-US" w:bidi="ar-SA"/>
      </w:rPr>
    </w:lvl>
    <w:lvl w:ilvl="3" w:tplc="5BBCD0D6">
      <w:numFmt w:val="bullet"/>
      <w:lvlText w:val="•"/>
      <w:lvlJc w:val="left"/>
      <w:pPr>
        <w:ind w:left="3780" w:hanging="360"/>
      </w:pPr>
      <w:rPr>
        <w:rFonts w:hint="default"/>
        <w:lang w:val="en-US" w:eastAsia="en-US" w:bidi="ar-SA"/>
      </w:rPr>
    </w:lvl>
    <w:lvl w:ilvl="4" w:tplc="34949F8A">
      <w:numFmt w:val="bullet"/>
      <w:lvlText w:val="•"/>
      <w:lvlJc w:val="left"/>
      <w:pPr>
        <w:ind w:left="4680" w:hanging="360"/>
      </w:pPr>
      <w:rPr>
        <w:rFonts w:hint="default"/>
        <w:lang w:val="en-US" w:eastAsia="en-US" w:bidi="ar-SA"/>
      </w:rPr>
    </w:lvl>
    <w:lvl w:ilvl="5" w:tplc="2026CCD2">
      <w:numFmt w:val="bullet"/>
      <w:lvlText w:val="•"/>
      <w:lvlJc w:val="left"/>
      <w:pPr>
        <w:ind w:left="5580" w:hanging="360"/>
      </w:pPr>
      <w:rPr>
        <w:rFonts w:hint="default"/>
        <w:lang w:val="en-US" w:eastAsia="en-US" w:bidi="ar-SA"/>
      </w:rPr>
    </w:lvl>
    <w:lvl w:ilvl="6" w:tplc="1D7A3688">
      <w:numFmt w:val="bullet"/>
      <w:lvlText w:val="•"/>
      <w:lvlJc w:val="left"/>
      <w:pPr>
        <w:ind w:left="6480" w:hanging="360"/>
      </w:pPr>
      <w:rPr>
        <w:rFonts w:hint="default"/>
        <w:lang w:val="en-US" w:eastAsia="en-US" w:bidi="ar-SA"/>
      </w:rPr>
    </w:lvl>
    <w:lvl w:ilvl="7" w:tplc="62FE03E2">
      <w:numFmt w:val="bullet"/>
      <w:lvlText w:val="•"/>
      <w:lvlJc w:val="left"/>
      <w:pPr>
        <w:ind w:left="7380" w:hanging="360"/>
      </w:pPr>
      <w:rPr>
        <w:rFonts w:hint="default"/>
        <w:lang w:val="en-US" w:eastAsia="en-US" w:bidi="ar-SA"/>
      </w:rPr>
    </w:lvl>
    <w:lvl w:ilvl="8" w:tplc="6A0E182A">
      <w:numFmt w:val="bullet"/>
      <w:lvlText w:val="•"/>
      <w:lvlJc w:val="left"/>
      <w:pPr>
        <w:ind w:left="8280" w:hanging="360"/>
      </w:pPr>
      <w:rPr>
        <w:rFonts w:hint="default"/>
        <w:lang w:val="en-US" w:eastAsia="en-US" w:bidi="ar-SA"/>
      </w:rPr>
    </w:lvl>
  </w:abstractNum>
  <w:abstractNum w:abstractNumId="47" w15:restartNumberingAfterBreak="0">
    <w:nsid w:val="7E7C364C"/>
    <w:multiLevelType w:val="hybridMultilevel"/>
    <w:tmpl w:val="93C4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4481D"/>
    <w:multiLevelType w:val="hybridMultilevel"/>
    <w:tmpl w:val="D4C051B8"/>
    <w:lvl w:ilvl="0" w:tplc="BEF41B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FE0C6B"/>
    <w:multiLevelType w:val="hybridMultilevel"/>
    <w:tmpl w:val="950EB9DA"/>
    <w:lvl w:ilvl="0" w:tplc="B13A81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4871378">
    <w:abstractNumId w:val="9"/>
  </w:num>
  <w:num w:numId="2" w16cid:durableId="496269170">
    <w:abstractNumId w:val="48"/>
  </w:num>
  <w:num w:numId="3" w16cid:durableId="375547675">
    <w:abstractNumId w:val="49"/>
  </w:num>
  <w:num w:numId="4" w16cid:durableId="1253590867">
    <w:abstractNumId w:val="34"/>
  </w:num>
  <w:num w:numId="5" w16cid:durableId="203712542">
    <w:abstractNumId w:val="12"/>
  </w:num>
  <w:num w:numId="6" w16cid:durableId="239214628">
    <w:abstractNumId w:val="7"/>
  </w:num>
  <w:num w:numId="7" w16cid:durableId="875580773">
    <w:abstractNumId w:val="2"/>
  </w:num>
  <w:num w:numId="8" w16cid:durableId="1852404551">
    <w:abstractNumId w:val="20"/>
  </w:num>
  <w:num w:numId="9" w16cid:durableId="1137454657">
    <w:abstractNumId w:val="42"/>
  </w:num>
  <w:num w:numId="10" w16cid:durableId="846790898">
    <w:abstractNumId w:val="30"/>
  </w:num>
  <w:num w:numId="11" w16cid:durableId="6830693">
    <w:abstractNumId w:val="43"/>
  </w:num>
  <w:num w:numId="12" w16cid:durableId="34473820">
    <w:abstractNumId w:val="25"/>
  </w:num>
  <w:num w:numId="13" w16cid:durableId="377359682">
    <w:abstractNumId w:val="35"/>
  </w:num>
  <w:num w:numId="14" w16cid:durableId="1201286411">
    <w:abstractNumId w:val="40"/>
  </w:num>
  <w:num w:numId="15" w16cid:durableId="124088104">
    <w:abstractNumId w:val="16"/>
  </w:num>
  <w:num w:numId="16" w16cid:durableId="1141727835">
    <w:abstractNumId w:val="10"/>
  </w:num>
  <w:num w:numId="17" w16cid:durableId="2031956048">
    <w:abstractNumId w:val="14"/>
  </w:num>
  <w:num w:numId="18" w16cid:durableId="654338716">
    <w:abstractNumId w:val="24"/>
  </w:num>
  <w:num w:numId="19" w16cid:durableId="1479109975">
    <w:abstractNumId w:val="45"/>
  </w:num>
  <w:num w:numId="20" w16cid:durableId="1071271514">
    <w:abstractNumId w:val="8"/>
  </w:num>
  <w:num w:numId="21" w16cid:durableId="756635656">
    <w:abstractNumId w:val="1"/>
  </w:num>
  <w:num w:numId="22" w16cid:durableId="1381981284">
    <w:abstractNumId w:val="15"/>
  </w:num>
  <w:num w:numId="23" w16cid:durableId="1281034181">
    <w:abstractNumId w:val="26"/>
  </w:num>
  <w:num w:numId="24" w16cid:durableId="1615016068">
    <w:abstractNumId w:val="39"/>
  </w:num>
  <w:num w:numId="25" w16cid:durableId="998118412">
    <w:abstractNumId w:val="36"/>
  </w:num>
  <w:num w:numId="26" w16cid:durableId="1034697167">
    <w:abstractNumId w:val="3"/>
  </w:num>
  <w:num w:numId="27" w16cid:durableId="8146238">
    <w:abstractNumId w:val="5"/>
  </w:num>
  <w:num w:numId="28" w16cid:durableId="2126073540">
    <w:abstractNumId w:val="6"/>
  </w:num>
  <w:num w:numId="29" w16cid:durableId="1842239242">
    <w:abstractNumId w:val="38"/>
  </w:num>
  <w:num w:numId="30" w16cid:durableId="1513913295">
    <w:abstractNumId w:val="18"/>
  </w:num>
  <w:num w:numId="31" w16cid:durableId="2132280876">
    <w:abstractNumId w:val="23"/>
  </w:num>
  <w:num w:numId="32" w16cid:durableId="354036808">
    <w:abstractNumId w:val="31"/>
  </w:num>
  <w:num w:numId="33" w16cid:durableId="1052122097">
    <w:abstractNumId w:val="41"/>
  </w:num>
  <w:num w:numId="34" w16cid:durableId="983972138">
    <w:abstractNumId w:val="33"/>
  </w:num>
  <w:num w:numId="35" w16cid:durableId="2076081646">
    <w:abstractNumId w:val="37"/>
  </w:num>
  <w:num w:numId="36" w16cid:durableId="1099912067">
    <w:abstractNumId w:val="32"/>
  </w:num>
  <w:num w:numId="37" w16cid:durableId="1423918906">
    <w:abstractNumId w:val="44"/>
  </w:num>
  <w:num w:numId="38" w16cid:durableId="510219723">
    <w:abstractNumId w:val="13"/>
  </w:num>
  <w:num w:numId="39" w16cid:durableId="505557113">
    <w:abstractNumId w:val="17"/>
  </w:num>
  <w:num w:numId="40" w16cid:durableId="2057585910">
    <w:abstractNumId w:val="28"/>
  </w:num>
  <w:num w:numId="41" w16cid:durableId="251477058">
    <w:abstractNumId w:val="19"/>
  </w:num>
  <w:num w:numId="42" w16cid:durableId="1150098441">
    <w:abstractNumId w:val="27"/>
  </w:num>
  <w:num w:numId="43" w16cid:durableId="21245268">
    <w:abstractNumId w:val="11"/>
  </w:num>
  <w:num w:numId="44" w16cid:durableId="1216117811">
    <w:abstractNumId w:val="47"/>
  </w:num>
  <w:num w:numId="45" w16cid:durableId="1380587247">
    <w:abstractNumId w:val="4"/>
  </w:num>
  <w:num w:numId="46" w16cid:durableId="1514224375">
    <w:abstractNumId w:val="29"/>
  </w:num>
  <w:num w:numId="47" w16cid:durableId="53041527">
    <w:abstractNumId w:val="0"/>
  </w:num>
  <w:num w:numId="48" w16cid:durableId="1848517637">
    <w:abstractNumId w:val="46"/>
  </w:num>
  <w:num w:numId="49" w16cid:durableId="2145541879">
    <w:abstractNumId w:val="21"/>
  </w:num>
  <w:num w:numId="50" w16cid:durableId="82366405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2D"/>
    <w:rsid w:val="00003950"/>
    <w:rsid w:val="00003F20"/>
    <w:rsid w:val="00015BD5"/>
    <w:rsid w:val="00015FAD"/>
    <w:rsid w:val="00020138"/>
    <w:rsid w:val="0002379D"/>
    <w:rsid w:val="00030DF5"/>
    <w:rsid w:val="00035A0D"/>
    <w:rsid w:val="000364FE"/>
    <w:rsid w:val="00036979"/>
    <w:rsid w:val="00042565"/>
    <w:rsid w:val="000473BF"/>
    <w:rsid w:val="000514BF"/>
    <w:rsid w:val="0005194C"/>
    <w:rsid w:val="00052B2A"/>
    <w:rsid w:val="00056197"/>
    <w:rsid w:val="00057C57"/>
    <w:rsid w:val="00060F8F"/>
    <w:rsid w:val="00065C68"/>
    <w:rsid w:val="00066AAC"/>
    <w:rsid w:val="00075970"/>
    <w:rsid w:val="0008528C"/>
    <w:rsid w:val="000941DB"/>
    <w:rsid w:val="00095D96"/>
    <w:rsid w:val="00095EFD"/>
    <w:rsid w:val="000A0A7D"/>
    <w:rsid w:val="000A3D83"/>
    <w:rsid w:val="000A6E69"/>
    <w:rsid w:val="000B767C"/>
    <w:rsid w:val="000C2093"/>
    <w:rsid w:val="000C3519"/>
    <w:rsid w:val="000D31B2"/>
    <w:rsid w:val="000D33B7"/>
    <w:rsid w:val="000D3C49"/>
    <w:rsid w:val="000E4D7B"/>
    <w:rsid w:val="000E6A72"/>
    <w:rsid w:val="00105C15"/>
    <w:rsid w:val="001123B6"/>
    <w:rsid w:val="00114AAD"/>
    <w:rsid w:val="00114B50"/>
    <w:rsid w:val="0013113E"/>
    <w:rsid w:val="00136074"/>
    <w:rsid w:val="00140560"/>
    <w:rsid w:val="0014281F"/>
    <w:rsid w:val="00143866"/>
    <w:rsid w:val="001446EF"/>
    <w:rsid w:val="001457F5"/>
    <w:rsid w:val="0014745F"/>
    <w:rsid w:val="001506FB"/>
    <w:rsid w:val="00150D17"/>
    <w:rsid w:val="00151464"/>
    <w:rsid w:val="00152699"/>
    <w:rsid w:val="00160F2C"/>
    <w:rsid w:val="00162908"/>
    <w:rsid w:val="001646EC"/>
    <w:rsid w:val="00165865"/>
    <w:rsid w:val="00174736"/>
    <w:rsid w:val="00175027"/>
    <w:rsid w:val="00177B89"/>
    <w:rsid w:val="00182D4B"/>
    <w:rsid w:val="00183B80"/>
    <w:rsid w:val="001A0B25"/>
    <w:rsid w:val="001A4BDD"/>
    <w:rsid w:val="001A585F"/>
    <w:rsid w:val="001B1F56"/>
    <w:rsid w:val="001B2312"/>
    <w:rsid w:val="001B26DC"/>
    <w:rsid w:val="001B6328"/>
    <w:rsid w:val="001B6483"/>
    <w:rsid w:val="001B7640"/>
    <w:rsid w:val="001C0DEF"/>
    <w:rsid w:val="001C2F82"/>
    <w:rsid w:val="001D0C43"/>
    <w:rsid w:val="001D54D9"/>
    <w:rsid w:val="001E2790"/>
    <w:rsid w:val="001E2877"/>
    <w:rsid w:val="001E3A69"/>
    <w:rsid w:val="001E632D"/>
    <w:rsid w:val="001E7939"/>
    <w:rsid w:val="001F1D12"/>
    <w:rsid w:val="001F78AA"/>
    <w:rsid w:val="0020512C"/>
    <w:rsid w:val="00206404"/>
    <w:rsid w:val="00211F1E"/>
    <w:rsid w:val="002122D1"/>
    <w:rsid w:val="002140EB"/>
    <w:rsid w:val="00222A96"/>
    <w:rsid w:val="002233E4"/>
    <w:rsid w:val="00230500"/>
    <w:rsid w:val="002329E1"/>
    <w:rsid w:val="00232E38"/>
    <w:rsid w:val="00240A98"/>
    <w:rsid w:val="0024304E"/>
    <w:rsid w:val="00243ED1"/>
    <w:rsid w:val="00256E73"/>
    <w:rsid w:val="002631A1"/>
    <w:rsid w:val="002718AD"/>
    <w:rsid w:val="00272F33"/>
    <w:rsid w:val="002778C5"/>
    <w:rsid w:val="002804EB"/>
    <w:rsid w:val="0028535F"/>
    <w:rsid w:val="00293505"/>
    <w:rsid w:val="002A2EF9"/>
    <w:rsid w:val="002A3EA1"/>
    <w:rsid w:val="002B0AF7"/>
    <w:rsid w:val="002B0F1D"/>
    <w:rsid w:val="002B3645"/>
    <w:rsid w:val="002B4937"/>
    <w:rsid w:val="002B658D"/>
    <w:rsid w:val="002D071B"/>
    <w:rsid w:val="002D2916"/>
    <w:rsid w:val="002E01BE"/>
    <w:rsid w:val="002E5F8C"/>
    <w:rsid w:val="002F614A"/>
    <w:rsid w:val="002F7401"/>
    <w:rsid w:val="002F7C7C"/>
    <w:rsid w:val="0030276A"/>
    <w:rsid w:val="0030314E"/>
    <w:rsid w:val="003049C3"/>
    <w:rsid w:val="00314A89"/>
    <w:rsid w:val="00315F8B"/>
    <w:rsid w:val="003165EB"/>
    <w:rsid w:val="00317257"/>
    <w:rsid w:val="0032003D"/>
    <w:rsid w:val="00325A60"/>
    <w:rsid w:val="00333996"/>
    <w:rsid w:val="00336AF6"/>
    <w:rsid w:val="00342B8B"/>
    <w:rsid w:val="00342BC7"/>
    <w:rsid w:val="00344714"/>
    <w:rsid w:val="00346276"/>
    <w:rsid w:val="003531BD"/>
    <w:rsid w:val="00361DFA"/>
    <w:rsid w:val="003622C3"/>
    <w:rsid w:val="00371BA4"/>
    <w:rsid w:val="00376FFD"/>
    <w:rsid w:val="003912E4"/>
    <w:rsid w:val="00391E8F"/>
    <w:rsid w:val="00394316"/>
    <w:rsid w:val="00395E23"/>
    <w:rsid w:val="00396550"/>
    <w:rsid w:val="00396CFF"/>
    <w:rsid w:val="003A017C"/>
    <w:rsid w:val="003A0769"/>
    <w:rsid w:val="003A0805"/>
    <w:rsid w:val="003A3552"/>
    <w:rsid w:val="003A66B6"/>
    <w:rsid w:val="003B145A"/>
    <w:rsid w:val="003B1538"/>
    <w:rsid w:val="003B509C"/>
    <w:rsid w:val="003C3349"/>
    <w:rsid w:val="003D3749"/>
    <w:rsid w:val="003D3A5D"/>
    <w:rsid w:val="003E29DA"/>
    <w:rsid w:val="003E2E79"/>
    <w:rsid w:val="003E54EE"/>
    <w:rsid w:val="003E67AE"/>
    <w:rsid w:val="003F0E1F"/>
    <w:rsid w:val="003F2282"/>
    <w:rsid w:val="003F6830"/>
    <w:rsid w:val="003F6C1A"/>
    <w:rsid w:val="003F74A9"/>
    <w:rsid w:val="00402EE4"/>
    <w:rsid w:val="004040E7"/>
    <w:rsid w:val="00407D55"/>
    <w:rsid w:val="00420FD2"/>
    <w:rsid w:val="004227E4"/>
    <w:rsid w:val="004236BF"/>
    <w:rsid w:val="00426C7E"/>
    <w:rsid w:val="00436F75"/>
    <w:rsid w:val="0044270F"/>
    <w:rsid w:val="00451561"/>
    <w:rsid w:val="004553AB"/>
    <w:rsid w:val="00464707"/>
    <w:rsid w:val="0046529F"/>
    <w:rsid w:val="004722A6"/>
    <w:rsid w:val="00477C85"/>
    <w:rsid w:val="00480FB2"/>
    <w:rsid w:val="00482C32"/>
    <w:rsid w:val="00486DC4"/>
    <w:rsid w:val="00487D91"/>
    <w:rsid w:val="0049172A"/>
    <w:rsid w:val="0049232E"/>
    <w:rsid w:val="00496078"/>
    <w:rsid w:val="004A4CCF"/>
    <w:rsid w:val="004A638F"/>
    <w:rsid w:val="004A7542"/>
    <w:rsid w:val="004B0852"/>
    <w:rsid w:val="004B7A10"/>
    <w:rsid w:val="004C421E"/>
    <w:rsid w:val="004C69EF"/>
    <w:rsid w:val="004C6F36"/>
    <w:rsid w:val="004C70D7"/>
    <w:rsid w:val="004C769E"/>
    <w:rsid w:val="004D39FA"/>
    <w:rsid w:val="004D605F"/>
    <w:rsid w:val="004D751C"/>
    <w:rsid w:val="004E0271"/>
    <w:rsid w:val="004E4DCC"/>
    <w:rsid w:val="004F1F8B"/>
    <w:rsid w:val="004F5824"/>
    <w:rsid w:val="004F7BB2"/>
    <w:rsid w:val="00502FC2"/>
    <w:rsid w:val="005063AC"/>
    <w:rsid w:val="00507DA1"/>
    <w:rsid w:val="00516F10"/>
    <w:rsid w:val="00526E81"/>
    <w:rsid w:val="00530B1F"/>
    <w:rsid w:val="00531527"/>
    <w:rsid w:val="00532426"/>
    <w:rsid w:val="00534104"/>
    <w:rsid w:val="0053718A"/>
    <w:rsid w:val="0053794F"/>
    <w:rsid w:val="0054073C"/>
    <w:rsid w:val="00544377"/>
    <w:rsid w:val="00545F96"/>
    <w:rsid w:val="00547E14"/>
    <w:rsid w:val="005512A6"/>
    <w:rsid w:val="00560CCE"/>
    <w:rsid w:val="00562FC5"/>
    <w:rsid w:val="00565D92"/>
    <w:rsid w:val="00573951"/>
    <w:rsid w:val="00575A88"/>
    <w:rsid w:val="00590B5B"/>
    <w:rsid w:val="005939C4"/>
    <w:rsid w:val="005967CF"/>
    <w:rsid w:val="005A037E"/>
    <w:rsid w:val="005A3012"/>
    <w:rsid w:val="005A6401"/>
    <w:rsid w:val="005B23BE"/>
    <w:rsid w:val="005B3F4C"/>
    <w:rsid w:val="005B5F79"/>
    <w:rsid w:val="005C0D4D"/>
    <w:rsid w:val="005C6C1F"/>
    <w:rsid w:val="005D0710"/>
    <w:rsid w:val="005D2296"/>
    <w:rsid w:val="005D497E"/>
    <w:rsid w:val="005D5723"/>
    <w:rsid w:val="005E2FE3"/>
    <w:rsid w:val="005F4DE6"/>
    <w:rsid w:val="00603285"/>
    <w:rsid w:val="00607C0D"/>
    <w:rsid w:val="006113AE"/>
    <w:rsid w:val="006115CF"/>
    <w:rsid w:val="00613811"/>
    <w:rsid w:val="00620AA9"/>
    <w:rsid w:val="00624639"/>
    <w:rsid w:val="00626AC3"/>
    <w:rsid w:val="006521CC"/>
    <w:rsid w:val="0065237B"/>
    <w:rsid w:val="00657E22"/>
    <w:rsid w:val="00660945"/>
    <w:rsid w:val="006614D4"/>
    <w:rsid w:val="00664B62"/>
    <w:rsid w:val="00667400"/>
    <w:rsid w:val="00673F6B"/>
    <w:rsid w:val="00682F6B"/>
    <w:rsid w:val="00683560"/>
    <w:rsid w:val="00683935"/>
    <w:rsid w:val="006866B0"/>
    <w:rsid w:val="0069435F"/>
    <w:rsid w:val="00694521"/>
    <w:rsid w:val="0069654E"/>
    <w:rsid w:val="00696DD9"/>
    <w:rsid w:val="006A0DBE"/>
    <w:rsid w:val="006A3674"/>
    <w:rsid w:val="006A3C59"/>
    <w:rsid w:val="006B5D0A"/>
    <w:rsid w:val="006B6943"/>
    <w:rsid w:val="006C528C"/>
    <w:rsid w:val="006C6779"/>
    <w:rsid w:val="006C6994"/>
    <w:rsid w:val="006D5DFB"/>
    <w:rsid w:val="006D6953"/>
    <w:rsid w:val="006E1947"/>
    <w:rsid w:val="006E1A9D"/>
    <w:rsid w:val="006F0100"/>
    <w:rsid w:val="006F12BE"/>
    <w:rsid w:val="006F44E6"/>
    <w:rsid w:val="007020F1"/>
    <w:rsid w:val="007044BA"/>
    <w:rsid w:val="007167E0"/>
    <w:rsid w:val="007213F0"/>
    <w:rsid w:val="00723166"/>
    <w:rsid w:val="0072705E"/>
    <w:rsid w:val="0073086B"/>
    <w:rsid w:val="00737DD3"/>
    <w:rsid w:val="007439DB"/>
    <w:rsid w:val="007451F5"/>
    <w:rsid w:val="00752B90"/>
    <w:rsid w:val="00757AAD"/>
    <w:rsid w:val="00762D02"/>
    <w:rsid w:val="00762F6C"/>
    <w:rsid w:val="00764D93"/>
    <w:rsid w:val="00770435"/>
    <w:rsid w:val="0077054E"/>
    <w:rsid w:val="00782E99"/>
    <w:rsid w:val="00784E92"/>
    <w:rsid w:val="007876EE"/>
    <w:rsid w:val="007878AF"/>
    <w:rsid w:val="00790F48"/>
    <w:rsid w:val="00792CD5"/>
    <w:rsid w:val="007A475D"/>
    <w:rsid w:val="007A6104"/>
    <w:rsid w:val="007B34AF"/>
    <w:rsid w:val="007B3D65"/>
    <w:rsid w:val="007C1D98"/>
    <w:rsid w:val="007C536A"/>
    <w:rsid w:val="007C65A6"/>
    <w:rsid w:val="007D2766"/>
    <w:rsid w:val="007D2FB0"/>
    <w:rsid w:val="007E2983"/>
    <w:rsid w:val="008028A4"/>
    <w:rsid w:val="00802F0D"/>
    <w:rsid w:val="00826B28"/>
    <w:rsid w:val="00842CD3"/>
    <w:rsid w:val="00862AD3"/>
    <w:rsid w:val="00863F33"/>
    <w:rsid w:val="00864241"/>
    <w:rsid w:val="00864491"/>
    <w:rsid w:val="0086517A"/>
    <w:rsid w:val="0087223F"/>
    <w:rsid w:val="00873930"/>
    <w:rsid w:val="008766E0"/>
    <w:rsid w:val="0088008C"/>
    <w:rsid w:val="00885E65"/>
    <w:rsid w:val="0088654E"/>
    <w:rsid w:val="00887ABF"/>
    <w:rsid w:val="0089283E"/>
    <w:rsid w:val="0089532F"/>
    <w:rsid w:val="008A4EB2"/>
    <w:rsid w:val="008B3BA6"/>
    <w:rsid w:val="008B71EC"/>
    <w:rsid w:val="008C1538"/>
    <w:rsid w:val="008C2C4F"/>
    <w:rsid w:val="008C2F3B"/>
    <w:rsid w:val="008C4020"/>
    <w:rsid w:val="008C640F"/>
    <w:rsid w:val="008D011F"/>
    <w:rsid w:val="008E12B5"/>
    <w:rsid w:val="008E7180"/>
    <w:rsid w:val="008F0C9A"/>
    <w:rsid w:val="009003F3"/>
    <w:rsid w:val="009069B9"/>
    <w:rsid w:val="00915087"/>
    <w:rsid w:val="0092060B"/>
    <w:rsid w:val="0092108F"/>
    <w:rsid w:val="00923016"/>
    <w:rsid w:val="00924AC2"/>
    <w:rsid w:val="00924D13"/>
    <w:rsid w:val="0093090F"/>
    <w:rsid w:val="00940F20"/>
    <w:rsid w:val="009468D3"/>
    <w:rsid w:val="00946961"/>
    <w:rsid w:val="009475A5"/>
    <w:rsid w:val="00947A66"/>
    <w:rsid w:val="00956BA7"/>
    <w:rsid w:val="009602B5"/>
    <w:rsid w:val="009606FF"/>
    <w:rsid w:val="00970FF3"/>
    <w:rsid w:val="00971ED0"/>
    <w:rsid w:val="00974D8C"/>
    <w:rsid w:val="00975513"/>
    <w:rsid w:val="00976098"/>
    <w:rsid w:val="009761DD"/>
    <w:rsid w:val="00977423"/>
    <w:rsid w:val="009829BB"/>
    <w:rsid w:val="00983120"/>
    <w:rsid w:val="00986242"/>
    <w:rsid w:val="009A5948"/>
    <w:rsid w:val="009A756F"/>
    <w:rsid w:val="009C473E"/>
    <w:rsid w:val="009D239E"/>
    <w:rsid w:val="009D247D"/>
    <w:rsid w:val="009D352A"/>
    <w:rsid w:val="009D6178"/>
    <w:rsid w:val="009D75B2"/>
    <w:rsid w:val="009E18D2"/>
    <w:rsid w:val="009E3737"/>
    <w:rsid w:val="009E5971"/>
    <w:rsid w:val="009E7959"/>
    <w:rsid w:val="009F27E0"/>
    <w:rsid w:val="009F2D95"/>
    <w:rsid w:val="009F31B4"/>
    <w:rsid w:val="009F6D84"/>
    <w:rsid w:val="00A022FC"/>
    <w:rsid w:val="00A127B1"/>
    <w:rsid w:val="00A146F3"/>
    <w:rsid w:val="00A17FC5"/>
    <w:rsid w:val="00A24159"/>
    <w:rsid w:val="00A242B2"/>
    <w:rsid w:val="00A24767"/>
    <w:rsid w:val="00A32A42"/>
    <w:rsid w:val="00A341EB"/>
    <w:rsid w:val="00A37D84"/>
    <w:rsid w:val="00A41F99"/>
    <w:rsid w:val="00A4596B"/>
    <w:rsid w:val="00A46516"/>
    <w:rsid w:val="00A639C2"/>
    <w:rsid w:val="00A70B4E"/>
    <w:rsid w:val="00A741C0"/>
    <w:rsid w:val="00A80A73"/>
    <w:rsid w:val="00A91D4B"/>
    <w:rsid w:val="00AA12D4"/>
    <w:rsid w:val="00AA5CDB"/>
    <w:rsid w:val="00AA78C4"/>
    <w:rsid w:val="00AB3984"/>
    <w:rsid w:val="00AC2B94"/>
    <w:rsid w:val="00AC5754"/>
    <w:rsid w:val="00AD2779"/>
    <w:rsid w:val="00AD2D8A"/>
    <w:rsid w:val="00AD33CC"/>
    <w:rsid w:val="00AD5F3E"/>
    <w:rsid w:val="00AE05A0"/>
    <w:rsid w:val="00AE3D76"/>
    <w:rsid w:val="00AE641F"/>
    <w:rsid w:val="00AE6DEC"/>
    <w:rsid w:val="00AF0EC5"/>
    <w:rsid w:val="00AF127C"/>
    <w:rsid w:val="00AF212E"/>
    <w:rsid w:val="00AF6312"/>
    <w:rsid w:val="00AF721D"/>
    <w:rsid w:val="00B00CE5"/>
    <w:rsid w:val="00B02B22"/>
    <w:rsid w:val="00B10E90"/>
    <w:rsid w:val="00B13F12"/>
    <w:rsid w:val="00B154C0"/>
    <w:rsid w:val="00B21B6D"/>
    <w:rsid w:val="00B3482E"/>
    <w:rsid w:val="00B42A7B"/>
    <w:rsid w:val="00B44578"/>
    <w:rsid w:val="00B45F9E"/>
    <w:rsid w:val="00B478C9"/>
    <w:rsid w:val="00B52644"/>
    <w:rsid w:val="00B54D34"/>
    <w:rsid w:val="00B55301"/>
    <w:rsid w:val="00B56CB0"/>
    <w:rsid w:val="00B66BF0"/>
    <w:rsid w:val="00B75718"/>
    <w:rsid w:val="00B75D0C"/>
    <w:rsid w:val="00B76D56"/>
    <w:rsid w:val="00B80D4B"/>
    <w:rsid w:val="00B874CB"/>
    <w:rsid w:val="00B90EB8"/>
    <w:rsid w:val="00B95E98"/>
    <w:rsid w:val="00B97AE7"/>
    <w:rsid w:val="00BA4030"/>
    <w:rsid w:val="00BA6256"/>
    <w:rsid w:val="00BA62BC"/>
    <w:rsid w:val="00BB1ACB"/>
    <w:rsid w:val="00BB3A76"/>
    <w:rsid w:val="00BC0B5E"/>
    <w:rsid w:val="00BC0F40"/>
    <w:rsid w:val="00BC126E"/>
    <w:rsid w:val="00BC28D2"/>
    <w:rsid w:val="00BC2925"/>
    <w:rsid w:val="00BC2960"/>
    <w:rsid w:val="00BC3E5C"/>
    <w:rsid w:val="00BD026E"/>
    <w:rsid w:val="00BE723E"/>
    <w:rsid w:val="00BF18C5"/>
    <w:rsid w:val="00C00F31"/>
    <w:rsid w:val="00C0425F"/>
    <w:rsid w:val="00C04C11"/>
    <w:rsid w:val="00C067E3"/>
    <w:rsid w:val="00C07B92"/>
    <w:rsid w:val="00C126B3"/>
    <w:rsid w:val="00C13C66"/>
    <w:rsid w:val="00C21955"/>
    <w:rsid w:val="00C22F6B"/>
    <w:rsid w:val="00C2328D"/>
    <w:rsid w:val="00C32A9C"/>
    <w:rsid w:val="00C34E3F"/>
    <w:rsid w:val="00C36DCE"/>
    <w:rsid w:val="00C37037"/>
    <w:rsid w:val="00C37F00"/>
    <w:rsid w:val="00C449F4"/>
    <w:rsid w:val="00C50658"/>
    <w:rsid w:val="00C54AA0"/>
    <w:rsid w:val="00C55701"/>
    <w:rsid w:val="00C624D6"/>
    <w:rsid w:val="00C654FF"/>
    <w:rsid w:val="00C65877"/>
    <w:rsid w:val="00C8184C"/>
    <w:rsid w:val="00C81E5D"/>
    <w:rsid w:val="00C94894"/>
    <w:rsid w:val="00C95781"/>
    <w:rsid w:val="00C971A6"/>
    <w:rsid w:val="00CB6710"/>
    <w:rsid w:val="00CC0F16"/>
    <w:rsid w:val="00CC2183"/>
    <w:rsid w:val="00CE2632"/>
    <w:rsid w:val="00D00D6A"/>
    <w:rsid w:val="00D01CAB"/>
    <w:rsid w:val="00D10172"/>
    <w:rsid w:val="00D10679"/>
    <w:rsid w:val="00D1401E"/>
    <w:rsid w:val="00D14D31"/>
    <w:rsid w:val="00D17574"/>
    <w:rsid w:val="00D220A9"/>
    <w:rsid w:val="00D31120"/>
    <w:rsid w:val="00D4061E"/>
    <w:rsid w:val="00D464A4"/>
    <w:rsid w:val="00D520B5"/>
    <w:rsid w:val="00D540E8"/>
    <w:rsid w:val="00D63B51"/>
    <w:rsid w:val="00D66587"/>
    <w:rsid w:val="00D676E6"/>
    <w:rsid w:val="00D72215"/>
    <w:rsid w:val="00D727B1"/>
    <w:rsid w:val="00D7547F"/>
    <w:rsid w:val="00D7680E"/>
    <w:rsid w:val="00D8389B"/>
    <w:rsid w:val="00D8532F"/>
    <w:rsid w:val="00D90531"/>
    <w:rsid w:val="00D90FDA"/>
    <w:rsid w:val="00DA1D90"/>
    <w:rsid w:val="00DA2337"/>
    <w:rsid w:val="00DA2971"/>
    <w:rsid w:val="00DA3C25"/>
    <w:rsid w:val="00DA6A6F"/>
    <w:rsid w:val="00DB46DB"/>
    <w:rsid w:val="00DB4D3D"/>
    <w:rsid w:val="00DB59DE"/>
    <w:rsid w:val="00DB6417"/>
    <w:rsid w:val="00DC09A6"/>
    <w:rsid w:val="00DC3480"/>
    <w:rsid w:val="00DC6995"/>
    <w:rsid w:val="00DD3348"/>
    <w:rsid w:val="00DD38B2"/>
    <w:rsid w:val="00DD3CF2"/>
    <w:rsid w:val="00DD5F8F"/>
    <w:rsid w:val="00DD5FCF"/>
    <w:rsid w:val="00DE0C72"/>
    <w:rsid w:val="00DE3283"/>
    <w:rsid w:val="00DE6EE4"/>
    <w:rsid w:val="00E01435"/>
    <w:rsid w:val="00E239C4"/>
    <w:rsid w:val="00E26983"/>
    <w:rsid w:val="00E26CEB"/>
    <w:rsid w:val="00E31ACF"/>
    <w:rsid w:val="00E31C6C"/>
    <w:rsid w:val="00E40876"/>
    <w:rsid w:val="00E511D3"/>
    <w:rsid w:val="00E54117"/>
    <w:rsid w:val="00E5458A"/>
    <w:rsid w:val="00E56A20"/>
    <w:rsid w:val="00E56C59"/>
    <w:rsid w:val="00E62BE9"/>
    <w:rsid w:val="00E6307E"/>
    <w:rsid w:val="00E67CD4"/>
    <w:rsid w:val="00E70A42"/>
    <w:rsid w:val="00E813A4"/>
    <w:rsid w:val="00E832CF"/>
    <w:rsid w:val="00E902D0"/>
    <w:rsid w:val="00E92CAB"/>
    <w:rsid w:val="00E9702C"/>
    <w:rsid w:val="00EA3B42"/>
    <w:rsid w:val="00EA4383"/>
    <w:rsid w:val="00EA44BD"/>
    <w:rsid w:val="00EA4E10"/>
    <w:rsid w:val="00EA5B88"/>
    <w:rsid w:val="00EA6A84"/>
    <w:rsid w:val="00EB3261"/>
    <w:rsid w:val="00EB3BB5"/>
    <w:rsid w:val="00EC2F97"/>
    <w:rsid w:val="00EC3277"/>
    <w:rsid w:val="00EC7D2D"/>
    <w:rsid w:val="00ED21E0"/>
    <w:rsid w:val="00ED27EC"/>
    <w:rsid w:val="00ED4C5D"/>
    <w:rsid w:val="00ED52C9"/>
    <w:rsid w:val="00ED7A25"/>
    <w:rsid w:val="00EE4341"/>
    <w:rsid w:val="00EE453A"/>
    <w:rsid w:val="00EF07D9"/>
    <w:rsid w:val="00EF210F"/>
    <w:rsid w:val="00EF6BF1"/>
    <w:rsid w:val="00F00B50"/>
    <w:rsid w:val="00F0307A"/>
    <w:rsid w:val="00F05ACE"/>
    <w:rsid w:val="00F07317"/>
    <w:rsid w:val="00F07C79"/>
    <w:rsid w:val="00F10B77"/>
    <w:rsid w:val="00F11EB5"/>
    <w:rsid w:val="00F12F33"/>
    <w:rsid w:val="00F14FA0"/>
    <w:rsid w:val="00F303DD"/>
    <w:rsid w:val="00F37EA8"/>
    <w:rsid w:val="00F41545"/>
    <w:rsid w:val="00F42A30"/>
    <w:rsid w:val="00F46A80"/>
    <w:rsid w:val="00F53ABA"/>
    <w:rsid w:val="00F60D57"/>
    <w:rsid w:val="00F62B2D"/>
    <w:rsid w:val="00F637CF"/>
    <w:rsid w:val="00F63F0D"/>
    <w:rsid w:val="00F6587C"/>
    <w:rsid w:val="00F669B9"/>
    <w:rsid w:val="00F6779A"/>
    <w:rsid w:val="00F67D0C"/>
    <w:rsid w:val="00F709A6"/>
    <w:rsid w:val="00F73417"/>
    <w:rsid w:val="00F93D8F"/>
    <w:rsid w:val="00FA67EF"/>
    <w:rsid w:val="00FB647E"/>
    <w:rsid w:val="00FC1782"/>
    <w:rsid w:val="00FC3DEE"/>
    <w:rsid w:val="00FC5765"/>
    <w:rsid w:val="00FC5F3E"/>
    <w:rsid w:val="00FD1BE3"/>
    <w:rsid w:val="00FD45E4"/>
    <w:rsid w:val="00FD46B5"/>
    <w:rsid w:val="00FF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7096"/>
  <w15:chartTrackingRefBased/>
  <w15:docId w15:val="{005D0B5B-DD4D-4180-A485-4B7D388F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2D"/>
    <w:pPr>
      <w:spacing w:after="0" w:line="240" w:lineRule="auto"/>
    </w:pPr>
    <w:rPr>
      <w:color w:val="000000" w:themeColor="text1"/>
      <w:kern w:val="0"/>
      <w:szCs w:val="24"/>
      <w14:ligatures w14:val="none"/>
    </w:rPr>
  </w:style>
  <w:style w:type="paragraph" w:styleId="Heading1">
    <w:name w:val="heading 1"/>
    <w:basedOn w:val="Normal"/>
    <w:next w:val="Normal"/>
    <w:link w:val="Heading1Char"/>
    <w:uiPriority w:val="9"/>
    <w:qFormat/>
    <w:rsid w:val="00F62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2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B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B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2B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2B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2B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2B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2B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62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B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B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2B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2B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2B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2B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2B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2B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B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B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2B2D"/>
    <w:pPr>
      <w:spacing w:before="160"/>
      <w:jc w:val="center"/>
    </w:pPr>
    <w:rPr>
      <w:i/>
      <w:iCs/>
      <w:color w:val="404040" w:themeColor="text1" w:themeTint="BF"/>
    </w:rPr>
  </w:style>
  <w:style w:type="character" w:customStyle="1" w:styleId="QuoteChar">
    <w:name w:val="Quote Char"/>
    <w:basedOn w:val="DefaultParagraphFont"/>
    <w:link w:val="Quote"/>
    <w:uiPriority w:val="29"/>
    <w:rsid w:val="00F62B2D"/>
    <w:rPr>
      <w:i/>
      <w:iCs/>
      <w:color w:val="404040" w:themeColor="text1" w:themeTint="BF"/>
    </w:rPr>
  </w:style>
  <w:style w:type="paragraph" w:styleId="ListParagraph">
    <w:name w:val="List Paragraph"/>
    <w:basedOn w:val="Normal"/>
    <w:link w:val="ListParagraphChar"/>
    <w:uiPriority w:val="34"/>
    <w:qFormat/>
    <w:rsid w:val="00F62B2D"/>
    <w:pPr>
      <w:ind w:left="720"/>
      <w:contextualSpacing/>
    </w:pPr>
  </w:style>
  <w:style w:type="character" w:styleId="IntenseEmphasis">
    <w:name w:val="Intense Emphasis"/>
    <w:basedOn w:val="DefaultParagraphFont"/>
    <w:uiPriority w:val="21"/>
    <w:qFormat/>
    <w:rsid w:val="00F62B2D"/>
    <w:rPr>
      <w:i/>
      <w:iCs/>
      <w:color w:val="0F4761" w:themeColor="accent1" w:themeShade="BF"/>
    </w:rPr>
  </w:style>
  <w:style w:type="paragraph" w:styleId="IntenseQuote">
    <w:name w:val="Intense Quote"/>
    <w:basedOn w:val="Normal"/>
    <w:next w:val="Normal"/>
    <w:link w:val="IntenseQuoteChar"/>
    <w:uiPriority w:val="30"/>
    <w:qFormat/>
    <w:rsid w:val="00F62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B2D"/>
    <w:rPr>
      <w:i/>
      <w:iCs/>
      <w:color w:val="0F4761" w:themeColor="accent1" w:themeShade="BF"/>
    </w:rPr>
  </w:style>
  <w:style w:type="character" w:styleId="IntenseReference">
    <w:name w:val="Intense Reference"/>
    <w:basedOn w:val="DefaultParagraphFont"/>
    <w:uiPriority w:val="32"/>
    <w:qFormat/>
    <w:rsid w:val="00F62B2D"/>
    <w:rPr>
      <w:b/>
      <w:bCs/>
      <w:smallCaps/>
      <w:color w:val="0F4761" w:themeColor="accent1" w:themeShade="BF"/>
      <w:spacing w:val="5"/>
    </w:rPr>
  </w:style>
  <w:style w:type="paragraph" w:styleId="NoSpacing">
    <w:name w:val="No Spacing"/>
    <w:uiPriority w:val="1"/>
    <w:qFormat/>
    <w:rsid w:val="00F62B2D"/>
    <w:pPr>
      <w:spacing w:after="0" w:line="240" w:lineRule="auto"/>
    </w:pPr>
    <w:rPr>
      <w:kern w:val="0"/>
      <w14:ligatures w14:val="none"/>
    </w:rPr>
  </w:style>
  <w:style w:type="character" w:customStyle="1" w:styleId="ListParagraphChar">
    <w:name w:val="List Paragraph Char"/>
    <w:basedOn w:val="DefaultParagraphFont"/>
    <w:link w:val="ListParagraph"/>
    <w:uiPriority w:val="34"/>
    <w:rsid w:val="00F62B2D"/>
  </w:style>
  <w:style w:type="table" w:styleId="TableGrid">
    <w:name w:val="Table Grid"/>
    <w:basedOn w:val="TableNormal"/>
    <w:uiPriority w:val="59"/>
    <w:unhideWhenUsed/>
    <w:rsid w:val="00F62B2D"/>
    <w:pPr>
      <w:spacing w:after="0" w:line="240" w:lineRule="auto"/>
    </w:pPr>
    <w:rPr>
      <w:color w:val="000000" w:themeColor="text1"/>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Footer">
    <w:name w:val="footer"/>
    <w:basedOn w:val="Normal"/>
    <w:link w:val="FooterChar"/>
    <w:uiPriority w:val="99"/>
    <w:unhideWhenUsed/>
    <w:rsid w:val="00F62B2D"/>
    <w:pPr>
      <w:tabs>
        <w:tab w:val="center" w:pos="4680"/>
        <w:tab w:val="right" w:pos="9360"/>
      </w:tabs>
    </w:pPr>
  </w:style>
  <w:style w:type="character" w:customStyle="1" w:styleId="FooterChar">
    <w:name w:val="Footer Char"/>
    <w:basedOn w:val="DefaultParagraphFont"/>
    <w:link w:val="Footer"/>
    <w:uiPriority w:val="99"/>
    <w:rsid w:val="00F62B2D"/>
    <w:rPr>
      <w:color w:val="000000" w:themeColor="text1"/>
      <w:kern w:val="0"/>
      <w:szCs w:val="24"/>
      <w14:ligatures w14:val="none"/>
    </w:rPr>
  </w:style>
  <w:style w:type="paragraph" w:styleId="EndnoteText">
    <w:name w:val="endnote text"/>
    <w:basedOn w:val="Normal"/>
    <w:link w:val="EndnoteTextChar"/>
    <w:uiPriority w:val="99"/>
    <w:unhideWhenUsed/>
    <w:rsid w:val="00F62B2D"/>
    <w:rPr>
      <w:sz w:val="20"/>
      <w:szCs w:val="20"/>
    </w:rPr>
  </w:style>
  <w:style w:type="character" w:customStyle="1" w:styleId="EndnoteTextChar">
    <w:name w:val="Endnote Text Char"/>
    <w:basedOn w:val="DefaultParagraphFont"/>
    <w:link w:val="EndnoteText"/>
    <w:uiPriority w:val="99"/>
    <w:rsid w:val="00F62B2D"/>
    <w:rPr>
      <w:color w:val="000000" w:themeColor="text1"/>
      <w:kern w:val="0"/>
      <w:sz w:val="20"/>
      <w:szCs w:val="20"/>
      <w14:ligatures w14:val="none"/>
    </w:rPr>
  </w:style>
  <w:style w:type="character" w:styleId="EndnoteReference">
    <w:name w:val="endnote reference"/>
    <w:basedOn w:val="DefaultParagraphFont"/>
    <w:uiPriority w:val="99"/>
    <w:semiHidden/>
    <w:unhideWhenUsed/>
    <w:rsid w:val="00F62B2D"/>
    <w:rPr>
      <w:vertAlign w:val="superscript"/>
    </w:rPr>
  </w:style>
  <w:style w:type="character" w:styleId="Hyperlink">
    <w:name w:val="Hyperlink"/>
    <w:basedOn w:val="DefaultParagraphFont"/>
    <w:uiPriority w:val="99"/>
    <w:unhideWhenUsed/>
    <w:rsid w:val="00F62B2D"/>
    <w:rPr>
      <w:color w:val="467886" w:themeColor="hyperlink"/>
      <w:u w:val="single"/>
    </w:rPr>
  </w:style>
  <w:style w:type="paragraph" w:styleId="NormalWeb">
    <w:name w:val="Normal (Web)"/>
    <w:basedOn w:val="Normal"/>
    <w:uiPriority w:val="99"/>
    <w:semiHidden/>
    <w:unhideWhenUsed/>
    <w:rsid w:val="00F62B2D"/>
    <w:pPr>
      <w:spacing w:after="160" w:line="259" w:lineRule="auto"/>
    </w:pPr>
    <w:rPr>
      <w:rFonts w:cs="Times New Roman"/>
      <w:color w:val="auto"/>
    </w:rPr>
  </w:style>
  <w:style w:type="paragraph" w:customStyle="1" w:styleId="paragraph">
    <w:name w:val="paragraph"/>
    <w:basedOn w:val="Normal"/>
    <w:rsid w:val="00F62B2D"/>
    <w:pPr>
      <w:spacing w:before="100" w:beforeAutospacing="1" w:after="100" w:afterAutospacing="1"/>
    </w:pPr>
    <w:rPr>
      <w:rFonts w:eastAsia="Times New Roman" w:cs="Times New Roman"/>
      <w:color w:val="auto"/>
    </w:rPr>
  </w:style>
  <w:style w:type="character" w:customStyle="1" w:styleId="normaltextrun">
    <w:name w:val="normaltextrun"/>
    <w:basedOn w:val="DefaultParagraphFont"/>
    <w:rsid w:val="00F62B2D"/>
  </w:style>
  <w:style w:type="character" w:customStyle="1" w:styleId="eop">
    <w:name w:val="eop"/>
    <w:basedOn w:val="DefaultParagraphFont"/>
    <w:rsid w:val="00F62B2D"/>
  </w:style>
  <w:style w:type="paragraph" w:customStyle="1" w:styleId="Footnote">
    <w:name w:val="Footnote"/>
    <w:uiPriority w:val="99"/>
    <w:qFormat/>
    <w:rsid w:val="00F62B2D"/>
    <w:pPr>
      <w:widowControl w:val="0"/>
      <w:autoSpaceDE w:val="0"/>
      <w:autoSpaceDN w:val="0"/>
      <w:adjustRightInd w:val="0"/>
      <w:spacing w:after="120" w:line="276" w:lineRule="auto"/>
      <w:jc w:val="both"/>
    </w:pPr>
    <w:rPr>
      <w:rFonts w:eastAsiaTheme="minorEastAsia" w:cs="Times New Roman"/>
      <w:color w:val="000000"/>
      <w:kern w:val="0"/>
      <w:sz w:val="22"/>
      <w14:ligatures w14:val="none"/>
    </w:rPr>
  </w:style>
  <w:style w:type="paragraph" w:styleId="Header">
    <w:name w:val="header"/>
    <w:basedOn w:val="Normal"/>
    <w:link w:val="HeaderChar"/>
    <w:uiPriority w:val="99"/>
    <w:unhideWhenUsed/>
    <w:rsid w:val="00F62B2D"/>
    <w:pPr>
      <w:tabs>
        <w:tab w:val="center" w:pos="4680"/>
        <w:tab w:val="right" w:pos="9360"/>
      </w:tabs>
    </w:pPr>
    <w:rPr>
      <w:rFonts w:asciiTheme="minorHAnsi" w:hAnsiTheme="minorHAnsi"/>
      <w:color w:val="auto"/>
      <w:sz w:val="22"/>
      <w:szCs w:val="22"/>
    </w:rPr>
  </w:style>
  <w:style w:type="character" w:customStyle="1" w:styleId="HeaderChar">
    <w:name w:val="Header Char"/>
    <w:basedOn w:val="DefaultParagraphFont"/>
    <w:link w:val="Header"/>
    <w:uiPriority w:val="99"/>
    <w:rsid w:val="00F62B2D"/>
    <w:rPr>
      <w:rFonts w:asciiTheme="minorHAnsi" w:hAnsiTheme="minorHAnsi"/>
      <w:kern w:val="0"/>
      <w:sz w:val="22"/>
      <w14:ligatures w14:val="none"/>
    </w:rPr>
  </w:style>
  <w:style w:type="paragraph" w:styleId="FootnoteText">
    <w:name w:val="footnote text"/>
    <w:aliases w:val="fn Text"/>
    <w:basedOn w:val="Normal"/>
    <w:link w:val="FootnoteTextChar"/>
    <w:uiPriority w:val="99"/>
    <w:unhideWhenUsed/>
    <w:qFormat/>
    <w:rsid w:val="00F62B2D"/>
    <w:rPr>
      <w:sz w:val="20"/>
      <w:szCs w:val="20"/>
    </w:rPr>
  </w:style>
  <w:style w:type="character" w:customStyle="1" w:styleId="FootnoteTextChar">
    <w:name w:val="Footnote Text Char"/>
    <w:aliases w:val="fn Text Char"/>
    <w:basedOn w:val="DefaultParagraphFont"/>
    <w:link w:val="FootnoteText"/>
    <w:uiPriority w:val="99"/>
    <w:rsid w:val="00F62B2D"/>
    <w:rPr>
      <w:color w:val="000000" w:themeColor="text1"/>
      <w:kern w:val="0"/>
      <w:sz w:val="20"/>
      <w:szCs w:val="20"/>
      <w14:ligatures w14:val="none"/>
    </w:rPr>
  </w:style>
  <w:style w:type="character" w:styleId="FootnoteReference">
    <w:name w:val="footnote reference"/>
    <w:aliases w:val="fn Reference"/>
    <w:basedOn w:val="DefaultParagraphFont"/>
    <w:uiPriority w:val="99"/>
    <w:unhideWhenUsed/>
    <w:qFormat/>
    <w:rsid w:val="00F62B2D"/>
    <w:rPr>
      <w:vertAlign w:val="superscript"/>
    </w:rPr>
  </w:style>
  <w:style w:type="paragraph" w:styleId="Revision">
    <w:name w:val="Revision"/>
    <w:hidden/>
    <w:uiPriority w:val="99"/>
    <w:semiHidden/>
    <w:rsid w:val="00F62B2D"/>
    <w:pPr>
      <w:spacing w:after="0" w:line="240" w:lineRule="auto"/>
    </w:pPr>
    <w:rPr>
      <w:rFonts w:asciiTheme="minorHAnsi" w:hAnsiTheme="minorHAnsi"/>
      <w:sz w:val="22"/>
    </w:rPr>
  </w:style>
  <w:style w:type="character" w:styleId="CommentReference">
    <w:name w:val="annotation reference"/>
    <w:basedOn w:val="DefaultParagraphFont"/>
    <w:uiPriority w:val="99"/>
    <w:semiHidden/>
    <w:unhideWhenUsed/>
    <w:rsid w:val="00F62B2D"/>
    <w:rPr>
      <w:sz w:val="16"/>
      <w:szCs w:val="16"/>
    </w:rPr>
  </w:style>
  <w:style w:type="paragraph" w:styleId="CommentText">
    <w:name w:val="annotation text"/>
    <w:basedOn w:val="Normal"/>
    <w:link w:val="CommentTextChar"/>
    <w:uiPriority w:val="99"/>
    <w:unhideWhenUsed/>
    <w:rsid w:val="00F62B2D"/>
    <w:pPr>
      <w:spacing w:after="160"/>
    </w:pPr>
    <w:rPr>
      <w:rFonts w:asciiTheme="minorHAnsi" w:hAnsiTheme="minorHAnsi"/>
      <w:color w:val="auto"/>
      <w:kern w:val="2"/>
      <w:sz w:val="20"/>
      <w:szCs w:val="20"/>
      <w14:ligatures w14:val="standardContextual"/>
    </w:rPr>
  </w:style>
  <w:style w:type="character" w:customStyle="1" w:styleId="CommentTextChar">
    <w:name w:val="Comment Text Char"/>
    <w:basedOn w:val="DefaultParagraphFont"/>
    <w:link w:val="CommentText"/>
    <w:uiPriority w:val="99"/>
    <w:rsid w:val="00F62B2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F62B2D"/>
    <w:rPr>
      <w:b/>
      <w:bCs/>
    </w:rPr>
  </w:style>
  <w:style w:type="character" w:customStyle="1" w:styleId="CommentSubjectChar">
    <w:name w:val="Comment Subject Char"/>
    <w:basedOn w:val="CommentTextChar"/>
    <w:link w:val="CommentSubject"/>
    <w:uiPriority w:val="99"/>
    <w:semiHidden/>
    <w:rsid w:val="00F62B2D"/>
    <w:rPr>
      <w:rFonts w:asciiTheme="minorHAnsi" w:hAnsiTheme="minorHAnsi"/>
      <w:b/>
      <w:bCs/>
      <w:sz w:val="20"/>
      <w:szCs w:val="20"/>
    </w:rPr>
  </w:style>
  <w:style w:type="character" w:styleId="UnresolvedMention">
    <w:name w:val="Unresolved Mention"/>
    <w:basedOn w:val="DefaultParagraphFont"/>
    <w:uiPriority w:val="99"/>
    <w:semiHidden/>
    <w:unhideWhenUsed/>
    <w:rsid w:val="00F62B2D"/>
    <w:rPr>
      <w:color w:val="605E5C"/>
      <w:shd w:val="clear" w:color="auto" w:fill="E1DFDD"/>
    </w:rPr>
  </w:style>
  <w:style w:type="paragraph" w:customStyle="1" w:styleId="O-BodyText">
    <w:name w:val="O-Body Text ()"/>
    <w:aliases w:val="1Body,s1"/>
    <w:basedOn w:val="Normal"/>
    <w:link w:val="O-BodyTextChar"/>
    <w:qFormat/>
    <w:rsid w:val="00F62B2D"/>
    <w:pPr>
      <w:spacing w:after="240" w:line="288" w:lineRule="auto"/>
    </w:pPr>
    <w:rPr>
      <w:rFonts w:ascii="Arial" w:eastAsia="Times New Roman" w:hAnsi="Arial" w:cs="Times New Roman"/>
      <w:color w:val="auto"/>
      <w:sz w:val="20"/>
      <w:szCs w:val="20"/>
    </w:rPr>
  </w:style>
  <w:style w:type="character" w:customStyle="1" w:styleId="O-BodyTextChar">
    <w:name w:val="O-Body Text () Char"/>
    <w:aliases w:val="1Body Char,s1 Char"/>
    <w:basedOn w:val="DefaultParagraphFont"/>
    <w:link w:val="O-BodyText"/>
    <w:rsid w:val="00F62B2D"/>
    <w:rPr>
      <w:rFonts w:ascii="Arial" w:eastAsia="Times New Roman" w:hAnsi="Arial" w:cs="Times New Roman"/>
      <w:kern w:val="0"/>
      <w:sz w:val="20"/>
      <w:szCs w:val="20"/>
      <w14:ligatures w14:val="none"/>
    </w:rPr>
  </w:style>
  <w:style w:type="character" w:styleId="Emphasis">
    <w:name w:val="Emphasis"/>
    <w:basedOn w:val="DefaultParagraphFont"/>
    <w:uiPriority w:val="20"/>
    <w:qFormat/>
    <w:rsid w:val="00F62B2D"/>
    <w:rPr>
      <w:i/>
      <w:iCs/>
    </w:rPr>
  </w:style>
  <w:style w:type="character" w:customStyle="1" w:styleId="uv3um">
    <w:name w:val="uv3um"/>
    <w:basedOn w:val="DefaultParagraphFont"/>
    <w:rsid w:val="00CE2632"/>
  </w:style>
  <w:style w:type="paragraph" w:customStyle="1" w:styleId="fnquote">
    <w:name w:val="fn quote"/>
    <w:basedOn w:val="Quote"/>
    <w:link w:val="fnquoteChar"/>
    <w:qFormat/>
    <w:rsid w:val="00CE2632"/>
    <w:pPr>
      <w:spacing w:before="0" w:after="240"/>
      <w:ind w:left="2160" w:right="2160"/>
      <w:jc w:val="left"/>
    </w:pPr>
    <w:rPr>
      <w:i w:val="0"/>
      <w:kern w:val="2"/>
      <w:sz w:val="20"/>
      <w14:ligatures w14:val="standardContextual"/>
    </w:rPr>
  </w:style>
  <w:style w:type="character" w:customStyle="1" w:styleId="fnquoteChar">
    <w:name w:val="fn quote Char"/>
    <w:basedOn w:val="DefaultParagraphFont"/>
    <w:link w:val="fnquote"/>
    <w:rsid w:val="00CE2632"/>
    <w:rPr>
      <w:iCs/>
      <w:color w:val="404040" w:themeColor="text1" w:themeTint="BF"/>
      <w:sz w:val="20"/>
      <w:szCs w:val="24"/>
    </w:rPr>
  </w:style>
  <w:style w:type="table" w:customStyle="1" w:styleId="TableGrid0">
    <w:name w:val="TableGrid"/>
    <w:rsid w:val="00547E14"/>
    <w:pPr>
      <w:spacing w:after="0" w:line="240" w:lineRule="auto"/>
    </w:pPr>
    <w:rPr>
      <w:rFonts w:asciiTheme="minorHAnsi" w:eastAsiaTheme="minorEastAsia" w:hAnsiTheme="minorHAnsi"/>
      <w:szCs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573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56C59"/>
    <w:pPr>
      <w:widowControl w:val="0"/>
      <w:autoSpaceDE w:val="0"/>
      <w:autoSpaceDN w:val="0"/>
      <w:spacing w:before="241"/>
    </w:pPr>
    <w:rPr>
      <w:rFonts w:eastAsia="Times New Roman" w:cs="Times New Roman"/>
      <w:color w:val="auto"/>
    </w:rPr>
  </w:style>
  <w:style w:type="character" w:customStyle="1" w:styleId="BodyTextChar">
    <w:name w:val="Body Text Char"/>
    <w:basedOn w:val="DefaultParagraphFont"/>
    <w:link w:val="BodyText"/>
    <w:uiPriority w:val="1"/>
    <w:rsid w:val="00E56C59"/>
    <w:rPr>
      <w:rFonts w:eastAsia="Times New Roman" w:cs="Times New Roman"/>
      <w:kern w:val="0"/>
      <w:szCs w:val="24"/>
      <w14:ligatures w14:val="none"/>
    </w:rPr>
  </w:style>
  <w:style w:type="paragraph" w:customStyle="1" w:styleId="TableParagraph">
    <w:name w:val="Table Paragraph"/>
    <w:basedOn w:val="Normal"/>
    <w:uiPriority w:val="1"/>
    <w:qFormat/>
    <w:rsid w:val="00E56C59"/>
    <w:pPr>
      <w:widowControl w:val="0"/>
      <w:autoSpaceDE w:val="0"/>
      <w:autoSpaceDN w:val="0"/>
      <w:ind w:left="197"/>
    </w:pPr>
    <w:rPr>
      <w:rFonts w:eastAsia="Times New Roman" w:cs="Times New Roman"/>
      <w:color w:val="auto"/>
      <w:sz w:val="22"/>
      <w:szCs w:val="22"/>
    </w:rPr>
  </w:style>
  <w:style w:type="paragraph" w:customStyle="1" w:styleId="Title2">
    <w:name w:val="Title 2"/>
    <w:basedOn w:val="Title"/>
    <w:uiPriority w:val="10"/>
    <w:qFormat/>
    <w:rsid w:val="00E56C59"/>
    <w:pPr>
      <w:widowControl w:val="0"/>
      <w:autoSpaceDE w:val="0"/>
      <w:autoSpaceDN w:val="0"/>
      <w:spacing w:after="240"/>
      <w:contextualSpacing w:val="0"/>
      <w:jc w:val="center"/>
    </w:pPr>
    <w:rPr>
      <w:rFonts w:ascii="Times New Roman" w:hAnsi="Times New Roman"/>
      <w:b/>
      <w:color w:val="auto"/>
      <w:spacing w:val="5"/>
      <w:sz w:val="24"/>
      <w:szCs w:val="52"/>
    </w:rPr>
  </w:style>
  <w:style w:type="paragraph" w:customStyle="1" w:styleId="RBasic">
    <w:name w:val="R Basic"/>
    <w:aliases w:val="r"/>
    <w:basedOn w:val="Normal"/>
    <w:rsid w:val="00E56C59"/>
    <w:rPr>
      <w:rFonts w:eastAsia="Times New Roman" w:cs="Times New Roman"/>
      <w:color w:val="auto"/>
    </w:rPr>
  </w:style>
  <w:style w:type="character" w:styleId="FollowedHyperlink">
    <w:name w:val="FollowedHyperlink"/>
    <w:basedOn w:val="DefaultParagraphFont"/>
    <w:uiPriority w:val="99"/>
    <w:semiHidden/>
    <w:unhideWhenUsed/>
    <w:rsid w:val="001A4B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abiejcenter.org/" TargetMode="External"/><Relationship Id="rId4" Type="http://schemas.openxmlformats.org/officeDocument/2006/relationships/settings" Target="settings.xml"/><Relationship Id="rId9" Type="http://schemas.openxmlformats.org/officeDocument/2006/relationships/hyperlink" Target="https://rabiejcenter.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rabiejcenter.org/past-events/" TargetMode="External"/><Relationship Id="rId18" Type="http://schemas.openxmlformats.org/officeDocument/2006/relationships/hyperlink" Target="about:blank" TargetMode="External"/><Relationship Id="rId3" Type="http://schemas.openxmlformats.org/officeDocument/2006/relationships/hyperlink" Target="about:blank" TargetMode="Externa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hyperlink" Target="about:blank" TargetMode="External"/><Relationship Id="rId16" Type="http://schemas.openxmlformats.org/officeDocument/2006/relationships/hyperlink" Target="https://rabiejcenter.org/best-practices/ediscovery/" TargetMode="External"/><Relationship Id="rId20"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https://rabiejcenter.org/discovery-proportionality-model-a-new-framework-2/"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 Id="rId14" Type="http://schemas.openxmlformats.org/officeDocument/2006/relationships/hyperlink" Target="https://rabiejcenter.org/research/mass-tort-mdl/" TargetMode="External"/><Relationship Id="rId22" Type="http://schemas.openxmlformats.org/officeDocument/2006/relationships/hyperlink" Target="https://www.uscourts.gov/sites/default/files/essentials_for_drafting_clear_legal_rules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8599B-5FC9-4FF0-9F9F-FB4166BE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159</Pages>
  <Words>48298</Words>
  <Characters>270955</Characters>
  <Application>Microsoft Office Word</Application>
  <DocSecurity>0</DocSecurity>
  <Lines>4300</Lines>
  <Paragraphs>1085</Paragraphs>
  <ScaleCrop>false</ScaleCrop>
  <Company/>
  <LinksUpToDate>false</LinksUpToDate>
  <CharactersWithSpaces>318168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531</cp:revision>
  <cp:lastPrinted>2025-11-20T15:47:00Z</cp:lastPrinted>
  <dcterms:created xsi:type="dcterms:W3CDTF">2025-10-15T18:52:00Z</dcterms:created>
  <dcterms:modified xsi:type="dcterms:W3CDTF">2026-02-27T17:34:00Z</dcterms:modified>
</cp:coreProperties>
</file>