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87587" w14:textId="77777777" w:rsidR="00FA6625" w:rsidRDefault="00FA6625" w:rsidP="00FA6625">
      <w:pPr>
        <w:shd w:val="clear" w:color="auto" w:fill="FFFFFF"/>
        <w:spacing w:after="0" w:line="360" w:lineRule="auto"/>
        <w:jc w:val="center"/>
        <w:rPr>
          <w:rFonts w:ascii="Times New Roman Bold" w:hAnsi="Times New Roman Bold" w:cs="Times New Roman"/>
          <w:b/>
          <w:bCs/>
          <w:smallCaps/>
          <w:color w:val="000000" w:themeColor="text1"/>
          <w:kern w:val="0"/>
          <w:sz w:val="28"/>
          <w:szCs w:val="28"/>
          <w14:ligatures w14:val="none"/>
        </w:rPr>
      </w:pPr>
      <w:r>
        <w:rPr>
          <w:noProof/>
        </w:rPr>
        <w:drawing>
          <wp:inline distT="0" distB="0" distL="0" distR="0" wp14:anchorId="5B473AB4" wp14:editId="56A3E6CE">
            <wp:extent cx="5943600" cy="828675"/>
            <wp:effectExtent l="0" t="0" r="0" b="9525"/>
            <wp:docPr id="5" name="Picture 5" descr="Graphical user interface, 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imeline&#10;&#10;Description automatically generated with medium confidence"/>
                    <pic:cNvPicPr>
                      <a:picLocks noChangeAspect="1" noChangeArrowheads="1"/>
                    </pic:cNvPicPr>
                  </pic:nvPicPr>
                  <pic:blipFill rotWithShape="1">
                    <a:blip r:embed="rId7">
                      <a:extLst>
                        <a:ext uri="{28A0092B-C50C-407E-A947-70E740481C1C}">
                          <a14:useLocalDpi xmlns:a14="http://schemas.microsoft.com/office/drawing/2010/main" val="0"/>
                        </a:ext>
                      </a:extLst>
                    </a:blip>
                    <a:srcRect l="-481" t="18882" r="481" b="63826"/>
                    <a:stretch/>
                  </pic:blipFill>
                  <pic:spPr bwMode="auto">
                    <a:xfrm>
                      <a:off x="0" y="0"/>
                      <a:ext cx="5943600" cy="828675"/>
                    </a:xfrm>
                    <a:prstGeom prst="rect">
                      <a:avLst/>
                    </a:prstGeom>
                    <a:noFill/>
                    <a:ln>
                      <a:noFill/>
                    </a:ln>
                    <a:extLst>
                      <a:ext uri="{53640926-AAD7-44D8-BBD7-CCE9431645EC}">
                        <a14:shadowObscured xmlns:a14="http://schemas.microsoft.com/office/drawing/2010/main"/>
                      </a:ext>
                    </a:extLst>
                  </pic:spPr>
                </pic:pic>
              </a:graphicData>
            </a:graphic>
          </wp:inline>
        </w:drawing>
      </w:r>
    </w:p>
    <w:p w14:paraId="5F35C83D" w14:textId="77777777" w:rsidR="00733684" w:rsidRDefault="00733684" w:rsidP="00FA6625">
      <w:pPr>
        <w:pStyle w:val="NoSpacing"/>
        <w:jc w:val="center"/>
        <w:rPr>
          <w:b/>
          <w:bCs/>
        </w:rPr>
      </w:pPr>
    </w:p>
    <w:p w14:paraId="2D4FC5B2" w14:textId="77777777" w:rsidR="00733684" w:rsidRDefault="00733684" w:rsidP="00733684">
      <w:pPr>
        <w:pStyle w:val="NoSpacing"/>
        <w:jc w:val="center"/>
        <w:rPr>
          <w:b/>
          <w:bCs/>
          <w:sz w:val="32"/>
          <w:szCs w:val="32"/>
        </w:rPr>
      </w:pPr>
      <w:r w:rsidRPr="002769DA">
        <w:rPr>
          <w:b/>
          <w:bCs/>
          <w:sz w:val="32"/>
          <w:szCs w:val="32"/>
        </w:rPr>
        <w:t xml:space="preserve">PRELIMINARY DRAFT </w:t>
      </w:r>
    </w:p>
    <w:p w14:paraId="686008F7" w14:textId="77777777" w:rsidR="00733684" w:rsidRPr="002769DA" w:rsidRDefault="00733684" w:rsidP="00733684">
      <w:pPr>
        <w:pStyle w:val="NoSpacing"/>
        <w:jc w:val="center"/>
        <w:rPr>
          <w:b/>
          <w:bCs/>
          <w:sz w:val="32"/>
          <w:szCs w:val="32"/>
        </w:rPr>
      </w:pPr>
      <w:r w:rsidRPr="002769DA">
        <w:rPr>
          <w:b/>
          <w:bCs/>
          <w:sz w:val="32"/>
          <w:szCs w:val="32"/>
        </w:rPr>
        <w:t>BEST PRACTICES</w:t>
      </w:r>
      <w:r>
        <w:rPr>
          <w:b/>
          <w:bCs/>
          <w:sz w:val="32"/>
          <w:szCs w:val="32"/>
        </w:rPr>
        <w:t xml:space="preserve"> FOR MASS-TORT MDLs</w:t>
      </w:r>
    </w:p>
    <w:p w14:paraId="4744DAA0" w14:textId="77777777" w:rsidR="00733684" w:rsidRDefault="00733684" w:rsidP="00733684">
      <w:pPr>
        <w:pStyle w:val="NoSpacing"/>
        <w:jc w:val="center"/>
        <w:rPr>
          <w:b/>
          <w:bCs/>
        </w:rPr>
      </w:pPr>
      <w:r w:rsidRPr="002769DA">
        <w:rPr>
          <w:b/>
          <w:bCs/>
          <w:sz w:val="32"/>
          <w:szCs w:val="32"/>
        </w:rPr>
        <w:t>FOR PUBLIC COMMENT</w:t>
      </w:r>
    </w:p>
    <w:p w14:paraId="3783FF5F" w14:textId="77777777" w:rsidR="00733684" w:rsidRDefault="00733684" w:rsidP="00733684">
      <w:pPr>
        <w:pStyle w:val="NoSpacing"/>
        <w:jc w:val="center"/>
        <w:rPr>
          <w:b/>
          <w:bCs/>
        </w:rPr>
      </w:pPr>
    </w:p>
    <w:p w14:paraId="5DE8B1C8" w14:textId="77777777" w:rsidR="00733684" w:rsidRDefault="00733684" w:rsidP="00733684">
      <w:pPr>
        <w:pStyle w:val="NoSpacing"/>
        <w:jc w:val="center"/>
        <w:rPr>
          <w:b/>
          <w:bCs/>
        </w:rPr>
      </w:pPr>
      <w:r>
        <w:rPr>
          <w:b/>
          <w:bCs/>
        </w:rPr>
        <w:t>Submit Comments to Contact@rabiejcenter.org</w:t>
      </w:r>
    </w:p>
    <w:p w14:paraId="42F9306E" w14:textId="77777777" w:rsidR="00733684" w:rsidRDefault="00733684" w:rsidP="00733684">
      <w:pPr>
        <w:pStyle w:val="NoSpacing"/>
        <w:jc w:val="center"/>
        <w:rPr>
          <w:b/>
          <w:bCs/>
        </w:rPr>
      </w:pPr>
      <w:r>
        <w:rPr>
          <w:b/>
          <w:bCs/>
        </w:rPr>
        <w:t>By June 5, 2026</w:t>
      </w:r>
    </w:p>
    <w:p w14:paraId="7FAFF75F" w14:textId="77777777" w:rsidR="002C14E9" w:rsidRPr="00C639B0" w:rsidRDefault="002C14E9" w:rsidP="00733684">
      <w:pPr>
        <w:pStyle w:val="NoSpacing"/>
        <w:jc w:val="center"/>
        <w:rPr>
          <w:b/>
          <w:bCs/>
        </w:rPr>
      </w:pPr>
    </w:p>
    <w:p w14:paraId="50FEDC53" w14:textId="53BA1A81" w:rsidR="00733684" w:rsidRDefault="00733684" w:rsidP="00733684">
      <w:pPr>
        <w:ind w:firstLine="720"/>
        <w:jc w:val="both"/>
      </w:pPr>
      <w:r w:rsidRPr="00664C9A">
        <w:t xml:space="preserve">The preliminary draft of Guidelines and Best </w:t>
      </w:r>
      <w:r>
        <w:t>P</w:t>
      </w:r>
      <w:r w:rsidRPr="00664C9A">
        <w:t>ractices</w:t>
      </w:r>
      <w:r>
        <w:t xml:space="preserve"> addressing establishment and allocation of a common-benefit fund and “docket-control” orders in mass-tort MDLs</w:t>
      </w:r>
      <w:r w:rsidRPr="00664C9A">
        <w:t xml:space="preserve"> </w:t>
      </w:r>
      <w:r w:rsidRPr="00EF6794">
        <w:rPr>
          <w:rFonts w:cs="Times New Roman"/>
        </w:rPr>
        <w:t xml:space="preserve">is the work product of </w:t>
      </w:r>
      <w:r>
        <w:rPr>
          <w:rFonts w:cs="Times New Roman"/>
        </w:rPr>
        <w:t xml:space="preserve">judges, </w:t>
      </w:r>
      <w:r w:rsidRPr="00EF6794">
        <w:rPr>
          <w:rFonts w:cs="Times New Roman"/>
        </w:rPr>
        <w:t>experienced practitioners</w:t>
      </w:r>
      <w:r>
        <w:rPr>
          <w:rFonts w:cs="Times New Roman"/>
        </w:rPr>
        <w:t>,</w:t>
      </w:r>
      <w:r w:rsidRPr="00EF6794">
        <w:rPr>
          <w:rFonts w:cs="Times New Roman"/>
        </w:rPr>
        <w:t xml:space="preserve"> and other experts who devoted substantial time and effort to improve the law. </w:t>
      </w:r>
      <w:r>
        <w:rPr>
          <w:rFonts w:cs="Times New Roman"/>
        </w:rPr>
        <w:t>The draft is based on discussions at the Center’s bench-bar summit at Northwestern University Pritzker School of Law on July 10, 2025.</w:t>
      </w:r>
      <w:r>
        <w:t xml:space="preserve"> The Center carefully reviews all comments and suggestions submitted during the public-comment period.  </w:t>
      </w:r>
    </w:p>
    <w:p w14:paraId="1A1253B0" w14:textId="01F12E68" w:rsidR="00733684" w:rsidRDefault="00733684" w:rsidP="00733684">
      <w:pPr>
        <w:ind w:firstLine="720"/>
        <w:jc w:val="both"/>
      </w:pPr>
      <w:r>
        <w:t>The proposed best practices provide useful guidance in complying with new Rule 16.1, which took effect on December 1, 2025.  The rule requires parties to address establishment of a common-benefit fund and alternative resolution measures in their initial-management conference report. Among the best practices for mass-tort MDLs are the following:</w:t>
      </w:r>
    </w:p>
    <w:p w14:paraId="4C214667" w14:textId="77777777" w:rsidR="00733684" w:rsidRDefault="00733684" w:rsidP="00733684">
      <w:pPr>
        <w:pStyle w:val="ListParagraph"/>
        <w:numPr>
          <w:ilvl w:val="0"/>
          <w:numId w:val="6"/>
        </w:numPr>
        <w:spacing w:after="0" w:line="240" w:lineRule="auto"/>
        <w:jc w:val="both"/>
      </w:pPr>
      <w:r>
        <w:t>Issuing order early in the MDL establishing common-benefit fund</w:t>
      </w:r>
    </w:p>
    <w:p w14:paraId="3396B17D" w14:textId="77777777" w:rsidR="00733684" w:rsidRDefault="00733684" w:rsidP="00733684">
      <w:pPr>
        <w:pStyle w:val="ListParagraph"/>
        <w:numPr>
          <w:ilvl w:val="0"/>
          <w:numId w:val="6"/>
        </w:numPr>
        <w:spacing w:after="0" w:line="240" w:lineRule="auto"/>
        <w:jc w:val="both"/>
      </w:pPr>
      <w:r>
        <w:t>Recommending a 10% default common-benefit assessment</w:t>
      </w:r>
    </w:p>
    <w:p w14:paraId="3723DA9B" w14:textId="77777777" w:rsidR="00733684" w:rsidRDefault="00733684" w:rsidP="00733684">
      <w:pPr>
        <w:pStyle w:val="ListParagraph"/>
        <w:numPr>
          <w:ilvl w:val="0"/>
          <w:numId w:val="6"/>
        </w:numPr>
        <w:spacing w:after="0" w:line="240" w:lineRule="auto"/>
        <w:jc w:val="both"/>
      </w:pPr>
      <w:r>
        <w:t>Advocating more balanced assignments of meaningful common-benefit tasks among the respective law firms and preventing disproportionate concentration of high-compensation tasks within a small group of law firms</w:t>
      </w:r>
    </w:p>
    <w:p w14:paraId="7586501C" w14:textId="77777777" w:rsidR="00733684" w:rsidRDefault="00733684" w:rsidP="00733684">
      <w:pPr>
        <w:pStyle w:val="ListParagraph"/>
        <w:numPr>
          <w:ilvl w:val="0"/>
          <w:numId w:val="6"/>
        </w:numPr>
        <w:spacing w:after="0" w:line="240" w:lineRule="auto"/>
        <w:jc w:val="both"/>
      </w:pPr>
      <w:r>
        <w:t>Suggesting holding “pilot” trials early in the MDL</w:t>
      </w:r>
    </w:p>
    <w:p w14:paraId="1CFAB23F" w14:textId="3039FC53" w:rsidR="00733684" w:rsidRDefault="00733684" w:rsidP="00733684">
      <w:pPr>
        <w:pStyle w:val="ListParagraph"/>
        <w:numPr>
          <w:ilvl w:val="0"/>
          <w:numId w:val="6"/>
        </w:numPr>
        <w:spacing w:after="0" w:line="240" w:lineRule="auto"/>
        <w:jc w:val="both"/>
      </w:pPr>
      <w:r>
        <w:t xml:space="preserve">Consideration of “docket-control” orders when non-compliance is extensive, enforced by dismissal with prejudice without show-cause hearing for failing after multiple warnings to comply with court orders </w:t>
      </w:r>
    </w:p>
    <w:p w14:paraId="611F4D3C" w14:textId="77777777" w:rsidR="002C14E9" w:rsidRDefault="002C14E9" w:rsidP="00733684">
      <w:pPr>
        <w:pStyle w:val="ListParagraph"/>
        <w:numPr>
          <w:ilvl w:val="0"/>
          <w:numId w:val="6"/>
        </w:numPr>
        <w:spacing w:after="0" w:line="240" w:lineRule="auto"/>
        <w:jc w:val="both"/>
      </w:pPr>
    </w:p>
    <w:p w14:paraId="60C32BB0" w14:textId="3001B2EA" w:rsidR="00733684" w:rsidRDefault="00733684" w:rsidP="00733684">
      <w:pPr>
        <w:ind w:firstLine="720"/>
        <w:jc w:val="both"/>
      </w:pPr>
      <w:r>
        <w:t>The draft best practices will be discussed at the Center’s Mass-Tort MDL summit at Northwestern University Pritzker School of Law on July 16, 2026.  Information about the summit, including agenda and registra</w:t>
      </w:r>
      <w:r w:rsidRPr="0055443E">
        <w:rPr>
          <w:rFonts w:cs="Times New Roman"/>
        </w:rPr>
        <w:t xml:space="preserve">tion is posted at </w:t>
      </w:r>
      <w:hyperlink r:id="rId8" w:history="1">
        <w:r w:rsidRPr="0017065A">
          <w:rPr>
            <w:rStyle w:val="Hyperlink"/>
          </w:rPr>
          <w:t>https://rabiejcenter.org/events/mass-tort-mdl-leadership-bench-bar-leadership-summit-2026/</w:t>
        </w:r>
      </w:hyperlink>
      <w:r>
        <w:t>.</w:t>
      </w:r>
    </w:p>
    <w:p w14:paraId="3A6FE0F2" w14:textId="77777777" w:rsidR="00733684" w:rsidRDefault="00733684" w:rsidP="00733684">
      <w:pPr>
        <w:ind w:firstLine="720"/>
        <w:jc w:val="both"/>
      </w:pPr>
      <w:r w:rsidRPr="0097792B">
        <w:t>Th</w:t>
      </w:r>
      <w:r>
        <w:t>e draft best practices</w:t>
      </w:r>
      <w:r w:rsidRPr="0097792B">
        <w:t xml:space="preserve"> </w:t>
      </w:r>
      <w:r>
        <w:t>represent</w:t>
      </w:r>
      <w:r w:rsidRPr="0097792B">
        <w:t xml:space="preserve"> the views of the Rabiej Litigation Law Center and not necessarily the views of other organizations, including the Judicial Conference of the United States or any other government unit</w:t>
      </w:r>
      <w:r>
        <w:t xml:space="preserve"> or any law firm</w:t>
      </w:r>
      <w:r w:rsidRPr="0097792B">
        <w:t xml:space="preserve">. The document reflects the consensus views of the contributors, </w:t>
      </w:r>
      <w:r>
        <w:t>although they</w:t>
      </w:r>
      <w:r w:rsidRPr="0097792B">
        <w:t xml:space="preserve"> may not agree with every statement. </w:t>
      </w:r>
    </w:p>
    <w:p w14:paraId="223BF644" w14:textId="77777777" w:rsidR="00F80290" w:rsidRDefault="00F80290" w:rsidP="002C14E9">
      <w:pPr>
        <w:pStyle w:val="NoSpacing"/>
        <w:jc w:val="center"/>
        <w:rPr>
          <w:b/>
          <w:bCs/>
          <w:sz w:val="32"/>
          <w:szCs w:val="32"/>
        </w:rPr>
      </w:pPr>
    </w:p>
    <w:p w14:paraId="2860D128" w14:textId="6A002297" w:rsidR="002C14E9" w:rsidRDefault="002C14E9" w:rsidP="002C14E9">
      <w:pPr>
        <w:pStyle w:val="NoSpacing"/>
        <w:jc w:val="center"/>
        <w:rPr>
          <w:b/>
          <w:bCs/>
          <w:sz w:val="32"/>
          <w:szCs w:val="32"/>
        </w:rPr>
      </w:pPr>
      <w:r w:rsidRPr="002769DA">
        <w:rPr>
          <w:b/>
          <w:bCs/>
          <w:sz w:val="32"/>
          <w:szCs w:val="32"/>
        </w:rPr>
        <w:t xml:space="preserve">PRELIMINARY DRAFT </w:t>
      </w:r>
    </w:p>
    <w:p w14:paraId="2544B3EA" w14:textId="77777777" w:rsidR="002C14E9" w:rsidRDefault="002C14E9" w:rsidP="002C14E9">
      <w:pPr>
        <w:pStyle w:val="NoSpacing"/>
        <w:jc w:val="center"/>
        <w:rPr>
          <w:b/>
          <w:bCs/>
          <w:sz w:val="32"/>
          <w:szCs w:val="32"/>
        </w:rPr>
      </w:pPr>
      <w:r w:rsidRPr="002769DA">
        <w:rPr>
          <w:b/>
          <w:bCs/>
          <w:sz w:val="32"/>
          <w:szCs w:val="32"/>
        </w:rPr>
        <w:t>BEST PRACTICES</w:t>
      </w:r>
      <w:r>
        <w:rPr>
          <w:b/>
          <w:bCs/>
          <w:sz w:val="32"/>
          <w:szCs w:val="32"/>
        </w:rPr>
        <w:t xml:space="preserve"> FOR MASS-TORT MDLs</w:t>
      </w:r>
    </w:p>
    <w:p w14:paraId="46935F0F" w14:textId="77777777" w:rsidR="00F80290" w:rsidRPr="002769DA" w:rsidRDefault="00F80290" w:rsidP="002C14E9">
      <w:pPr>
        <w:pStyle w:val="NoSpacing"/>
        <w:jc w:val="center"/>
        <w:rPr>
          <w:b/>
          <w:bCs/>
          <w:sz w:val="32"/>
          <w:szCs w:val="32"/>
        </w:rPr>
      </w:pPr>
    </w:p>
    <w:p w14:paraId="7428BC1B" w14:textId="77777777" w:rsidR="00F80290" w:rsidRPr="00911EFC" w:rsidRDefault="00F80290" w:rsidP="00F80290">
      <w:pPr>
        <w:pStyle w:val="NoSpacing"/>
        <w:jc w:val="center"/>
        <w:rPr>
          <w:b/>
          <w:bCs/>
          <w:sz w:val="32"/>
          <w:szCs w:val="32"/>
        </w:rPr>
      </w:pPr>
      <w:r w:rsidRPr="00911EFC">
        <w:rPr>
          <w:b/>
          <w:bCs/>
          <w:sz w:val="32"/>
          <w:szCs w:val="32"/>
        </w:rPr>
        <w:t>COMPENDIUM OF MASS-TORT MDL</w:t>
      </w:r>
    </w:p>
    <w:p w14:paraId="59C55816" w14:textId="77777777" w:rsidR="00F80290" w:rsidRDefault="00F80290" w:rsidP="00F80290">
      <w:pPr>
        <w:pStyle w:val="NoSpacing"/>
        <w:jc w:val="center"/>
        <w:rPr>
          <w:b/>
          <w:bCs/>
          <w:sz w:val="32"/>
          <w:szCs w:val="32"/>
        </w:rPr>
      </w:pPr>
      <w:r w:rsidRPr="00911EFC">
        <w:rPr>
          <w:b/>
          <w:bCs/>
          <w:sz w:val="32"/>
          <w:szCs w:val="32"/>
        </w:rPr>
        <w:t>GUIDELINES AND BEST PRACTICES</w:t>
      </w:r>
    </w:p>
    <w:p w14:paraId="6A2408A7" w14:textId="77777777" w:rsidR="00FA6625" w:rsidRDefault="00FA6625" w:rsidP="00FA6625">
      <w:pPr>
        <w:pStyle w:val="NoSpacing"/>
        <w:jc w:val="center"/>
        <w:rPr>
          <w:b/>
          <w:bCs/>
          <w:sz w:val="32"/>
          <w:szCs w:val="32"/>
        </w:rPr>
      </w:pPr>
    </w:p>
    <w:p w14:paraId="3B2EFBEF" w14:textId="1C2413BF" w:rsidR="00FA6625" w:rsidRDefault="00FA6625" w:rsidP="00FA6625">
      <w:pPr>
        <w:pStyle w:val="NoSpacing"/>
        <w:jc w:val="center"/>
        <w:rPr>
          <w:b/>
          <w:bCs/>
          <w:sz w:val="32"/>
          <w:szCs w:val="32"/>
        </w:rPr>
      </w:pPr>
      <w:r>
        <w:rPr>
          <w:b/>
          <w:bCs/>
          <w:sz w:val="32"/>
          <w:szCs w:val="32"/>
        </w:rPr>
        <w:t>* * * * * *</w:t>
      </w:r>
    </w:p>
    <w:p w14:paraId="1F2E585B" w14:textId="77777777" w:rsidR="00FA6625" w:rsidRDefault="00FA6625" w:rsidP="00FA6625">
      <w:pPr>
        <w:pStyle w:val="NoSpacing"/>
        <w:jc w:val="center"/>
        <w:rPr>
          <w:b/>
          <w:bCs/>
          <w:sz w:val="32"/>
          <w:szCs w:val="32"/>
        </w:rPr>
      </w:pPr>
    </w:p>
    <w:p w14:paraId="6CD665ED" w14:textId="77777777" w:rsidR="00FA6625" w:rsidRPr="004D7477" w:rsidRDefault="00FA6625" w:rsidP="00FA6625">
      <w:pPr>
        <w:spacing w:after="0" w:line="240" w:lineRule="auto"/>
        <w:ind w:left="720" w:right="720"/>
        <w:jc w:val="both"/>
        <w:rPr>
          <w:kern w:val="0"/>
          <w14:ligatures w14:val="none"/>
        </w:rPr>
      </w:pPr>
      <w:bookmarkStart w:id="0" w:name="_Hlk214714649"/>
      <w:r w:rsidRPr="004D7477">
        <w:rPr>
          <w:rFonts w:cs="Times New Roman"/>
          <w:b/>
          <w:bCs/>
          <w:kern w:val="0"/>
          <w:szCs w:val="24"/>
          <w14:ligatures w14:val="none"/>
        </w:rPr>
        <w:t>Best Practice MDL-§ 7(d):</w:t>
      </w:r>
      <w:r w:rsidRPr="004D7477">
        <w:rPr>
          <w:rFonts w:cs="Times New Roman"/>
          <w:kern w:val="0"/>
          <w:szCs w:val="24"/>
          <w14:ligatures w14:val="none"/>
        </w:rPr>
        <w:t xml:space="preserve"> Unless the court orders otherwise, </w:t>
      </w:r>
      <w:r w:rsidRPr="004D7477">
        <w:rPr>
          <w:kern w:val="0"/>
          <w14:ligatures w14:val="none"/>
        </w:rPr>
        <w:t xml:space="preserve">the parties must </w:t>
      </w:r>
      <w:r w:rsidRPr="004D7477">
        <w:rPr>
          <w:rFonts w:cs="Times New Roman"/>
          <w:kern w:val="0"/>
          <w:szCs w:val="24"/>
          <w14:ligatures w14:val="none"/>
        </w:rPr>
        <w:t xml:space="preserve">address their views on and suggest </w:t>
      </w:r>
      <w:r w:rsidRPr="004D7477">
        <w:rPr>
          <w:kern w:val="0"/>
          <w14:ligatures w14:val="none"/>
        </w:rPr>
        <w:t xml:space="preserve">procedures regarding whether and when to </w:t>
      </w:r>
      <w:r w:rsidRPr="004D7477">
        <w:rPr>
          <w:rFonts w:cs="Times New Roman"/>
          <w:kern w:val="0"/>
          <w:szCs w:val="24"/>
          <w14:ligatures w14:val="none"/>
        </w:rPr>
        <w:t>establish a common-benefit fund in the report to the court.</w:t>
      </w:r>
      <w:r w:rsidRPr="004D7477">
        <w:rPr>
          <w:kern w:val="0"/>
          <w14:ligatures w14:val="none"/>
        </w:rPr>
        <w:t xml:space="preserve"> Permanent No. </w:t>
      </w:r>
      <w:r w:rsidRPr="004D7477">
        <w:rPr>
          <w:rFonts w:cs="Times New Roman"/>
          <w:kern w:val="0"/>
          <w:szCs w:val="24"/>
          <w14:ligatures w14:val="none"/>
        </w:rPr>
        <w:t>MDL-§ 14</w:t>
      </w:r>
      <w:r w:rsidRPr="004D7477">
        <w:rPr>
          <w:kern w:val="0"/>
          <w14:ligatures w14:val="none"/>
        </w:rPr>
        <w:t>(d).</w:t>
      </w:r>
    </w:p>
    <w:bookmarkEnd w:id="0"/>
    <w:p w14:paraId="78112BB5" w14:textId="77777777" w:rsidR="00FA6625" w:rsidRPr="004D7477" w:rsidRDefault="00FA6625" w:rsidP="00FA6625">
      <w:pPr>
        <w:spacing w:after="0" w:line="240" w:lineRule="auto"/>
        <w:ind w:left="720" w:right="720"/>
        <w:jc w:val="both"/>
        <w:rPr>
          <w:rFonts w:cs="Times New Roman"/>
          <w:kern w:val="0"/>
          <w:szCs w:val="24"/>
          <w14:ligatures w14:val="none"/>
        </w:rPr>
      </w:pPr>
    </w:p>
    <w:p w14:paraId="45C6AD46" w14:textId="77777777" w:rsidR="00FA6625" w:rsidRDefault="00FA6625" w:rsidP="00FA6625">
      <w:pPr>
        <w:spacing w:after="0" w:line="360" w:lineRule="auto"/>
        <w:ind w:firstLine="720"/>
        <w:jc w:val="both"/>
        <w:rPr>
          <w:rFonts w:cs="Times New Roman"/>
          <w:color w:val="000000" w:themeColor="text1"/>
          <w:kern w:val="0"/>
          <w:szCs w:val="24"/>
          <w14:ligatures w14:val="none"/>
        </w:rPr>
      </w:pPr>
      <w:r w:rsidRPr="004D7477">
        <w:rPr>
          <w:rFonts w:cs="Times New Roman"/>
          <w:color w:val="000000" w:themeColor="text1"/>
          <w:kern w:val="0"/>
          <w:szCs w:val="24"/>
          <w14:ligatures w14:val="none"/>
        </w:rPr>
        <w:t>Under Rule 16.1(b)(2)(A)(vii), the parties must address “whether and when to establish a means for compensating leadership counsel.”</w:t>
      </w:r>
      <w:r w:rsidRPr="004D7477">
        <w:rPr>
          <w:rFonts w:cs="Times New Roman"/>
          <w:color w:val="000000" w:themeColor="text1"/>
          <w:kern w:val="0"/>
          <w:szCs w:val="24"/>
          <w:vertAlign w:val="superscript"/>
          <w14:ligatures w14:val="none"/>
        </w:rPr>
        <w:footnoteReference w:id="1"/>
      </w:r>
      <w:r w:rsidRPr="004D7477">
        <w:rPr>
          <w:rFonts w:cs="Times New Roman"/>
          <w:color w:val="000000" w:themeColor="text1"/>
          <w:kern w:val="0"/>
          <w:szCs w:val="24"/>
          <w14:ligatures w14:val="none"/>
        </w:rPr>
        <w:t xml:space="preserve">  Mass-tort MDL courts routinely enter an order early in the litigation establishing a common-benefit fund that eventually compensates lawyers from anticipated settlement amounts for work done for the common benefit as well as reimburses leadership counsel for expenses incurred for common-benefit work, </w:t>
      </w:r>
      <w:r w:rsidRPr="004D7477">
        <w:rPr>
          <w:rFonts w:cs="Times New Roman"/>
          <w:i/>
          <w:iCs/>
          <w:color w:val="000000" w:themeColor="text1"/>
          <w:kern w:val="0"/>
          <w:szCs w:val="24"/>
          <w14:ligatures w14:val="none"/>
        </w:rPr>
        <w:t>e.g</w:t>
      </w:r>
      <w:r w:rsidRPr="004D7477">
        <w:rPr>
          <w:rFonts w:cs="Times New Roman"/>
          <w:color w:val="000000" w:themeColor="text1"/>
          <w:kern w:val="0"/>
          <w:szCs w:val="24"/>
          <w14:ligatures w14:val="none"/>
        </w:rPr>
        <w:t xml:space="preserve">., expert witnesses, that </w:t>
      </w:r>
      <w:r>
        <w:rPr>
          <w:rFonts w:cs="Times New Roman"/>
          <w:color w:val="000000" w:themeColor="text1"/>
          <w:kern w:val="0"/>
          <w:szCs w:val="24"/>
          <w14:ligatures w14:val="none"/>
        </w:rPr>
        <w:t>are</w:t>
      </w:r>
      <w:r w:rsidRPr="004D7477">
        <w:rPr>
          <w:rFonts w:cs="Times New Roman"/>
          <w:color w:val="000000" w:themeColor="text1"/>
          <w:kern w:val="0"/>
          <w:szCs w:val="24"/>
          <w14:ligatures w14:val="none"/>
        </w:rPr>
        <w:t xml:space="preserve"> paid promptly from monies funded by contributions from leadership counsel.</w:t>
      </w:r>
      <w:r w:rsidRPr="004D7477">
        <w:rPr>
          <w:rFonts w:cs="Times New Roman"/>
          <w:color w:val="000000" w:themeColor="text1"/>
          <w:kern w:val="0"/>
          <w:szCs w:val="24"/>
          <w:vertAlign w:val="superscript"/>
          <w14:ligatures w14:val="none"/>
        </w:rPr>
        <w:footnoteReference w:id="2"/>
      </w:r>
      <w:r w:rsidRPr="004D7477">
        <w:rPr>
          <w:rFonts w:cs="Times New Roman"/>
          <w:color w:val="000000" w:themeColor="text1"/>
          <w:kern w:val="0"/>
          <w:szCs w:val="24"/>
          <w14:ligatures w14:val="none"/>
        </w:rPr>
        <w:t xml:space="preserve">  Under </w:t>
      </w:r>
      <w:r>
        <w:rPr>
          <w:rFonts w:cs="Times New Roman"/>
          <w:color w:val="000000" w:themeColor="text1"/>
          <w:kern w:val="0"/>
          <w:szCs w:val="24"/>
          <w14:ligatures w14:val="none"/>
        </w:rPr>
        <w:t xml:space="preserve">common-benefit fund </w:t>
      </w:r>
      <w:r w:rsidRPr="004D7477">
        <w:rPr>
          <w:rFonts w:cs="Times New Roman"/>
          <w:color w:val="000000" w:themeColor="text1"/>
          <w:kern w:val="0"/>
          <w:szCs w:val="24"/>
          <w14:ligatures w14:val="none"/>
        </w:rPr>
        <w:t>protocols approved by the court, lawyers who consent to the arrangement are assessed an amount payable from their contingency fee based on a certain percentage of anticipated future settlement amounts to pay for common-benefit work (</w:t>
      </w:r>
      <w:r w:rsidRPr="004D7477">
        <w:rPr>
          <w:rFonts w:cs="Times New Roman"/>
          <w:i/>
          <w:iCs/>
          <w:color w:val="000000" w:themeColor="text1"/>
          <w:kern w:val="0"/>
          <w:szCs w:val="24"/>
          <w14:ligatures w14:val="none"/>
        </w:rPr>
        <w:t>e.g.,</w:t>
      </w:r>
      <w:r w:rsidRPr="004D7477">
        <w:rPr>
          <w:rFonts w:cs="Times New Roman"/>
          <w:color w:val="000000" w:themeColor="text1"/>
          <w:kern w:val="0"/>
          <w:szCs w:val="24"/>
          <w14:ligatures w14:val="none"/>
        </w:rPr>
        <w:t xml:space="preserve"> general-liability discovery, </w:t>
      </w:r>
      <w:r w:rsidRPr="004D7477">
        <w:rPr>
          <w:rFonts w:cs="Times New Roman"/>
          <w:i/>
          <w:iCs/>
          <w:color w:val="000000" w:themeColor="text1"/>
          <w:kern w:val="0"/>
          <w:szCs w:val="24"/>
          <w14:ligatures w14:val="none"/>
        </w:rPr>
        <w:t>etc</w:t>
      </w:r>
      <w:r w:rsidRPr="004D7477">
        <w:rPr>
          <w:rFonts w:cs="Times New Roman"/>
          <w:color w:val="000000" w:themeColor="text1"/>
          <w:kern w:val="0"/>
          <w:szCs w:val="24"/>
          <w14:ligatures w14:val="none"/>
        </w:rPr>
        <w:t>.)</w:t>
      </w:r>
      <w:r>
        <w:rPr>
          <w:rFonts w:cs="Times New Roman"/>
          <w:color w:val="000000" w:themeColor="text1"/>
          <w:kern w:val="0"/>
          <w:szCs w:val="24"/>
          <w14:ligatures w14:val="none"/>
        </w:rPr>
        <w:t xml:space="preserve"> and </w:t>
      </w:r>
      <w:r>
        <w:rPr>
          <w:rFonts w:cs="Times New Roman"/>
          <w:color w:val="000000" w:themeColor="text1"/>
          <w:kern w:val="0"/>
          <w:szCs w:val="24"/>
          <w14:ligatures w14:val="none"/>
        </w:rPr>
        <w:lastRenderedPageBreak/>
        <w:t>common expenses</w:t>
      </w:r>
      <w:r w:rsidRPr="004D7477">
        <w:rPr>
          <w:rFonts w:cs="Times New Roman"/>
          <w:color w:val="000000" w:themeColor="text1"/>
          <w:kern w:val="0"/>
          <w:szCs w:val="24"/>
          <w14:ligatures w14:val="none"/>
        </w:rPr>
        <w:t>.</w:t>
      </w:r>
      <w:r>
        <w:rPr>
          <w:rStyle w:val="FootnoteReference"/>
          <w:rFonts w:cs="Times New Roman"/>
          <w:szCs w:val="24"/>
        </w:rPr>
        <w:footnoteReference w:id="3"/>
      </w:r>
      <w:r w:rsidRPr="004D7477">
        <w:rPr>
          <w:rFonts w:cs="Times New Roman"/>
          <w:color w:val="000000" w:themeColor="text1"/>
          <w:kern w:val="0"/>
          <w:szCs w:val="24"/>
          <w14:ligatures w14:val="none"/>
        </w:rPr>
        <w:t xml:space="preserve"> The proceeds of the fund are distributed at the end of the litigation from settlement amounts.  </w:t>
      </w:r>
    </w:p>
    <w:p w14:paraId="71F22D45" w14:textId="77777777" w:rsidR="00FA6625" w:rsidRDefault="00FA6625" w:rsidP="00FA6625">
      <w:pPr>
        <w:spacing w:after="0" w:line="360" w:lineRule="auto"/>
        <w:ind w:firstLine="720"/>
        <w:jc w:val="both"/>
        <w:rPr>
          <w:rFonts w:cs="Times New Roman"/>
          <w:color w:val="000000" w:themeColor="text1"/>
          <w:kern w:val="0"/>
          <w:szCs w:val="24"/>
          <w14:ligatures w14:val="none"/>
        </w:rPr>
      </w:pPr>
      <w:r>
        <w:rPr>
          <w:rFonts w:cs="Times New Roman"/>
          <w:color w:val="000000" w:themeColor="text1"/>
          <w:kern w:val="0"/>
          <w:szCs w:val="24"/>
          <w14:ligatures w14:val="none"/>
        </w:rPr>
        <w:t>Rule 16.1 does not expressly authorize a court to establish a common-benefit fund.  Courts have relied on several rationales for establishing a common-benefit fund, including the common-fund doctrine, used most often in class actions but also applied in mass-tort MDLs.</w:t>
      </w:r>
      <w:r>
        <w:rPr>
          <w:rStyle w:val="FootnoteReference"/>
          <w:rFonts w:cs="Times New Roman"/>
          <w:szCs w:val="24"/>
        </w:rPr>
        <w:footnoteReference w:id="4"/>
      </w:r>
      <w:r>
        <w:rPr>
          <w:rFonts w:cs="Times New Roman"/>
          <w:color w:val="000000" w:themeColor="text1"/>
          <w:kern w:val="0"/>
          <w:szCs w:val="24"/>
          <w14:ligatures w14:val="none"/>
        </w:rPr>
        <w:t xml:space="preserve">  Under the doctrine, courts compensate attorneys whose work benefits others similarly situated under equity and </w:t>
      </w:r>
      <w:r w:rsidRPr="00E31F8E">
        <w:rPr>
          <w:rFonts w:cs="Times New Roman"/>
          <w:i/>
          <w:iCs/>
          <w:color w:val="000000" w:themeColor="text1"/>
          <w:kern w:val="0"/>
          <w:szCs w:val="24"/>
          <w14:ligatures w14:val="none"/>
        </w:rPr>
        <w:t>quantum meruit</w:t>
      </w:r>
      <w:r>
        <w:rPr>
          <w:rFonts w:cs="Times New Roman"/>
          <w:color w:val="000000" w:themeColor="text1"/>
          <w:kern w:val="0"/>
          <w:szCs w:val="24"/>
          <w14:ligatures w14:val="none"/>
        </w:rPr>
        <w:t xml:space="preserve"> principles. Courts also rely on their inherent case-management authority with support from Fed. R. Civ. P. 16(c)(2)(L), which authorizes courts to “take appropriate action on ... adopting special procedures for managing potentially difficult or protracted actions that may involve complex issues....”  Finally, courts derive express authority to set common-benefit fees from the terms of the settlement agreement of the parties, to which their primary attorneys consented.</w:t>
      </w:r>
      <w:r>
        <w:rPr>
          <w:rStyle w:val="FootnoteReference"/>
          <w:rFonts w:cs="Times New Roman"/>
          <w:szCs w:val="24"/>
        </w:rPr>
        <w:footnoteReference w:id="5"/>
      </w:r>
      <w:r>
        <w:rPr>
          <w:rFonts w:cs="Times New Roman"/>
          <w:color w:val="000000" w:themeColor="text1"/>
          <w:kern w:val="0"/>
          <w:szCs w:val="24"/>
          <w14:ligatures w14:val="none"/>
        </w:rPr>
        <w:t xml:space="preserve"> But a court’s authority to establish a common-benefit fund in an MDL is not without doubters, particularly in academic literature.</w:t>
      </w:r>
      <w:r>
        <w:rPr>
          <w:rStyle w:val="FootnoteReference"/>
          <w:rFonts w:cs="Times New Roman"/>
          <w:szCs w:val="24"/>
        </w:rPr>
        <w:footnoteReference w:id="6"/>
      </w:r>
      <w:r>
        <w:rPr>
          <w:rFonts w:cs="Times New Roman"/>
          <w:color w:val="000000" w:themeColor="text1"/>
          <w:kern w:val="0"/>
          <w:szCs w:val="24"/>
          <w14:ligatures w14:val="none"/>
        </w:rPr>
        <w:t xml:space="preserve"> Nonetheless, no court of appeals has rendered a contrary ruling, and common-benefit funds have been universally established in mass-tort MDLs.</w:t>
      </w:r>
      <w:r>
        <w:rPr>
          <w:rStyle w:val="FootnoteReference"/>
          <w:rFonts w:cs="Times New Roman"/>
          <w:szCs w:val="24"/>
        </w:rPr>
        <w:footnoteReference w:id="7"/>
      </w:r>
      <w:r>
        <w:rPr>
          <w:rFonts w:cs="Times New Roman"/>
          <w:color w:val="000000" w:themeColor="text1"/>
          <w:kern w:val="0"/>
          <w:szCs w:val="24"/>
          <w14:ligatures w14:val="none"/>
        </w:rPr>
        <w:t xml:space="preserve"> </w:t>
      </w:r>
    </w:p>
    <w:p w14:paraId="72BF9DE9" w14:textId="77777777" w:rsidR="00FA6625" w:rsidRPr="004D7477" w:rsidRDefault="00FA6625" w:rsidP="00FA6625">
      <w:pPr>
        <w:spacing w:after="0" w:line="240" w:lineRule="auto"/>
        <w:ind w:left="720" w:right="720"/>
        <w:jc w:val="both"/>
        <w:rPr>
          <w:kern w:val="0"/>
          <w14:ligatures w14:val="none"/>
        </w:rPr>
      </w:pPr>
      <w:r w:rsidRPr="004D7477">
        <w:rPr>
          <w:rFonts w:cs="Times New Roman"/>
          <w:b/>
          <w:bCs/>
          <w:kern w:val="0"/>
          <w:szCs w:val="24"/>
          <w14:ligatures w14:val="none"/>
        </w:rPr>
        <w:t>Best Practice MDL-§ 7(d)</w:t>
      </w:r>
      <w:r>
        <w:rPr>
          <w:rFonts w:cs="Times New Roman"/>
          <w:b/>
          <w:bCs/>
          <w:kern w:val="0"/>
          <w:szCs w:val="24"/>
          <w14:ligatures w14:val="none"/>
        </w:rPr>
        <w:t>(</w:t>
      </w:r>
      <w:proofErr w:type="spellStart"/>
      <w:r>
        <w:rPr>
          <w:rFonts w:cs="Times New Roman"/>
          <w:b/>
          <w:bCs/>
          <w:kern w:val="0"/>
          <w:szCs w:val="24"/>
          <w14:ligatures w14:val="none"/>
        </w:rPr>
        <w:t>i</w:t>
      </w:r>
      <w:proofErr w:type="spellEnd"/>
      <w:r>
        <w:rPr>
          <w:rFonts w:cs="Times New Roman"/>
          <w:b/>
          <w:bCs/>
          <w:kern w:val="0"/>
          <w:szCs w:val="24"/>
          <w14:ligatures w14:val="none"/>
        </w:rPr>
        <w:t>)</w:t>
      </w:r>
      <w:r w:rsidRPr="004D7477">
        <w:rPr>
          <w:rFonts w:cs="Times New Roman"/>
          <w:b/>
          <w:bCs/>
          <w:kern w:val="0"/>
          <w:szCs w:val="24"/>
          <w14:ligatures w14:val="none"/>
        </w:rPr>
        <w:t>:</w:t>
      </w:r>
      <w:r w:rsidRPr="004D7477">
        <w:rPr>
          <w:rFonts w:cs="Times New Roman"/>
          <w:kern w:val="0"/>
          <w:szCs w:val="24"/>
          <w14:ligatures w14:val="none"/>
        </w:rPr>
        <w:t xml:space="preserve"> </w:t>
      </w:r>
      <w:r>
        <w:rPr>
          <w:rFonts w:cs="Times New Roman"/>
          <w:kern w:val="0"/>
          <w:szCs w:val="24"/>
          <w14:ligatures w14:val="none"/>
        </w:rPr>
        <w:t xml:space="preserve">A court should enter an order establishing a </w:t>
      </w:r>
      <w:r>
        <w:rPr>
          <w:kern w:val="0"/>
          <w14:ligatures w14:val="none"/>
        </w:rPr>
        <w:t xml:space="preserve">common-benefit fund early in the litigation to prevent later disputes about the eligibility of work performed by lawyers </w:t>
      </w:r>
      <w:proofErr w:type="gramStart"/>
      <w:r>
        <w:rPr>
          <w:kern w:val="0"/>
          <w14:ligatures w14:val="none"/>
        </w:rPr>
        <w:t>compensable</w:t>
      </w:r>
      <w:proofErr w:type="gramEnd"/>
      <w:r>
        <w:rPr>
          <w:kern w:val="0"/>
          <w14:ligatures w14:val="none"/>
        </w:rPr>
        <w:t xml:space="preserve"> by the fund. </w:t>
      </w:r>
      <w:r w:rsidRPr="004D7477">
        <w:rPr>
          <w:kern w:val="0"/>
          <w14:ligatures w14:val="none"/>
        </w:rPr>
        <w:t xml:space="preserve">Permanent No. </w:t>
      </w:r>
      <w:r w:rsidRPr="004D7477">
        <w:rPr>
          <w:rFonts w:cs="Times New Roman"/>
          <w:kern w:val="0"/>
          <w:szCs w:val="24"/>
          <w14:ligatures w14:val="none"/>
        </w:rPr>
        <w:t>MDL-§ 14</w:t>
      </w:r>
      <w:r w:rsidRPr="004D7477">
        <w:rPr>
          <w:kern w:val="0"/>
          <w14:ligatures w14:val="none"/>
        </w:rPr>
        <w:t>(d)</w:t>
      </w:r>
      <w:r>
        <w:rPr>
          <w:kern w:val="0"/>
          <w14:ligatures w14:val="none"/>
        </w:rPr>
        <w:t>(</w:t>
      </w:r>
      <w:proofErr w:type="spellStart"/>
      <w:r>
        <w:rPr>
          <w:kern w:val="0"/>
          <w14:ligatures w14:val="none"/>
        </w:rPr>
        <w:t>i</w:t>
      </w:r>
      <w:proofErr w:type="spellEnd"/>
      <w:r>
        <w:rPr>
          <w:kern w:val="0"/>
          <w14:ligatures w14:val="none"/>
        </w:rPr>
        <w:t>)</w:t>
      </w:r>
      <w:r w:rsidRPr="004D7477">
        <w:rPr>
          <w:kern w:val="0"/>
          <w14:ligatures w14:val="none"/>
        </w:rPr>
        <w:t>.</w:t>
      </w:r>
    </w:p>
    <w:p w14:paraId="3C19D893" w14:textId="77777777" w:rsidR="00FA6625" w:rsidRDefault="00FA6625" w:rsidP="00FA6625">
      <w:pPr>
        <w:spacing w:after="0" w:line="240" w:lineRule="auto"/>
        <w:ind w:firstLine="720"/>
        <w:jc w:val="both"/>
        <w:rPr>
          <w:rFonts w:cs="Times New Roman"/>
          <w:color w:val="000000" w:themeColor="text1"/>
          <w:kern w:val="0"/>
          <w:szCs w:val="24"/>
          <w14:ligatures w14:val="none"/>
        </w:rPr>
      </w:pPr>
    </w:p>
    <w:p w14:paraId="46964CA7" w14:textId="77777777" w:rsidR="00FA6625" w:rsidRPr="004D7477" w:rsidRDefault="00FA6625" w:rsidP="00FA6625">
      <w:pPr>
        <w:spacing w:after="0" w:line="360" w:lineRule="auto"/>
        <w:ind w:firstLine="720"/>
        <w:jc w:val="both"/>
        <w:rPr>
          <w:rFonts w:cs="Times New Roman"/>
          <w:color w:val="000000" w:themeColor="text1"/>
          <w:kern w:val="0"/>
          <w:szCs w:val="24"/>
          <w14:ligatures w14:val="none"/>
        </w:rPr>
      </w:pPr>
      <w:r w:rsidRPr="004D7477">
        <w:rPr>
          <w:rFonts w:cs="Times New Roman"/>
          <w:color w:val="000000" w:themeColor="text1"/>
          <w:kern w:val="0"/>
          <w:szCs w:val="24"/>
          <w14:ligatures w14:val="none"/>
        </w:rPr>
        <w:t xml:space="preserve">Transferee courts in mass-tort MDLs may issue an order early in the litigation, which establishes </w:t>
      </w:r>
      <w:r>
        <w:rPr>
          <w:rFonts w:cs="Times New Roman"/>
          <w:color w:val="000000" w:themeColor="text1"/>
          <w:kern w:val="0"/>
          <w:szCs w:val="24"/>
          <w14:ligatures w14:val="none"/>
        </w:rPr>
        <w:t xml:space="preserve">a common-benefit </w:t>
      </w:r>
      <w:r w:rsidRPr="004D7477">
        <w:rPr>
          <w:rFonts w:cs="Times New Roman"/>
          <w:color w:val="000000" w:themeColor="text1"/>
          <w:kern w:val="0"/>
          <w:szCs w:val="24"/>
          <w14:ligatures w14:val="none"/>
        </w:rPr>
        <w:t xml:space="preserve">fund and </w:t>
      </w:r>
      <w:r>
        <w:rPr>
          <w:rFonts w:cs="Times New Roman"/>
          <w:color w:val="000000" w:themeColor="text1"/>
          <w:kern w:val="0"/>
          <w:szCs w:val="24"/>
          <w14:ligatures w14:val="none"/>
        </w:rPr>
        <w:t xml:space="preserve">requirements for qualified time and expenses eligible for </w:t>
      </w:r>
      <w:r>
        <w:rPr>
          <w:rFonts w:cs="Times New Roman"/>
          <w:color w:val="000000" w:themeColor="text1"/>
          <w:kern w:val="0"/>
          <w:szCs w:val="24"/>
          <w14:ligatures w14:val="none"/>
        </w:rPr>
        <w:lastRenderedPageBreak/>
        <w:t>reimbursement</w:t>
      </w:r>
      <w:r w:rsidRPr="004D7477">
        <w:rPr>
          <w:rFonts w:cs="Times New Roman"/>
          <w:color w:val="000000" w:themeColor="text1"/>
          <w:kern w:val="0"/>
          <w:szCs w:val="24"/>
          <w14:ligatures w14:val="none"/>
        </w:rPr>
        <w:t>.</w:t>
      </w:r>
      <w:r w:rsidRPr="004D7477">
        <w:rPr>
          <w:rFonts w:cs="Times New Roman"/>
          <w:color w:val="000000" w:themeColor="text1"/>
          <w:kern w:val="0"/>
          <w:szCs w:val="24"/>
          <w:vertAlign w:val="superscript"/>
          <w14:ligatures w14:val="none"/>
        </w:rPr>
        <w:footnoteReference w:id="8"/>
      </w:r>
      <w:r w:rsidRPr="004D7477">
        <w:rPr>
          <w:rFonts w:cs="Times New Roman"/>
          <w:color w:val="000000" w:themeColor="text1"/>
          <w:kern w:val="0"/>
          <w:szCs w:val="24"/>
          <w14:ligatures w14:val="none"/>
        </w:rPr>
        <w:t xml:space="preserve"> It is critical that any common-benefit fund be transparent and clearly explained to all counsel in the MDL. </w:t>
      </w:r>
      <w:r>
        <w:rPr>
          <w:rFonts w:cs="Times New Roman"/>
          <w:color w:val="000000" w:themeColor="text1"/>
          <w:kern w:val="0"/>
          <w:szCs w:val="24"/>
          <w14:ligatures w14:val="none"/>
        </w:rPr>
        <w:t xml:space="preserve"> Individually retained plaintiff lawyers (IRPAs) should also make clear to their clients that the common-benefit assessment is withdrawn from the lawyer’s contingency fee and not from the client’s recovery.</w:t>
      </w:r>
    </w:p>
    <w:p w14:paraId="0F0786ED" w14:textId="77777777" w:rsidR="00FA6625" w:rsidRPr="004D7477" w:rsidRDefault="00FA6625" w:rsidP="00FA6625">
      <w:pPr>
        <w:spacing w:after="0" w:line="360" w:lineRule="auto"/>
        <w:ind w:firstLine="720"/>
        <w:jc w:val="both"/>
        <w:rPr>
          <w:rFonts w:cs="Times New Roman"/>
          <w:color w:val="000000" w:themeColor="text1"/>
          <w:kern w:val="0"/>
          <w:szCs w:val="24"/>
          <w14:ligatures w14:val="none"/>
        </w:rPr>
      </w:pPr>
      <w:r>
        <w:t xml:space="preserve">Estimating a common-benefit assessment based on a potential settlement to compensate for common-benefit work is challenging to determine at the start of an MDL. </w:t>
      </w:r>
      <w:r>
        <w:rPr>
          <w:rFonts w:cs="Times New Roman"/>
          <w:color w:val="000000" w:themeColor="text1"/>
          <w:kern w:val="0"/>
          <w:szCs w:val="24"/>
          <w14:ligatures w14:val="none"/>
        </w:rPr>
        <w:t>In the early 2000’s,</w:t>
      </w:r>
      <w:r w:rsidRPr="00E863A3">
        <w:rPr>
          <w:rFonts w:cs="Times New Roman"/>
          <w:color w:val="000000" w:themeColor="text1"/>
          <w:kern w:val="0"/>
          <w:szCs w:val="24"/>
          <w14:ligatures w14:val="none"/>
        </w:rPr>
        <w:t xml:space="preserve"> courts often started with low fixed </w:t>
      </w:r>
      <w:r>
        <w:rPr>
          <w:rFonts w:cs="Times New Roman"/>
          <w:color w:val="000000" w:themeColor="text1"/>
          <w:kern w:val="0"/>
          <w:szCs w:val="24"/>
          <w14:ligatures w14:val="none"/>
        </w:rPr>
        <w:t>common-benefit fund</w:t>
      </w:r>
      <w:r w:rsidRPr="00E863A3">
        <w:rPr>
          <w:rFonts w:cs="Times New Roman"/>
          <w:color w:val="000000" w:themeColor="text1"/>
          <w:kern w:val="0"/>
          <w:szCs w:val="24"/>
          <w14:ligatures w14:val="none"/>
        </w:rPr>
        <w:t xml:space="preserve"> percentages but later increased them to cover</w:t>
      </w:r>
      <w:r>
        <w:rPr>
          <w:rFonts w:cs="Times New Roman"/>
          <w:color w:val="000000" w:themeColor="text1"/>
          <w:kern w:val="0"/>
          <w:szCs w:val="24"/>
          <w14:ligatures w14:val="none"/>
        </w:rPr>
        <w:t xml:space="preserve"> higher-than-expected </w:t>
      </w:r>
      <w:proofErr w:type="gramStart"/>
      <w:r>
        <w:rPr>
          <w:rFonts w:cs="Times New Roman"/>
          <w:color w:val="000000" w:themeColor="text1"/>
          <w:kern w:val="0"/>
          <w:szCs w:val="24"/>
          <w14:ligatures w14:val="none"/>
        </w:rPr>
        <w:t>attorney’s</w:t>
      </w:r>
      <w:proofErr w:type="gramEnd"/>
      <w:r>
        <w:rPr>
          <w:rFonts w:cs="Times New Roman"/>
          <w:color w:val="000000" w:themeColor="text1"/>
          <w:kern w:val="0"/>
          <w:szCs w:val="24"/>
          <w14:ligatures w14:val="none"/>
        </w:rPr>
        <w:t xml:space="preserve"> fees</w:t>
      </w:r>
      <w:r w:rsidRPr="00E863A3">
        <w:rPr>
          <w:rFonts w:cs="Times New Roman"/>
          <w:color w:val="000000" w:themeColor="text1"/>
          <w:kern w:val="0"/>
          <w:szCs w:val="24"/>
          <w14:ligatures w14:val="none"/>
        </w:rPr>
        <w:t>, much to the surprise of the lawyers being billed.</w:t>
      </w:r>
      <w:r>
        <w:rPr>
          <w:rFonts w:cs="Times New Roman"/>
          <w:color w:val="000000" w:themeColor="text1"/>
          <w:kern w:val="0"/>
          <w:szCs w:val="24"/>
          <w14:ligatures w14:val="none"/>
        </w:rPr>
        <w:t xml:space="preserve"> </w:t>
      </w:r>
      <w:r w:rsidRPr="004D7477">
        <w:rPr>
          <w:rFonts w:cs="Times New Roman"/>
          <w:color w:val="000000" w:themeColor="text1"/>
          <w:kern w:val="0"/>
          <w:szCs w:val="24"/>
          <w14:ligatures w14:val="none"/>
        </w:rPr>
        <w:t xml:space="preserve">Other courts deferred fixing the percentage until the </w:t>
      </w:r>
      <w:r>
        <w:rPr>
          <w:rFonts w:cs="Times New Roman"/>
          <w:color w:val="000000" w:themeColor="text1"/>
          <w:kern w:val="0"/>
          <w:szCs w:val="24"/>
          <w14:ligatures w14:val="none"/>
        </w:rPr>
        <w:t>attorney’s fees</w:t>
      </w:r>
      <w:r w:rsidRPr="004D7477">
        <w:rPr>
          <w:rFonts w:cs="Times New Roman"/>
          <w:color w:val="000000" w:themeColor="text1"/>
          <w:kern w:val="0"/>
          <w:szCs w:val="24"/>
          <w14:ligatures w14:val="none"/>
        </w:rPr>
        <w:t xml:space="preserve"> </w:t>
      </w:r>
      <w:r>
        <w:rPr>
          <w:rFonts w:cs="Times New Roman"/>
          <w:color w:val="000000" w:themeColor="text1"/>
          <w:kern w:val="0"/>
          <w:szCs w:val="24"/>
          <w14:ligatures w14:val="none"/>
        </w:rPr>
        <w:t>were</w:t>
      </w:r>
      <w:r w:rsidRPr="004D7477">
        <w:rPr>
          <w:rFonts w:cs="Times New Roman"/>
          <w:color w:val="000000" w:themeColor="text1"/>
          <w:kern w:val="0"/>
          <w:szCs w:val="24"/>
          <w14:ligatures w14:val="none"/>
        </w:rPr>
        <w:t xml:space="preserve"> actually incurred, advising the parties periodically of the expected percentage and any adjustments. </w:t>
      </w:r>
    </w:p>
    <w:p w14:paraId="2ECFE6EC" w14:textId="77777777" w:rsidR="00FA6625" w:rsidRPr="004D7477" w:rsidRDefault="00FA6625" w:rsidP="00FA6625">
      <w:pPr>
        <w:spacing w:after="0" w:line="360" w:lineRule="auto"/>
        <w:ind w:firstLine="720"/>
        <w:jc w:val="both"/>
        <w:rPr>
          <w:rFonts w:cs="Times New Roman"/>
          <w:color w:val="000000" w:themeColor="text1"/>
          <w:kern w:val="0"/>
          <w:szCs w:val="24"/>
          <w14:ligatures w14:val="none"/>
        </w:rPr>
      </w:pPr>
      <w:r w:rsidRPr="004E0B47">
        <w:rPr>
          <w:rFonts w:cs="Times New Roman"/>
          <w:color w:val="1F1F1F"/>
          <w:szCs w:val="24"/>
          <w:shd w:val="clear" w:color="auto" w:fill="FFFFFF"/>
        </w:rPr>
        <w:t>Because common-benefit work starts immediately, parties should be informed of assessments and potential increases as early as possible</w:t>
      </w:r>
      <w:r>
        <w:rPr>
          <w:rFonts w:ascii="Arial" w:hAnsi="Arial" w:cs="Arial"/>
          <w:color w:val="1F1F1F"/>
          <w:sz w:val="20"/>
          <w:szCs w:val="20"/>
          <w:shd w:val="clear" w:color="auto" w:fill="FFFFFF"/>
        </w:rPr>
        <w:t>.</w:t>
      </w:r>
      <w:r>
        <w:rPr>
          <w:rFonts w:cs="Times New Roman"/>
          <w:color w:val="000000" w:themeColor="text1"/>
          <w:kern w:val="0"/>
          <w:szCs w:val="24"/>
          <w14:ligatures w14:val="none"/>
        </w:rPr>
        <w:t xml:space="preserve">  Common-benefit work product includes all work performed for the benefit of all plaintiffs, including pretrial matters, discovery, trial preparation, a potential settlement process, and all other work that advances the litigation to conclusion.</w:t>
      </w:r>
      <w:r>
        <w:rPr>
          <w:rStyle w:val="FootnoteReference"/>
          <w:rFonts w:cs="Times New Roman"/>
          <w:szCs w:val="24"/>
        </w:rPr>
        <w:footnoteReference w:id="9"/>
      </w:r>
      <w:r w:rsidRPr="004D7477">
        <w:rPr>
          <w:rFonts w:cs="Times New Roman"/>
          <w:color w:val="000000" w:themeColor="text1"/>
          <w:kern w:val="0"/>
          <w:szCs w:val="24"/>
          <w14:ligatures w14:val="none"/>
        </w:rPr>
        <w:t xml:space="preserve"> </w:t>
      </w:r>
      <w:r>
        <w:rPr>
          <w:rFonts w:cs="Times New Roman"/>
          <w:color w:val="000000" w:themeColor="text1"/>
          <w:kern w:val="0"/>
          <w:szCs w:val="24"/>
          <w14:ligatures w14:val="none"/>
        </w:rPr>
        <w:t>T</w:t>
      </w:r>
      <w:r w:rsidRPr="004D7477">
        <w:rPr>
          <w:rFonts w:cs="Times New Roman"/>
          <w:color w:val="000000" w:themeColor="text1"/>
          <w:kern w:val="0"/>
          <w:szCs w:val="24"/>
          <w14:ligatures w14:val="none"/>
        </w:rPr>
        <w:t>ransferee judge</w:t>
      </w:r>
      <w:r>
        <w:rPr>
          <w:rFonts w:cs="Times New Roman"/>
          <w:color w:val="000000" w:themeColor="text1"/>
          <w:kern w:val="0"/>
          <w:szCs w:val="24"/>
          <w14:ligatures w14:val="none"/>
        </w:rPr>
        <w:t>s</w:t>
      </w:r>
      <w:r w:rsidRPr="004D7477">
        <w:rPr>
          <w:rFonts w:cs="Times New Roman"/>
          <w:color w:val="000000" w:themeColor="text1"/>
          <w:kern w:val="0"/>
          <w:szCs w:val="24"/>
          <w14:ligatures w14:val="none"/>
        </w:rPr>
        <w:t xml:space="preserve"> typically </w:t>
      </w:r>
      <w:r>
        <w:rPr>
          <w:rFonts w:cs="Times New Roman"/>
          <w:color w:val="000000" w:themeColor="text1"/>
          <w:kern w:val="0"/>
          <w:szCs w:val="24"/>
          <w14:ligatures w14:val="none"/>
        </w:rPr>
        <w:t>approve</w:t>
      </w:r>
      <w:r w:rsidRPr="004D7477">
        <w:rPr>
          <w:rFonts w:cs="Times New Roman"/>
          <w:color w:val="000000" w:themeColor="text1"/>
          <w:kern w:val="0"/>
          <w:szCs w:val="24"/>
          <w14:ligatures w14:val="none"/>
        </w:rPr>
        <w:t xml:space="preserve"> a lodestar-reporting method and delineate compensable responsibilities, including expenses incurred by leadership </w:t>
      </w:r>
      <w:proofErr w:type="spellStart"/>
      <w:r w:rsidRPr="004D7477">
        <w:rPr>
          <w:rFonts w:cs="Times New Roman"/>
          <w:color w:val="000000" w:themeColor="text1"/>
          <w:kern w:val="0"/>
          <w:szCs w:val="24"/>
          <w14:ligatures w14:val="none"/>
        </w:rPr>
        <w:t>counsel</w:t>
      </w:r>
      <w:proofErr w:type="spellEnd"/>
      <w:r w:rsidRPr="004D7477">
        <w:rPr>
          <w:rFonts w:cs="Times New Roman"/>
          <w:color w:val="000000" w:themeColor="text1"/>
          <w:kern w:val="0"/>
          <w:szCs w:val="24"/>
          <w14:ligatures w14:val="none"/>
        </w:rPr>
        <w:t>, determine the method of compensation, specif</w:t>
      </w:r>
      <w:r>
        <w:rPr>
          <w:rFonts w:cs="Times New Roman"/>
          <w:color w:val="000000" w:themeColor="text1"/>
          <w:kern w:val="0"/>
          <w:szCs w:val="24"/>
          <w14:ligatures w14:val="none"/>
        </w:rPr>
        <w:t>y</w:t>
      </w:r>
      <w:r w:rsidRPr="004D7477">
        <w:rPr>
          <w:rFonts w:cs="Times New Roman"/>
          <w:color w:val="000000" w:themeColor="text1"/>
          <w:kern w:val="0"/>
          <w:szCs w:val="24"/>
          <w14:ligatures w14:val="none"/>
        </w:rPr>
        <w:t xml:space="preserve"> what records to maintain, provide guidelines for allowable fees and expenses, and require counsel to contemporaneously submit detailed reports of their work. </w:t>
      </w:r>
    </w:p>
    <w:p w14:paraId="78DAC7BE" w14:textId="77777777" w:rsidR="00FA6625" w:rsidRPr="004D7477" w:rsidRDefault="00FA6625" w:rsidP="00FA6625">
      <w:pPr>
        <w:spacing w:after="0" w:line="360" w:lineRule="auto"/>
        <w:ind w:firstLine="720"/>
        <w:jc w:val="both"/>
        <w:rPr>
          <w:rFonts w:cs="Times New Roman"/>
          <w:color w:val="000000" w:themeColor="text1"/>
          <w:kern w:val="0"/>
          <w:szCs w:val="24"/>
          <w14:ligatures w14:val="none"/>
        </w:rPr>
      </w:pPr>
      <w:r w:rsidRPr="004D7477">
        <w:rPr>
          <w:rFonts w:cs="Times New Roman"/>
          <w:color w:val="000000" w:themeColor="text1"/>
          <w:kern w:val="0"/>
          <w:szCs w:val="24"/>
          <w14:ligatures w14:val="none"/>
        </w:rPr>
        <w:t xml:space="preserve">Although </w:t>
      </w:r>
      <w:r>
        <w:rPr>
          <w:rFonts w:cs="Times New Roman"/>
          <w:color w:val="000000" w:themeColor="text1"/>
          <w:kern w:val="0"/>
          <w:szCs w:val="24"/>
          <w14:ligatures w14:val="none"/>
        </w:rPr>
        <w:t>a</w:t>
      </w:r>
      <w:r w:rsidRPr="004D7477">
        <w:rPr>
          <w:rFonts w:cs="Times New Roman"/>
          <w:color w:val="000000" w:themeColor="text1"/>
          <w:kern w:val="0"/>
          <w:szCs w:val="24"/>
          <w14:ligatures w14:val="none"/>
        </w:rPr>
        <w:t xml:space="preserve"> court </w:t>
      </w:r>
      <w:r>
        <w:rPr>
          <w:rFonts w:cs="Times New Roman"/>
          <w:color w:val="000000" w:themeColor="text1"/>
          <w:kern w:val="0"/>
          <w:szCs w:val="24"/>
          <w14:ligatures w14:val="none"/>
        </w:rPr>
        <w:t>may</w:t>
      </w:r>
      <w:r w:rsidRPr="004D7477">
        <w:rPr>
          <w:rFonts w:cs="Times New Roman"/>
          <w:color w:val="000000" w:themeColor="text1"/>
          <w:kern w:val="0"/>
          <w:szCs w:val="24"/>
          <w14:ligatures w14:val="none"/>
        </w:rPr>
        <w:t xml:space="preserve"> defer issuing an order fixing the “final” percentage for the common-benefit fund until it appoints leadership counsel and gets their input, it should not “defer entering a specific order relating to a common benefit </w:t>
      </w:r>
      <w:r>
        <w:rPr>
          <w:rFonts w:cs="Times New Roman"/>
          <w:color w:val="000000" w:themeColor="text1"/>
          <w:kern w:val="0"/>
          <w:szCs w:val="24"/>
          <w14:ligatures w14:val="none"/>
        </w:rPr>
        <w:t xml:space="preserve">fee </w:t>
      </w:r>
      <w:r w:rsidRPr="004D7477">
        <w:rPr>
          <w:rFonts w:cs="Times New Roman"/>
          <w:color w:val="000000" w:themeColor="text1"/>
          <w:kern w:val="0"/>
          <w:szCs w:val="24"/>
          <w14:ligatures w14:val="none"/>
        </w:rPr>
        <w:t>and expenses until well into the proceedings” as suggested in the Committee Note to Rule 16.1.</w:t>
      </w:r>
      <w:r w:rsidRPr="004D7477">
        <w:rPr>
          <w:rFonts w:cs="Times New Roman"/>
          <w:color w:val="000000" w:themeColor="text1"/>
          <w:kern w:val="0"/>
          <w:szCs w:val="24"/>
          <w:vertAlign w:val="superscript"/>
          <w14:ligatures w14:val="none"/>
        </w:rPr>
        <w:footnoteReference w:id="10"/>
      </w:r>
      <w:r w:rsidRPr="004D7477">
        <w:rPr>
          <w:rFonts w:cs="Times New Roman"/>
          <w:color w:val="000000" w:themeColor="text1"/>
          <w:kern w:val="0"/>
          <w:szCs w:val="24"/>
          <w14:ligatures w14:val="none"/>
        </w:rPr>
        <w:t xml:space="preserve">   Leadership is incurring substantial expenses, often in the tens of millions of dollars, early in the litigation.</w:t>
      </w:r>
      <w:r w:rsidRPr="004D7477">
        <w:rPr>
          <w:rFonts w:cs="Times New Roman"/>
          <w:color w:val="000000" w:themeColor="text1"/>
          <w:kern w:val="0"/>
          <w:szCs w:val="24"/>
          <w:vertAlign w:val="superscript"/>
          <w14:ligatures w14:val="none"/>
        </w:rPr>
        <w:footnoteReference w:id="11"/>
      </w:r>
      <w:r w:rsidRPr="004D7477">
        <w:rPr>
          <w:rFonts w:cs="Times New Roman"/>
          <w:color w:val="000000" w:themeColor="text1"/>
          <w:kern w:val="0"/>
          <w:szCs w:val="24"/>
          <w14:ligatures w14:val="none"/>
        </w:rPr>
        <w:t xml:space="preserve">  It is unfair for leadership to pay such large amounts of money without official recognition that compensation based on anticipated settlement amounts will be approved by the court. More importantly, </w:t>
      </w:r>
      <w:r>
        <w:rPr>
          <w:rFonts w:cs="Times New Roman"/>
          <w:color w:val="000000" w:themeColor="text1"/>
          <w:kern w:val="0"/>
          <w:szCs w:val="24"/>
          <w14:ligatures w14:val="none"/>
        </w:rPr>
        <w:t>w</w:t>
      </w:r>
      <w:r w:rsidRPr="004E0B47">
        <w:rPr>
          <w:rFonts w:cs="Times New Roman"/>
          <w:color w:val="1F1F1F"/>
          <w:szCs w:val="24"/>
          <w:shd w:val="clear" w:color="auto" w:fill="FFFFFF"/>
        </w:rPr>
        <w:t>ithout establishing court-</w:t>
      </w:r>
      <w:r w:rsidRPr="004E0B47">
        <w:rPr>
          <w:rFonts w:cs="Times New Roman"/>
          <w:color w:val="1F1F1F"/>
          <w:szCs w:val="24"/>
          <w:shd w:val="clear" w:color="auto" w:fill="FFFFFF"/>
        </w:rPr>
        <w:lastRenderedPageBreak/>
        <w:t xml:space="preserve">approved compensation criteria early on, disputes over work </w:t>
      </w:r>
      <w:proofErr w:type="gramStart"/>
      <w:r w:rsidRPr="004E0B47">
        <w:rPr>
          <w:rFonts w:cs="Times New Roman"/>
          <w:color w:val="1F1F1F"/>
          <w:szCs w:val="24"/>
          <w:shd w:val="clear" w:color="auto" w:fill="FFFFFF"/>
        </w:rPr>
        <w:t>performed</w:t>
      </w:r>
      <w:proofErr w:type="gramEnd"/>
      <w:r w:rsidRPr="004E0B47">
        <w:rPr>
          <w:rFonts w:cs="Times New Roman"/>
          <w:color w:val="1F1F1F"/>
          <w:szCs w:val="24"/>
          <w:shd w:val="clear" w:color="auto" w:fill="FFFFFF"/>
        </w:rPr>
        <w:t xml:space="preserve"> months or years prior are inevitable once fund distributions begin.</w:t>
      </w:r>
      <w:r w:rsidRPr="004D7477" w:rsidDel="0019316B">
        <w:rPr>
          <w:rFonts w:cs="Times New Roman"/>
          <w:color w:val="000000" w:themeColor="text1"/>
          <w:kern w:val="0"/>
          <w:szCs w:val="24"/>
          <w14:ligatures w14:val="none"/>
        </w:rPr>
        <w:t xml:space="preserve"> </w:t>
      </w:r>
    </w:p>
    <w:p w14:paraId="7C2DC652" w14:textId="77777777" w:rsidR="00FA6625" w:rsidRDefault="00FA6625" w:rsidP="00FA6625">
      <w:pPr>
        <w:spacing w:after="0" w:line="360" w:lineRule="auto"/>
        <w:ind w:firstLine="720"/>
        <w:jc w:val="both"/>
        <w:rPr>
          <w:rFonts w:cs="Times New Roman"/>
          <w:color w:val="000000" w:themeColor="text1"/>
          <w:kern w:val="0"/>
          <w:szCs w:val="24"/>
          <w14:ligatures w14:val="none"/>
        </w:rPr>
      </w:pPr>
      <w:r w:rsidRPr="004D7477">
        <w:rPr>
          <w:rFonts w:cs="Times New Roman"/>
          <w:color w:val="000000" w:themeColor="text1"/>
          <w:kern w:val="0"/>
          <w:szCs w:val="24"/>
          <w14:ligatures w14:val="none"/>
        </w:rPr>
        <w:t>Courts have imposed a common-benefit assessment on lawyers in state-court actions related to the MDL on consent of the lawyers and sometimes more controversially without the state-court lawyers’ consent.</w:t>
      </w:r>
      <w:r w:rsidRPr="004D7477">
        <w:rPr>
          <w:rFonts w:cs="Times New Roman"/>
          <w:color w:val="000000" w:themeColor="text1"/>
          <w:kern w:val="0"/>
          <w:szCs w:val="24"/>
          <w:vertAlign w:val="superscript"/>
          <w14:ligatures w14:val="none"/>
        </w:rPr>
        <w:footnoteReference w:id="12"/>
      </w:r>
      <w:r w:rsidRPr="004D7477">
        <w:rPr>
          <w:rFonts w:cs="Times New Roman"/>
          <w:color w:val="000000" w:themeColor="text1"/>
          <w:kern w:val="0"/>
          <w:szCs w:val="24"/>
          <w14:ligatures w14:val="none"/>
        </w:rPr>
        <w:t xml:space="preserve">   </w:t>
      </w:r>
    </w:p>
    <w:p w14:paraId="031E3333" w14:textId="77777777" w:rsidR="00FA6625" w:rsidRPr="004D7477" w:rsidRDefault="00FA6625" w:rsidP="00FA6625">
      <w:pPr>
        <w:spacing w:after="0" w:line="240" w:lineRule="auto"/>
        <w:ind w:left="720" w:right="720"/>
        <w:jc w:val="both"/>
        <w:rPr>
          <w:kern w:val="0"/>
          <w14:ligatures w14:val="none"/>
        </w:rPr>
      </w:pPr>
      <w:r w:rsidRPr="004D7477">
        <w:rPr>
          <w:rFonts w:cs="Times New Roman"/>
          <w:b/>
          <w:bCs/>
          <w:kern w:val="0"/>
          <w:szCs w:val="24"/>
          <w14:ligatures w14:val="none"/>
        </w:rPr>
        <w:t>Best Practice MDL-§ 7(d)</w:t>
      </w:r>
      <w:r>
        <w:rPr>
          <w:rFonts w:cs="Times New Roman"/>
          <w:b/>
          <w:bCs/>
          <w:kern w:val="0"/>
          <w:szCs w:val="24"/>
          <w14:ligatures w14:val="none"/>
        </w:rPr>
        <w:t>(ii)</w:t>
      </w:r>
      <w:r w:rsidRPr="004D7477">
        <w:rPr>
          <w:rFonts w:cs="Times New Roman"/>
          <w:b/>
          <w:bCs/>
          <w:kern w:val="0"/>
          <w:szCs w:val="24"/>
          <w14:ligatures w14:val="none"/>
        </w:rPr>
        <w:t>:</w:t>
      </w:r>
      <w:r w:rsidRPr="004D7477">
        <w:rPr>
          <w:rFonts w:cs="Times New Roman"/>
          <w:kern w:val="0"/>
          <w:szCs w:val="24"/>
          <w14:ligatures w14:val="none"/>
        </w:rPr>
        <w:t xml:space="preserve"> </w:t>
      </w:r>
      <w:r w:rsidRPr="004E0B47">
        <w:rPr>
          <w:rFonts w:cs="Times New Roman"/>
          <w:color w:val="1F1F1F"/>
          <w:szCs w:val="24"/>
          <w:shd w:val="clear" w:color="auto" w:fill="FFFFFF"/>
        </w:rPr>
        <w:t xml:space="preserve">In the absence of special circumstances or </w:t>
      </w:r>
      <w:r w:rsidRPr="00ED3466">
        <w:rPr>
          <w:rFonts w:cs="Times New Roman"/>
          <w:color w:val="1F1F1F"/>
          <w:szCs w:val="24"/>
          <w:shd w:val="clear" w:color="auto" w:fill="FFFFFF"/>
        </w:rPr>
        <w:t>unless the court specifies otherwise</w:t>
      </w:r>
      <w:r>
        <w:rPr>
          <w:rFonts w:cs="Times New Roman"/>
          <w:color w:val="1F1F1F"/>
          <w:szCs w:val="24"/>
          <w:shd w:val="clear" w:color="auto" w:fill="FFFFFF"/>
        </w:rPr>
        <w:t>, t</w:t>
      </w:r>
      <w:r w:rsidRPr="00A43E21">
        <w:rPr>
          <w:rFonts w:cs="Times New Roman"/>
          <w:kern w:val="0"/>
          <w:szCs w:val="24"/>
          <w14:ligatures w14:val="none"/>
        </w:rPr>
        <w:t xml:space="preserve">he parties should propose </w:t>
      </w:r>
      <w:r w:rsidRPr="004E0B47">
        <w:rPr>
          <w:rFonts w:cs="Times New Roman"/>
          <w:color w:val="1F1F1F"/>
          <w:szCs w:val="24"/>
          <w:shd w:val="clear" w:color="auto" w:fill="FFFFFF"/>
        </w:rPr>
        <w:t>a 10% common-benefit fund assessment in the Rule 16.1 report in a mass-tort MDL, with 8% dedicated to work and 2% to expenses, drawn from the contingency fees of individual</w:t>
      </w:r>
      <w:r>
        <w:rPr>
          <w:rFonts w:cs="Times New Roman"/>
          <w:color w:val="1F1F1F"/>
          <w:szCs w:val="24"/>
          <w:shd w:val="clear" w:color="auto" w:fill="FFFFFF"/>
        </w:rPr>
        <w:t>ly retained</w:t>
      </w:r>
      <w:r w:rsidRPr="004E0B47">
        <w:rPr>
          <w:rFonts w:cs="Times New Roman"/>
          <w:color w:val="1F1F1F"/>
          <w:szCs w:val="24"/>
          <w:shd w:val="clear" w:color="auto" w:fill="FFFFFF"/>
        </w:rPr>
        <w:t xml:space="preserve"> plaintiffs' </w:t>
      </w:r>
      <w:r>
        <w:rPr>
          <w:rFonts w:cs="Times New Roman"/>
          <w:color w:val="1F1F1F"/>
          <w:szCs w:val="24"/>
          <w:shd w:val="clear" w:color="auto" w:fill="FFFFFF"/>
        </w:rPr>
        <w:t>attorneys</w:t>
      </w:r>
      <w:r w:rsidRPr="004E0B47">
        <w:rPr>
          <w:rFonts w:cs="Times New Roman"/>
          <w:color w:val="1F1F1F"/>
          <w:szCs w:val="24"/>
          <w:shd w:val="clear" w:color="auto" w:fill="FFFFFF"/>
        </w:rPr>
        <w:t>.</w:t>
      </w:r>
      <w:r>
        <w:rPr>
          <w:rFonts w:ascii="Arial" w:hAnsi="Arial" w:cs="Arial"/>
          <w:color w:val="1F1F1F"/>
          <w:sz w:val="20"/>
          <w:szCs w:val="20"/>
          <w:shd w:val="clear" w:color="auto" w:fill="FFFFFF"/>
        </w:rPr>
        <w:t xml:space="preserve"> </w:t>
      </w:r>
      <w:r w:rsidRPr="004D7477">
        <w:rPr>
          <w:kern w:val="0"/>
          <w14:ligatures w14:val="none"/>
        </w:rPr>
        <w:t xml:space="preserve">Permanent No. </w:t>
      </w:r>
      <w:r w:rsidRPr="004D7477">
        <w:rPr>
          <w:rFonts w:cs="Times New Roman"/>
          <w:kern w:val="0"/>
          <w:szCs w:val="24"/>
          <w14:ligatures w14:val="none"/>
        </w:rPr>
        <w:t>MDL-§ 14</w:t>
      </w:r>
      <w:r w:rsidRPr="004D7477">
        <w:rPr>
          <w:kern w:val="0"/>
          <w14:ligatures w14:val="none"/>
        </w:rPr>
        <w:t>(d)</w:t>
      </w:r>
      <w:r>
        <w:rPr>
          <w:kern w:val="0"/>
          <w14:ligatures w14:val="none"/>
        </w:rPr>
        <w:t>(ii)</w:t>
      </w:r>
      <w:r w:rsidRPr="004D7477">
        <w:rPr>
          <w:kern w:val="0"/>
          <w14:ligatures w14:val="none"/>
        </w:rPr>
        <w:t>.</w:t>
      </w:r>
    </w:p>
    <w:p w14:paraId="389EE54C" w14:textId="77777777" w:rsidR="00FA6625" w:rsidRDefault="00FA6625" w:rsidP="00FA6625">
      <w:pPr>
        <w:spacing w:after="0" w:line="360" w:lineRule="auto"/>
        <w:ind w:firstLine="720"/>
        <w:jc w:val="both"/>
        <w:rPr>
          <w:rFonts w:cs="Times New Roman"/>
          <w:color w:val="000000" w:themeColor="text1"/>
          <w:kern w:val="0"/>
          <w:szCs w:val="24"/>
          <w14:ligatures w14:val="none"/>
        </w:rPr>
      </w:pPr>
    </w:p>
    <w:p w14:paraId="42CF702D" w14:textId="77777777" w:rsidR="00FA6625" w:rsidRDefault="00FA6625" w:rsidP="00FA6625">
      <w:pPr>
        <w:spacing w:after="0" w:line="360" w:lineRule="auto"/>
        <w:ind w:firstLine="720"/>
        <w:jc w:val="both"/>
        <w:rPr>
          <w:rFonts w:cs="Times New Roman"/>
          <w:color w:val="000000" w:themeColor="text1"/>
          <w:kern w:val="0"/>
          <w:szCs w:val="24"/>
          <w14:ligatures w14:val="none"/>
        </w:rPr>
      </w:pPr>
      <w:r>
        <w:rPr>
          <w:rFonts w:cs="Times New Roman"/>
          <w:color w:val="000000" w:themeColor="text1"/>
          <w:kern w:val="0"/>
          <w:szCs w:val="24"/>
          <w14:ligatures w14:val="none"/>
        </w:rPr>
        <w:t xml:space="preserve">The Multidistrict Litigation Act was enacted in 1968, but the number of mass-tort MDLs showed little growth until the early 2000’s. While the number of MDLs was growing, courts began establishing common-benefit </w:t>
      </w:r>
      <w:proofErr w:type="gramStart"/>
      <w:r>
        <w:rPr>
          <w:rFonts w:cs="Times New Roman"/>
          <w:color w:val="000000" w:themeColor="text1"/>
          <w:kern w:val="0"/>
          <w:szCs w:val="24"/>
          <w14:ligatures w14:val="none"/>
        </w:rPr>
        <w:t>funds, but</w:t>
      </w:r>
      <w:proofErr w:type="gramEnd"/>
      <w:r>
        <w:rPr>
          <w:rFonts w:cs="Times New Roman"/>
          <w:color w:val="000000" w:themeColor="text1"/>
          <w:kern w:val="0"/>
          <w:szCs w:val="24"/>
          <w14:ligatures w14:val="none"/>
        </w:rPr>
        <w:t xml:space="preserve"> were unsure about what percentage to assess individual lawyers for common-benefit work.</w:t>
      </w:r>
      <w:r>
        <w:rPr>
          <w:rStyle w:val="FootnoteReference"/>
          <w:rFonts w:cs="Times New Roman"/>
          <w:szCs w:val="24"/>
        </w:rPr>
        <w:footnoteReference w:id="13"/>
      </w:r>
      <w:r>
        <w:rPr>
          <w:rFonts w:cs="Times New Roman"/>
          <w:color w:val="000000" w:themeColor="text1"/>
          <w:kern w:val="0"/>
          <w:szCs w:val="24"/>
          <w14:ligatures w14:val="none"/>
        </w:rPr>
        <w:t xml:space="preserve"> They relied on elaborate analyses modeled on those used in setting attorneys’ fee awards in class actions, which considered multiple factors and were crosschecked by lodestar reporting.</w:t>
      </w:r>
      <w:r>
        <w:rPr>
          <w:rStyle w:val="FootnoteReference"/>
          <w:rFonts w:cs="Times New Roman"/>
          <w:szCs w:val="24"/>
        </w:rPr>
        <w:footnoteReference w:id="14"/>
      </w:r>
      <w:r>
        <w:rPr>
          <w:rFonts w:cs="Times New Roman"/>
          <w:color w:val="000000" w:themeColor="text1"/>
          <w:kern w:val="0"/>
          <w:szCs w:val="24"/>
          <w14:ligatures w14:val="none"/>
        </w:rPr>
        <w:t xml:space="preserve">  </w:t>
      </w:r>
    </w:p>
    <w:p w14:paraId="2B0F377B" w14:textId="77777777" w:rsidR="00FA6625" w:rsidRDefault="00FA6625" w:rsidP="00FA6625">
      <w:pPr>
        <w:spacing w:after="0" w:line="360" w:lineRule="auto"/>
        <w:ind w:firstLine="720"/>
        <w:jc w:val="both"/>
        <w:rPr>
          <w:rFonts w:cs="Times New Roman"/>
          <w:color w:val="000000" w:themeColor="text1"/>
          <w:kern w:val="0"/>
          <w:szCs w:val="24"/>
          <w14:ligatures w14:val="none"/>
        </w:rPr>
      </w:pPr>
      <w:r>
        <w:rPr>
          <w:rFonts w:cs="Times New Roman"/>
          <w:color w:val="000000" w:themeColor="text1"/>
          <w:kern w:val="0"/>
          <w:szCs w:val="24"/>
          <w14:ligatures w14:val="none"/>
        </w:rPr>
        <w:t xml:space="preserve">Lodestar reporting is often touted as objective evidence to crosscheck the reasonableness of the common-benefit assessment as well </w:t>
      </w:r>
      <w:proofErr w:type="gramStart"/>
      <w:r>
        <w:rPr>
          <w:rFonts w:cs="Times New Roman"/>
          <w:color w:val="000000" w:themeColor="text1"/>
          <w:kern w:val="0"/>
          <w:szCs w:val="24"/>
          <w14:ligatures w14:val="none"/>
        </w:rPr>
        <w:t>as a means to</w:t>
      </w:r>
      <w:proofErr w:type="gramEnd"/>
      <w:r>
        <w:rPr>
          <w:rFonts w:cs="Times New Roman"/>
          <w:color w:val="000000" w:themeColor="text1"/>
          <w:kern w:val="0"/>
          <w:szCs w:val="24"/>
          <w14:ligatures w14:val="none"/>
        </w:rPr>
        <w:t xml:space="preserve"> set the percentage.</w:t>
      </w:r>
      <w:r>
        <w:rPr>
          <w:rStyle w:val="FootnoteReference"/>
          <w:rFonts w:cs="Times New Roman"/>
          <w:szCs w:val="24"/>
        </w:rPr>
        <w:footnoteReference w:id="15"/>
      </w:r>
      <w:r>
        <w:rPr>
          <w:rFonts w:cs="Times New Roman"/>
          <w:color w:val="000000" w:themeColor="text1"/>
          <w:kern w:val="0"/>
          <w:szCs w:val="24"/>
          <w14:ligatures w14:val="none"/>
        </w:rPr>
        <w:t xml:space="preserve">  But the lodestar method is unreliable to fix a common-benefit assessment because it is subject to wide variations depending on what multiplier is applied.  For example, courts have approved lodestar multipliers from 2 to 4 times and some even higher.  Lodestar multipliers are based on subjective judgments </w:t>
      </w:r>
      <w:r>
        <w:rPr>
          <w:rFonts w:cs="Times New Roman"/>
          <w:color w:val="000000" w:themeColor="text1"/>
          <w:kern w:val="0"/>
          <w:szCs w:val="24"/>
          <w14:ligatures w14:val="none"/>
        </w:rPr>
        <w:lastRenderedPageBreak/>
        <w:t>and result in a wide range of common-benefit assessments because they are so mutable.</w:t>
      </w:r>
      <w:r>
        <w:rPr>
          <w:rStyle w:val="FootnoteReference"/>
          <w:rFonts w:cs="Times New Roman"/>
          <w:szCs w:val="24"/>
        </w:rPr>
        <w:footnoteReference w:id="16"/>
      </w:r>
      <w:r>
        <w:rPr>
          <w:rFonts w:cs="Times New Roman"/>
          <w:color w:val="000000" w:themeColor="text1"/>
          <w:kern w:val="0"/>
          <w:szCs w:val="24"/>
          <w14:ligatures w14:val="none"/>
        </w:rPr>
        <w:t xml:space="preserve"> </w:t>
      </w:r>
      <w:r>
        <w:t>Lodestar reporting may help plaintiff attorneys distribute common funds, but its imprecision limits its usefulness for setting or cross-checking assessment percentages</w:t>
      </w:r>
      <w:r>
        <w:rPr>
          <w:rFonts w:cs="Times New Roman"/>
          <w:color w:val="000000" w:themeColor="text1"/>
          <w:kern w:val="0"/>
          <w:szCs w:val="24"/>
          <w14:ligatures w14:val="none"/>
        </w:rPr>
        <w:t>.</w:t>
      </w:r>
      <w:r>
        <w:rPr>
          <w:rStyle w:val="FootnoteReference"/>
          <w:rFonts w:cs="Times New Roman"/>
          <w:szCs w:val="24"/>
        </w:rPr>
        <w:footnoteReference w:id="17"/>
      </w:r>
      <w:r>
        <w:rPr>
          <w:rFonts w:cs="Times New Roman"/>
          <w:color w:val="000000" w:themeColor="text1"/>
          <w:kern w:val="0"/>
          <w:szCs w:val="24"/>
          <w14:ligatures w14:val="none"/>
        </w:rPr>
        <w:t xml:space="preserve"> And it makes less sense for purposes of setting the common-benefit assessment because MDL courts now fix the percentage early in the litigation well before the common-benefit work can be used as a cross-check. </w:t>
      </w:r>
    </w:p>
    <w:p w14:paraId="01D027F4" w14:textId="77777777" w:rsidR="00FA6625" w:rsidRDefault="00FA6625" w:rsidP="00FA6625">
      <w:pPr>
        <w:spacing w:after="0" w:line="360" w:lineRule="auto"/>
        <w:ind w:firstLine="720"/>
        <w:jc w:val="both"/>
        <w:rPr>
          <w:rFonts w:cs="Times New Roman"/>
          <w:color w:val="000000" w:themeColor="text1"/>
          <w:kern w:val="0"/>
          <w:szCs w:val="24"/>
          <w14:ligatures w14:val="none"/>
        </w:rPr>
      </w:pPr>
      <w:r>
        <w:t xml:space="preserve">Apart from one exception, traditional lodestar factors are not meaningful in determining the common-benefit assessment in mass-tort MDLs; instead, they serve only to highlight the recognized extreme complexity of the work performed in these cases.  </w:t>
      </w:r>
      <w:r>
        <w:rPr>
          <w:rFonts w:cs="Times New Roman"/>
          <w:color w:val="000000" w:themeColor="text1"/>
          <w:kern w:val="0"/>
          <w:szCs w:val="24"/>
          <w14:ligatures w14:val="none"/>
        </w:rPr>
        <w:t>The one exception that provides meaningful guidance looks to comparable common-benefit fund percentages set in similar mass-tort MDLs.  This factor has become singularly predominant.</w:t>
      </w:r>
      <w:r>
        <w:rPr>
          <w:rStyle w:val="FootnoteReference"/>
          <w:rFonts w:cs="Times New Roman"/>
          <w:szCs w:val="24"/>
        </w:rPr>
        <w:footnoteReference w:id="18"/>
      </w:r>
      <w:r>
        <w:rPr>
          <w:rFonts w:cs="Times New Roman"/>
          <w:color w:val="000000" w:themeColor="text1"/>
          <w:kern w:val="0"/>
          <w:szCs w:val="24"/>
          <w14:ligatures w14:val="none"/>
        </w:rPr>
        <w:t xml:space="preserve">  </w:t>
      </w:r>
    </w:p>
    <w:p w14:paraId="29996CF2" w14:textId="77777777" w:rsidR="00FA6625" w:rsidRDefault="00FA6625" w:rsidP="00FA6625">
      <w:pPr>
        <w:spacing w:after="0" w:line="360" w:lineRule="auto"/>
        <w:ind w:firstLine="720"/>
        <w:jc w:val="both"/>
        <w:rPr>
          <w:rFonts w:cs="Times New Roman"/>
          <w:color w:val="000000" w:themeColor="text1"/>
          <w:kern w:val="0"/>
          <w:szCs w:val="24"/>
          <w14:ligatures w14:val="none"/>
        </w:rPr>
      </w:pPr>
      <w:r>
        <w:rPr>
          <w:rFonts w:cs="Times New Roman"/>
          <w:color w:val="000000" w:themeColor="text1"/>
          <w:kern w:val="0"/>
          <w:szCs w:val="24"/>
          <w14:ligatures w14:val="none"/>
        </w:rPr>
        <w:t>A</w:t>
      </w:r>
      <w:r w:rsidRPr="00144C26">
        <w:rPr>
          <w:rFonts w:cs="Times New Roman"/>
          <w:color w:val="000000" w:themeColor="text1"/>
          <w:kern w:val="0"/>
          <w:szCs w:val="24"/>
          <w14:ligatures w14:val="none"/>
        </w:rPr>
        <w:t xml:space="preserve">ssessments in </w:t>
      </w:r>
      <w:r>
        <w:rPr>
          <w:rFonts w:cs="Times New Roman"/>
          <w:color w:val="000000" w:themeColor="text1"/>
          <w:kern w:val="0"/>
          <w:szCs w:val="24"/>
          <w14:ligatures w14:val="none"/>
        </w:rPr>
        <w:t>comparable</w:t>
      </w:r>
      <w:r w:rsidRPr="00144C26">
        <w:rPr>
          <w:rFonts w:cs="Times New Roman"/>
          <w:color w:val="000000" w:themeColor="text1"/>
          <w:kern w:val="0"/>
          <w:szCs w:val="24"/>
          <w14:ligatures w14:val="none"/>
        </w:rPr>
        <w:t xml:space="preserve"> mass-tort MDLs offer </w:t>
      </w:r>
      <w:r w:rsidRPr="009A731A">
        <w:rPr>
          <w:rFonts w:cs="Times New Roman"/>
          <w:color w:val="1F1F1F"/>
          <w:szCs w:val="24"/>
          <w:shd w:val="clear" w:color="auto" w:fill="FFFFFF"/>
        </w:rPr>
        <w:t>a more dependable benchmark for common-benefit funds.</w:t>
      </w:r>
      <w:r>
        <w:rPr>
          <w:rFonts w:cs="Times New Roman"/>
          <w:color w:val="000000" w:themeColor="text1"/>
          <w:kern w:val="0"/>
          <w:szCs w:val="24"/>
          <w14:ligatures w14:val="none"/>
        </w:rPr>
        <w:t xml:space="preserve"> Most mass-tort MDL courts set a 10% common-benefit assessment (8% for common-benefit work and 2% for common expenses).</w:t>
      </w:r>
      <w:r>
        <w:rPr>
          <w:rStyle w:val="FootnoteReference"/>
          <w:rFonts w:cs="Times New Roman"/>
          <w:szCs w:val="24"/>
        </w:rPr>
        <w:footnoteReference w:id="19"/>
      </w:r>
      <w:r>
        <w:rPr>
          <w:rFonts w:cs="Times New Roman"/>
          <w:color w:val="000000" w:themeColor="text1"/>
          <w:kern w:val="0"/>
          <w:szCs w:val="24"/>
          <w14:ligatures w14:val="none"/>
        </w:rPr>
        <w:t xml:space="preserve">  This consensus percentage has evolved over the last 20 years, rising steadily upward from 4% and stabilizing at 10%.  As more </w:t>
      </w:r>
      <w:r>
        <w:rPr>
          <w:rFonts w:cs="Times New Roman"/>
          <w:color w:val="000000" w:themeColor="text1"/>
          <w:kern w:val="0"/>
          <w:szCs w:val="24"/>
          <w14:ligatures w14:val="none"/>
        </w:rPr>
        <w:lastRenderedPageBreak/>
        <w:t>MDL courts assess the same 10% percentage, it is rapidly emerging as the standard benchmark in mass-tort MDLs.</w:t>
      </w:r>
      <w:r w:rsidRPr="004D7477">
        <w:rPr>
          <w:rFonts w:cs="Times New Roman"/>
          <w:color w:val="000000" w:themeColor="text1"/>
          <w:kern w:val="0"/>
          <w:szCs w:val="24"/>
          <w:vertAlign w:val="superscript"/>
          <w14:ligatures w14:val="none"/>
        </w:rPr>
        <w:footnoteReference w:id="20"/>
      </w:r>
      <w:r>
        <w:rPr>
          <w:rFonts w:cs="Times New Roman"/>
          <w:color w:val="000000" w:themeColor="text1"/>
          <w:kern w:val="0"/>
          <w:szCs w:val="24"/>
          <w14:ligatures w14:val="none"/>
        </w:rPr>
        <w:t xml:space="preserve"> </w:t>
      </w:r>
      <w:r w:rsidRPr="004D7477">
        <w:rPr>
          <w:rFonts w:cs="Times New Roman"/>
          <w:color w:val="000000" w:themeColor="text1"/>
          <w:kern w:val="0"/>
          <w:szCs w:val="24"/>
          <w14:ligatures w14:val="none"/>
        </w:rPr>
        <w:t xml:space="preserve"> </w:t>
      </w:r>
      <w:r>
        <w:rPr>
          <w:rFonts w:cs="Times New Roman"/>
          <w:color w:val="000000" w:themeColor="text1"/>
          <w:kern w:val="0"/>
          <w:szCs w:val="24"/>
          <w14:ligatures w14:val="none"/>
        </w:rPr>
        <w:t xml:space="preserve">  </w:t>
      </w:r>
    </w:p>
    <w:p w14:paraId="7DF54752" w14:textId="77777777" w:rsidR="00FA6625" w:rsidRDefault="00FA6625" w:rsidP="00FA6625">
      <w:pPr>
        <w:spacing w:after="0" w:line="360" w:lineRule="auto"/>
        <w:ind w:firstLine="720"/>
        <w:jc w:val="both"/>
        <w:rPr>
          <w:rFonts w:cs="Times New Roman"/>
          <w:color w:val="000000" w:themeColor="text1"/>
          <w:kern w:val="0"/>
          <w:szCs w:val="24"/>
          <w14:ligatures w14:val="none"/>
        </w:rPr>
      </w:pPr>
      <w:r>
        <w:rPr>
          <w:rFonts w:cs="Times New Roman"/>
          <w:color w:val="000000" w:themeColor="text1"/>
          <w:kern w:val="0"/>
          <w:szCs w:val="24"/>
          <w14:ligatures w14:val="none"/>
        </w:rPr>
        <w:t>A 10% common-benefit assessment is a conceptually sound</w:t>
      </w:r>
      <w:r w:rsidRPr="00567137">
        <w:rPr>
          <w:rFonts w:cs="Times New Roman"/>
          <w:color w:val="000000" w:themeColor="text1"/>
          <w:kern w:val="0"/>
          <w:szCs w:val="24"/>
          <w14:ligatures w14:val="none"/>
        </w:rPr>
        <w:t xml:space="preserve"> </w:t>
      </w:r>
      <w:r>
        <w:rPr>
          <w:rFonts w:cs="Times New Roman"/>
          <w:color w:val="000000" w:themeColor="text1"/>
          <w:kern w:val="0"/>
          <w:szCs w:val="24"/>
          <w14:ligatures w14:val="none"/>
        </w:rPr>
        <w:t xml:space="preserve">benchmark. </w:t>
      </w:r>
      <w:r w:rsidRPr="004E0B47">
        <w:rPr>
          <w:rFonts w:cs="Times New Roman"/>
          <w:color w:val="1F1F1F"/>
          <w:szCs w:val="24"/>
          <w:shd w:val="clear" w:color="auto" w:fill="FFFFFF"/>
        </w:rPr>
        <w:t xml:space="preserve">Functionally, individually retained plaintiff </w:t>
      </w:r>
      <w:r>
        <w:rPr>
          <w:rFonts w:cs="Times New Roman"/>
          <w:color w:val="1F1F1F"/>
          <w:szCs w:val="24"/>
          <w:shd w:val="clear" w:color="auto" w:fill="FFFFFF"/>
        </w:rPr>
        <w:t>attorneys</w:t>
      </w:r>
      <w:r w:rsidRPr="004E0B47">
        <w:rPr>
          <w:rFonts w:cs="Times New Roman"/>
          <w:color w:val="1F1F1F"/>
          <w:szCs w:val="24"/>
          <w:shd w:val="clear" w:color="auto" w:fill="FFFFFF"/>
        </w:rPr>
        <w:t xml:space="preserve"> a</w:t>
      </w:r>
      <w:r>
        <w:rPr>
          <w:rFonts w:cs="Times New Roman"/>
          <w:color w:val="1F1F1F"/>
          <w:szCs w:val="24"/>
          <w:shd w:val="clear" w:color="auto" w:fill="FFFFFF"/>
        </w:rPr>
        <w:t>ct as</w:t>
      </w:r>
      <w:r w:rsidRPr="004E0B47">
        <w:rPr>
          <w:rFonts w:cs="Times New Roman"/>
          <w:color w:val="1F1F1F"/>
          <w:szCs w:val="24"/>
          <w:shd w:val="clear" w:color="auto" w:fill="FFFFFF"/>
        </w:rPr>
        <w:t xml:space="preserve"> </w:t>
      </w:r>
      <w:r>
        <w:rPr>
          <w:rFonts w:cs="Times New Roman"/>
          <w:color w:val="1F1F1F"/>
          <w:szCs w:val="24"/>
          <w:shd w:val="clear" w:color="auto" w:fill="FFFFFF"/>
        </w:rPr>
        <w:t>“</w:t>
      </w:r>
      <w:r w:rsidRPr="004E0B47">
        <w:rPr>
          <w:rFonts w:cs="Times New Roman"/>
          <w:color w:val="1F1F1F"/>
          <w:szCs w:val="24"/>
          <w:shd w:val="clear" w:color="auto" w:fill="FFFFFF"/>
        </w:rPr>
        <w:t>surrogate clients</w:t>
      </w:r>
      <w:r>
        <w:rPr>
          <w:rFonts w:cs="Times New Roman"/>
          <w:color w:val="1F1F1F"/>
          <w:szCs w:val="24"/>
          <w:shd w:val="clear" w:color="auto" w:fill="FFFFFF"/>
        </w:rPr>
        <w:t>”</w:t>
      </w:r>
      <w:r w:rsidRPr="004E0B47">
        <w:rPr>
          <w:rFonts w:cs="Times New Roman"/>
          <w:color w:val="1F1F1F"/>
          <w:szCs w:val="24"/>
          <w:shd w:val="clear" w:color="auto" w:fill="FFFFFF"/>
        </w:rPr>
        <w:t xml:space="preserve"> of </w:t>
      </w:r>
      <w:r>
        <w:rPr>
          <w:rFonts w:cs="Times New Roman"/>
          <w:color w:val="1F1F1F"/>
          <w:szCs w:val="24"/>
          <w:shd w:val="clear" w:color="auto" w:fill="FFFFFF"/>
        </w:rPr>
        <w:t xml:space="preserve">the </w:t>
      </w:r>
      <w:r w:rsidRPr="004E0B47">
        <w:rPr>
          <w:rFonts w:cs="Times New Roman"/>
          <w:color w:val="1F1F1F"/>
          <w:szCs w:val="24"/>
          <w:shd w:val="clear" w:color="auto" w:fill="FFFFFF"/>
        </w:rPr>
        <w:t>common-benefit attorneys</w:t>
      </w:r>
      <w:r>
        <w:rPr>
          <w:rFonts w:ascii="Arial" w:hAnsi="Arial" w:cs="Arial"/>
          <w:color w:val="1F1F1F"/>
          <w:sz w:val="20"/>
          <w:szCs w:val="20"/>
          <w:shd w:val="clear" w:color="auto" w:fill="FFFFFF"/>
        </w:rPr>
        <w:t xml:space="preserve">. </w:t>
      </w:r>
      <w:r>
        <w:rPr>
          <w:rFonts w:cs="Times New Roman"/>
          <w:color w:val="000000" w:themeColor="text1"/>
          <w:kern w:val="0"/>
          <w:szCs w:val="24"/>
          <w14:ligatures w14:val="none"/>
        </w:rPr>
        <w:t xml:space="preserve"> The portion of a contingency fee that is withheld to pay the common-benefit assessment is </w:t>
      </w:r>
      <w:proofErr w:type="gramStart"/>
      <w:r>
        <w:rPr>
          <w:rFonts w:cs="Times New Roman"/>
          <w:color w:val="000000" w:themeColor="text1"/>
          <w:kern w:val="0"/>
          <w:szCs w:val="24"/>
          <w14:ligatures w14:val="none"/>
        </w:rPr>
        <w:t>similar to</w:t>
      </w:r>
      <w:proofErr w:type="gramEnd"/>
      <w:r>
        <w:rPr>
          <w:rFonts w:cs="Times New Roman"/>
          <w:color w:val="000000" w:themeColor="text1"/>
          <w:kern w:val="0"/>
          <w:szCs w:val="24"/>
          <w14:ligatures w14:val="none"/>
        </w:rPr>
        <w:t xml:space="preserve"> the portion of a client’s recovery that is traditionally withheld to pay a contingency fee.  A 10% common-benefit assessment represents about one-third of a 33% contingency fee of lawyers with individual clients, which makes sense because the common-benefit lawyers are in the same position as lawyers with regular clients who do the work, take the risk of not getting compensated, and incur costs.  Admittedly, contingency fees in many mass-tort MDLs have risen to 40%, which affects the comparative ratios, but the underlying logic remains.   </w:t>
      </w:r>
    </w:p>
    <w:p w14:paraId="45BE099A" w14:textId="77777777" w:rsidR="00FA6625" w:rsidRDefault="00FA6625" w:rsidP="00FA6625">
      <w:pPr>
        <w:spacing w:after="0" w:line="360" w:lineRule="auto"/>
        <w:ind w:firstLine="720"/>
        <w:jc w:val="both"/>
        <w:rPr>
          <w:rFonts w:cs="Times New Roman"/>
          <w:color w:val="000000" w:themeColor="text1"/>
          <w:kern w:val="0"/>
          <w:szCs w:val="24"/>
          <w14:ligatures w14:val="none"/>
        </w:rPr>
      </w:pPr>
      <w:r>
        <w:rPr>
          <w:rFonts w:cs="Times New Roman"/>
          <w:color w:val="000000" w:themeColor="text1"/>
          <w:kern w:val="0"/>
          <w:szCs w:val="24"/>
          <w14:ligatures w14:val="none"/>
        </w:rPr>
        <w:t xml:space="preserve">Parties in a mass-tort MDL should recommend a 10% common-benefit assessment in their Rule 16.1 report.  The recommended 10% assessment serves as a default percentage and should apply </w:t>
      </w:r>
      <w:proofErr w:type="gramStart"/>
      <w:r>
        <w:rPr>
          <w:rFonts w:cs="Times New Roman"/>
          <w:color w:val="000000" w:themeColor="text1"/>
          <w:kern w:val="0"/>
          <w:szCs w:val="24"/>
          <w14:ligatures w14:val="none"/>
        </w:rPr>
        <w:t>absent</w:t>
      </w:r>
      <w:proofErr w:type="gramEnd"/>
      <w:r>
        <w:rPr>
          <w:rFonts w:cs="Times New Roman"/>
          <w:color w:val="000000" w:themeColor="text1"/>
          <w:kern w:val="0"/>
          <w:szCs w:val="24"/>
          <w14:ligatures w14:val="none"/>
        </w:rPr>
        <w:t xml:space="preserve"> a showing of cause.  Adopting the 10% benchmark eliminates the need to provide an extended unnecessary analysis of supporting factors. </w:t>
      </w:r>
    </w:p>
    <w:p w14:paraId="268339AE" w14:textId="77777777" w:rsidR="00FA6625" w:rsidRDefault="00FA6625" w:rsidP="00FA6625">
      <w:pPr>
        <w:spacing w:after="0" w:line="240" w:lineRule="auto"/>
        <w:ind w:left="720" w:right="720"/>
        <w:jc w:val="both"/>
        <w:rPr>
          <w:rFonts w:cs="Times New Roman"/>
          <w:color w:val="000000" w:themeColor="text1"/>
          <w:kern w:val="0"/>
          <w:szCs w:val="24"/>
          <w14:ligatures w14:val="none"/>
        </w:rPr>
      </w:pPr>
    </w:p>
    <w:p w14:paraId="13488ECC" w14:textId="77777777" w:rsidR="00FA6625" w:rsidRPr="00427270" w:rsidRDefault="00FA6625" w:rsidP="00FA6625">
      <w:pPr>
        <w:spacing w:after="0" w:line="240" w:lineRule="auto"/>
        <w:ind w:left="720" w:right="720"/>
        <w:jc w:val="both"/>
        <w:rPr>
          <w:kern w:val="0"/>
          <w14:ligatures w14:val="none"/>
        </w:rPr>
      </w:pPr>
      <w:r w:rsidRPr="00427270">
        <w:rPr>
          <w:rFonts w:cs="Times New Roman"/>
          <w:b/>
          <w:bCs/>
          <w:kern w:val="0"/>
          <w:szCs w:val="24"/>
          <w14:ligatures w14:val="none"/>
        </w:rPr>
        <w:t>Best Practice MDL-§ 7(d)(iii):</w:t>
      </w:r>
      <w:r w:rsidRPr="00427270">
        <w:rPr>
          <w:rFonts w:cs="Times New Roman"/>
          <w:kern w:val="0"/>
          <w:szCs w:val="24"/>
          <w14:ligatures w14:val="none"/>
        </w:rPr>
        <w:t xml:space="preserve"> </w:t>
      </w:r>
      <w:r w:rsidRPr="00427270">
        <w:t xml:space="preserve">At the Rule 16.1 conference, plaintiff counsel should address </w:t>
      </w:r>
      <w:r>
        <w:t>the court’s expectations for more balanced assignments of common-benefit tasks among the respective law firms</w:t>
      </w:r>
      <w:r w:rsidRPr="00427270">
        <w:t xml:space="preserve">. </w:t>
      </w:r>
      <w:r w:rsidRPr="00427270">
        <w:rPr>
          <w:kern w:val="0"/>
          <w14:ligatures w14:val="none"/>
        </w:rPr>
        <w:t xml:space="preserve">Permanent No. </w:t>
      </w:r>
      <w:r w:rsidRPr="00427270">
        <w:rPr>
          <w:rFonts w:cs="Times New Roman"/>
          <w:kern w:val="0"/>
          <w:szCs w:val="24"/>
          <w14:ligatures w14:val="none"/>
        </w:rPr>
        <w:t>MDL-§ 14</w:t>
      </w:r>
      <w:r w:rsidRPr="00427270">
        <w:rPr>
          <w:kern w:val="0"/>
          <w14:ligatures w14:val="none"/>
        </w:rPr>
        <w:t>(d)(iii).</w:t>
      </w:r>
    </w:p>
    <w:p w14:paraId="619ADFA1" w14:textId="77777777" w:rsidR="00FA6625" w:rsidRPr="00427270" w:rsidRDefault="00FA6625" w:rsidP="00FA6625">
      <w:pPr>
        <w:spacing w:after="0" w:line="240" w:lineRule="auto"/>
        <w:ind w:left="720" w:right="720"/>
        <w:jc w:val="both"/>
        <w:rPr>
          <w:rFonts w:cs="Times New Roman"/>
          <w:color w:val="000000" w:themeColor="text1"/>
          <w:kern w:val="0"/>
          <w:szCs w:val="24"/>
          <w14:ligatures w14:val="none"/>
        </w:rPr>
      </w:pPr>
    </w:p>
    <w:p w14:paraId="0D82142F" w14:textId="77777777" w:rsidR="00FA6625" w:rsidRDefault="00FA6625" w:rsidP="00FA6625">
      <w:pPr>
        <w:spacing w:after="0" w:line="360" w:lineRule="auto"/>
        <w:ind w:firstLine="720"/>
        <w:jc w:val="both"/>
        <w:rPr>
          <w:rFonts w:cs="Times New Roman"/>
          <w:color w:val="000000" w:themeColor="text1"/>
          <w:kern w:val="0"/>
          <w:szCs w:val="24"/>
          <w14:ligatures w14:val="none"/>
        </w:rPr>
      </w:pPr>
      <w:r>
        <w:rPr>
          <w:rFonts w:cs="Times New Roman"/>
          <w:color w:val="1F1F1F"/>
          <w:szCs w:val="24"/>
          <w:shd w:val="clear" w:color="auto" w:fill="FFFFFF"/>
        </w:rPr>
        <w:t>Substantial common-benefit funds, some exceeding $500 million, are established in large-scale mass-tort MDLs.</w:t>
      </w:r>
      <w:r w:rsidRPr="004E0B47">
        <w:rPr>
          <w:rFonts w:cs="Times New Roman"/>
          <w:color w:val="1F1F1F"/>
          <w:szCs w:val="24"/>
          <w:shd w:val="clear" w:color="auto" w:fill="FFFFFF"/>
        </w:rPr>
        <w:t xml:space="preserve"> </w:t>
      </w:r>
      <w:r>
        <w:rPr>
          <w:rFonts w:cs="Times New Roman"/>
          <w:color w:val="1F1F1F"/>
          <w:szCs w:val="24"/>
          <w:shd w:val="clear" w:color="auto" w:fill="FFFFFF"/>
        </w:rPr>
        <w:t xml:space="preserve"> </w:t>
      </w:r>
      <w:r>
        <w:rPr>
          <w:rFonts w:cs="Times New Roman"/>
          <w:color w:val="000000" w:themeColor="text1"/>
          <w:kern w:val="0"/>
          <w:szCs w:val="24"/>
          <w14:ligatures w14:val="none"/>
        </w:rPr>
        <w:t xml:space="preserve">In accordance with typical common-benefit fund orders, </w:t>
      </w:r>
      <w:r>
        <w:t>lead counsel exercises management authority by appointing specific lawyers and firms to conduct common-benefit work.</w:t>
      </w:r>
      <w:r w:rsidRPr="00427270">
        <w:rPr>
          <w:rFonts w:cs="Times New Roman"/>
          <w:color w:val="000000" w:themeColor="text1"/>
          <w:kern w:val="0"/>
          <w:szCs w:val="24"/>
          <w:vertAlign w:val="superscript"/>
          <w14:ligatures w14:val="none"/>
        </w:rPr>
        <w:footnoteReference w:id="21"/>
      </w:r>
      <w:r w:rsidRPr="00427270">
        <w:rPr>
          <w:rFonts w:cs="Times New Roman"/>
          <w:color w:val="000000" w:themeColor="text1"/>
          <w:kern w:val="0"/>
          <w:szCs w:val="24"/>
          <w14:ligatures w14:val="none"/>
        </w:rPr>
        <w:t xml:space="preserve"> </w:t>
      </w:r>
      <w:r w:rsidRPr="007D4B98">
        <w:rPr>
          <w:rFonts w:cs="Times New Roman"/>
          <w:color w:val="000000" w:themeColor="text1"/>
          <w:kern w:val="0"/>
          <w:szCs w:val="24"/>
          <w14:ligatures w14:val="none"/>
        </w:rPr>
        <w:t>In these instances, a single percentage point of the fund can be valued at $5 million in potential compensation.</w:t>
      </w:r>
      <w:r>
        <w:rPr>
          <w:rFonts w:cs="Times New Roman"/>
          <w:color w:val="000000" w:themeColor="text1"/>
          <w:kern w:val="0"/>
          <w:szCs w:val="24"/>
          <w14:ligatures w14:val="none"/>
        </w:rPr>
        <w:t xml:space="preserve">  </w:t>
      </w:r>
    </w:p>
    <w:p w14:paraId="524D09BE" w14:textId="77777777" w:rsidR="00FA6625" w:rsidRPr="00427270" w:rsidRDefault="00FA6625" w:rsidP="00FA6625">
      <w:pPr>
        <w:spacing w:after="0" w:line="360" w:lineRule="auto"/>
        <w:ind w:firstLine="720"/>
        <w:jc w:val="both"/>
        <w:rPr>
          <w:rFonts w:cs="Times New Roman"/>
          <w:color w:val="000000" w:themeColor="text1"/>
          <w:kern w:val="0"/>
          <w:szCs w:val="24"/>
          <w14:ligatures w14:val="none"/>
        </w:rPr>
      </w:pPr>
      <w:r w:rsidRPr="00427270">
        <w:rPr>
          <w:rFonts w:cs="Times New Roman"/>
          <w:color w:val="000000" w:themeColor="text1"/>
          <w:kern w:val="0"/>
          <w:szCs w:val="24"/>
          <w14:ligatures w14:val="none"/>
        </w:rPr>
        <w:lastRenderedPageBreak/>
        <w:t xml:space="preserve">In assigning common-benefit </w:t>
      </w:r>
      <w:r>
        <w:rPr>
          <w:rFonts w:cs="Times New Roman"/>
          <w:color w:val="000000" w:themeColor="text1"/>
          <w:kern w:val="0"/>
          <w:szCs w:val="24"/>
          <w14:ligatures w14:val="none"/>
        </w:rPr>
        <w:t>tasks</w:t>
      </w:r>
      <w:r w:rsidRPr="00427270">
        <w:rPr>
          <w:rFonts w:cs="Times New Roman"/>
          <w:color w:val="000000" w:themeColor="text1"/>
          <w:kern w:val="0"/>
          <w:szCs w:val="24"/>
          <w14:ligatures w14:val="none"/>
        </w:rPr>
        <w:t xml:space="preserve">, Judge Eldon Fallon, a respected and pioneer MDL judge, noted that a court usually urges lead counsel to broaden “the range of attorney participation in MDL cases so that the work is not confined to an elite bar of MDL attorneys, which would result in exclusivity, unfairness, or discrimination and inure to the disadvantage of litigants and their attorneys. To accomplish this while still preserving a centralized structure, the transferee court can encourage the PSC to create subcommittees comprised of interested plaintiff attorneys </w:t>
      </w:r>
      <w:r w:rsidRPr="00427270">
        <w:rPr>
          <w:rFonts w:cs="Times New Roman"/>
          <w:i/>
          <w:iCs/>
          <w:color w:val="000000" w:themeColor="text1"/>
          <w:kern w:val="0"/>
          <w:szCs w:val="24"/>
          <w14:ligatures w14:val="none"/>
        </w:rPr>
        <w:t>not</w:t>
      </w:r>
      <w:r w:rsidRPr="00427270">
        <w:rPr>
          <w:rFonts w:cs="Times New Roman"/>
          <w:color w:val="000000" w:themeColor="text1"/>
          <w:kern w:val="0"/>
          <w:szCs w:val="24"/>
          <w14:ligatures w14:val="none"/>
        </w:rPr>
        <w:t xml:space="preserve"> on the PSC and assign these attorneys tasks consistent with the duties of the PSC.”</w:t>
      </w:r>
      <w:r w:rsidRPr="00427270">
        <w:rPr>
          <w:rFonts w:cs="Times New Roman"/>
          <w:color w:val="000000" w:themeColor="text1"/>
          <w:kern w:val="0"/>
          <w:szCs w:val="24"/>
          <w:vertAlign w:val="superscript"/>
          <w14:ligatures w14:val="none"/>
        </w:rPr>
        <w:footnoteReference w:id="22"/>
      </w:r>
    </w:p>
    <w:p w14:paraId="707BA07A" w14:textId="74DF1342" w:rsidR="00FA6625" w:rsidRDefault="00FA6625" w:rsidP="00FA6625">
      <w:pPr>
        <w:spacing w:after="0" w:line="360" w:lineRule="auto"/>
        <w:ind w:firstLine="720"/>
        <w:jc w:val="both"/>
        <w:rPr>
          <w:rFonts w:cs="Times New Roman"/>
          <w:color w:val="000000" w:themeColor="text1"/>
          <w:kern w:val="0"/>
          <w:szCs w:val="24"/>
          <w14:ligatures w14:val="none"/>
        </w:rPr>
      </w:pPr>
      <w:r>
        <w:rPr>
          <w:rFonts w:cs="Times New Roman"/>
          <w:color w:val="000000" w:themeColor="text1"/>
          <w:kern w:val="0"/>
          <w:szCs w:val="24"/>
          <w14:ligatures w14:val="none"/>
        </w:rPr>
        <w:t xml:space="preserve">While lead counsel usually assign </w:t>
      </w:r>
      <w:r w:rsidRPr="00427270">
        <w:rPr>
          <w:rFonts w:cs="Times New Roman"/>
          <w:color w:val="000000" w:themeColor="text1"/>
          <w:kern w:val="0"/>
          <w:szCs w:val="24"/>
          <w14:ligatures w14:val="none"/>
        </w:rPr>
        <w:t xml:space="preserve">common-benefit </w:t>
      </w:r>
      <w:r>
        <w:rPr>
          <w:rFonts w:cs="Times New Roman"/>
          <w:color w:val="000000" w:themeColor="text1"/>
          <w:kern w:val="0"/>
          <w:szCs w:val="24"/>
          <w14:ligatures w14:val="none"/>
        </w:rPr>
        <w:t>tasks</w:t>
      </w:r>
      <w:r w:rsidRPr="00427270">
        <w:rPr>
          <w:rFonts w:cs="Times New Roman"/>
          <w:color w:val="000000" w:themeColor="text1"/>
          <w:kern w:val="0"/>
          <w:szCs w:val="24"/>
          <w14:ligatures w14:val="none"/>
        </w:rPr>
        <w:t xml:space="preserve"> to </w:t>
      </w:r>
      <w:proofErr w:type="gramStart"/>
      <w:r w:rsidRPr="00427270">
        <w:rPr>
          <w:rFonts w:cs="Times New Roman"/>
          <w:color w:val="000000" w:themeColor="text1"/>
          <w:kern w:val="0"/>
          <w:szCs w:val="24"/>
          <w14:ligatures w14:val="none"/>
        </w:rPr>
        <w:t>a large number of</w:t>
      </w:r>
      <w:proofErr w:type="gramEnd"/>
      <w:r w:rsidRPr="00427270">
        <w:rPr>
          <w:rFonts w:cs="Times New Roman"/>
          <w:color w:val="000000" w:themeColor="text1"/>
          <w:kern w:val="0"/>
          <w:szCs w:val="24"/>
          <w14:ligatures w14:val="none"/>
        </w:rPr>
        <w:t xml:space="preserve"> law firms, the allocation of the compensation is highly concentrated</w:t>
      </w:r>
      <w:r>
        <w:rPr>
          <w:rFonts w:cs="Times New Roman"/>
          <w:color w:val="000000" w:themeColor="text1"/>
          <w:kern w:val="0"/>
          <w:szCs w:val="24"/>
          <w14:ligatures w14:val="none"/>
        </w:rPr>
        <w:t xml:space="preserve">. </w:t>
      </w:r>
      <w:r w:rsidRPr="00427270">
        <w:rPr>
          <w:rFonts w:cs="Times New Roman"/>
          <w:color w:val="000000" w:themeColor="text1"/>
          <w:kern w:val="0"/>
          <w:szCs w:val="24"/>
          <w14:ligatures w14:val="none"/>
        </w:rPr>
        <w:t>It is not uncommon for a handful of law firms to be paid 65% to 75% of the common-benefit fund in addition to reimbursement of common expenses with the remainder shared by scores of other law firms, who are allocated</w:t>
      </w:r>
      <w:r>
        <w:rPr>
          <w:rFonts w:cs="Times New Roman"/>
          <w:color w:val="000000" w:themeColor="text1"/>
          <w:kern w:val="0"/>
          <w:szCs w:val="24"/>
          <w14:ligatures w14:val="none"/>
        </w:rPr>
        <w:t xml:space="preserve"> generally </w:t>
      </w:r>
      <w:r w:rsidRPr="00427270">
        <w:rPr>
          <w:rFonts w:cs="Times New Roman"/>
          <w:color w:val="000000" w:themeColor="text1"/>
          <w:kern w:val="0"/>
          <w:szCs w:val="24"/>
          <w14:ligatures w14:val="none"/>
        </w:rPr>
        <w:t>less than one-half percent, respectively.</w:t>
      </w:r>
      <w:r w:rsidRPr="00427270">
        <w:rPr>
          <w:rFonts w:cs="Times New Roman"/>
          <w:color w:val="000000" w:themeColor="text1"/>
          <w:kern w:val="0"/>
          <w:szCs w:val="24"/>
          <w:vertAlign w:val="superscript"/>
          <w14:ligatures w14:val="none"/>
        </w:rPr>
        <w:footnoteReference w:id="23"/>
      </w:r>
      <w:r w:rsidRPr="00427270">
        <w:rPr>
          <w:rFonts w:cs="Times New Roman"/>
          <w:color w:val="000000" w:themeColor="text1"/>
          <w:kern w:val="0"/>
          <w:szCs w:val="24"/>
          <w14:ligatures w14:val="none"/>
        </w:rPr>
        <w:t xml:space="preserve">  </w:t>
      </w:r>
      <w:r w:rsidRPr="00C33D97">
        <w:rPr>
          <w:rFonts w:cs="Times New Roman"/>
          <w:color w:val="000000" w:themeColor="text1"/>
          <w:kern w:val="0"/>
          <w:szCs w:val="24"/>
          <w14:ligatures w14:val="none"/>
        </w:rPr>
        <w:t xml:space="preserve">The concentration of the common-benefit fund </w:t>
      </w:r>
      <w:r>
        <w:rPr>
          <w:rFonts w:cs="Times New Roman"/>
          <w:color w:val="000000" w:themeColor="text1"/>
          <w:kern w:val="0"/>
          <w:szCs w:val="24"/>
          <w14:ligatures w14:val="none"/>
        </w:rPr>
        <w:t xml:space="preserve">distributions </w:t>
      </w:r>
      <w:r w:rsidRPr="00C33D97">
        <w:rPr>
          <w:rFonts w:cs="Times New Roman"/>
          <w:color w:val="000000" w:themeColor="text1"/>
          <w:kern w:val="0"/>
          <w:szCs w:val="24"/>
          <w14:ligatures w14:val="none"/>
        </w:rPr>
        <w:t xml:space="preserve">among a small minority of law firms has effectively created an elite MDL bar. This trend risks the very </w:t>
      </w:r>
      <w:proofErr w:type="gramStart"/>
      <w:r w:rsidRPr="00C33D97">
        <w:rPr>
          <w:rFonts w:cs="Times New Roman"/>
          <w:color w:val="000000" w:themeColor="text1"/>
          <w:kern w:val="0"/>
          <w:szCs w:val="24"/>
          <w14:ligatures w14:val="none"/>
        </w:rPr>
        <w:t>exclusivity</w:t>
      </w:r>
      <w:proofErr w:type="gramEnd"/>
      <w:r w:rsidRPr="00C33D97">
        <w:rPr>
          <w:rFonts w:cs="Times New Roman"/>
          <w:color w:val="000000" w:themeColor="text1"/>
          <w:kern w:val="0"/>
          <w:szCs w:val="24"/>
          <w14:ligatures w14:val="none"/>
        </w:rPr>
        <w:t>, unfairness, and discrimination that Judge Fallon cautioned against.</w:t>
      </w:r>
      <w:r>
        <w:rPr>
          <w:rFonts w:cs="Times New Roman"/>
          <w:color w:val="000000" w:themeColor="text1"/>
          <w:kern w:val="0"/>
          <w:szCs w:val="24"/>
          <w14:ligatures w14:val="none"/>
        </w:rPr>
        <w:t xml:space="preserve"> </w:t>
      </w:r>
    </w:p>
    <w:p w14:paraId="51C85C15" w14:textId="77777777" w:rsidR="00FA6625" w:rsidRPr="00427270" w:rsidRDefault="00FA6625" w:rsidP="00FA6625">
      <w:pPr>
        <w:spacing w:after="0" w:line="360" w:lineRule="auto"/>
        <w:ind w:firstLine="720"/>
        <w:jc w:val="both"/>
        <w:rPr>
          <w:rFonts w:cs="Times New Roman"/>
          <w:color w:val="1F1F1F"/>
          <w:szCs w:val="24"/>
          <w:shd w:val="clear" w:color="auto" w:fill="FFFFFF"/>
        </w:rPr>
      </w:pPr>
      <w:r w:rsidRPr="00427270">
        <w:rPr>
          <w:rFonts w:cs="Times New Roman"/>
          <w:color w:val="000000" w:themeColor="text1"/>
          <w:kern w:val="0"/>
          <w:szCs w:val="24"/>
          <w14:ligatures w14:val="none"/>
        </w:rPr>
        <w:t xml:space="preserve">The disparity in allocations is caused not </w:t>
      </w:r>
      <w:r>
        <w:rPr>
          <w:rFonts w:cs="Times New Roman"/>
          <w:color w:val="000000" w:themeColor="text1"/>
          <w:kern w:val="0"/>
          <w:szCs w:val="24"/>
          <w14:ligatures w14:val="none"/>
        </w:rPr>
        <w:t>necessarily</w:t>
      </w:r>
      <w:r w:rsidRPr="00427270">
        <w:rPr>
          <w:rFonts w:cs="Times New Roman"/>
          <w:color w:val="000000" w:themeColor="text1"/>
          <w:kern w:val="0"/>
          <w:szCs w:val="24"/>
          <w14:ligatures w14:val="none"/>
        </w:rPr>
        <w:t xml:space="preserve"> by the amount of work assigned, but by the</w:t>
      </w:r>
      <w:r>
        <w:rPr>
          <w:rFonts w:cs="Times New Roman"/>
          <w:color w:val="000000" w:themeColor="text1"/>
          <w:kern w:val="0"/>
          <w:szCs w:val="24"/>
          <w14:ligatures w14:val="none"/>
        </w:rPr>
        <w:t xml:space="preserve"> concentration of “premium </w:t>
      </w:r>
      <w:r w:rsidRPr="00427270">
        <w:rPr>
          <w:rFonts w:cs="Times New Roman"/>
          <w:color w:val="000000" w:themeColor="text1"/>
          <w:kern w:val="0"/>
          <w:szCs w:val="24"/>
          <w14:ligatures w14:val="none"/>
        </w:rPr>
        <w:t>value</w:t>
      </w:r>
      <w:r>
        <w:rPr>
          <w:rFonts w:cs="Times New Roman"/>
          <w:color w:val="000000" w:themeColor="text1"/>
          <w:kern w:val="0"/>
          <w:szCs w:val="24"/>
          <w14:ligatures w14:val="none"/>
        </w:rPr>
        <w:t>d</w:t>
      </w:r>
      <w:r w:rsidRPr="00427270">
        <w:rPr>
          <w:rFonts w:cs="Times New Roman"/>
          <w:color w:val="000000" w:themeColor="text1"/>
          <w:kern w:val="0"/>
          <w:szCs w:val="24"/>
          <w14:ligatures w14:val="none"/>
        </w:rPr>
        <w:t xml:space="preserve">” </w:t>
      </w:r>
      <w:r>
        <w:rPr>
          <w:rFonts w:cs="Times New Roman"/>
          <w:color w:val="000000" w:themeColor="text1"/>
          <w:kern w:val="0"/>
          <w:szCs w:val="24"/>
          <w14:ligatures w14:val="none"/>
        </w:rPr>
        <w:t>tasks, whose worth</w:t>
      </w:r>
      <w:r w:rsidRPr="00427270">
        <w:rPr>
          <w:rFonts w:cs="Times New Roman"/>
          <w:color w:val="000000" w:themeColor="text1"/>
          <w:kern w:val="0"/>
          <w:szCs w:val="24"/>
          <w14:ligatures w14:val="none"/>
        </w:rPr>
        <w:t xml:space="preserve"> </w:t>
      </w:r>
      <w:r>
        <w:rPr>
          <w:rFonts w:cs="Times New Roman"/>
          <w:color w:val="000000" w:themeColor="text1"/>
          <w:kern w:val="0"/>
          <w:szCs w:val="24"/>
          <w14:ligatures w14:val="none"/>
        </w:rPr>
        <w:t>is</w:t>
      </w:r>
      <w:r w:rsidRPr="00427270">
        <w:rPr>
          <w:rFonts w:cs="Times New Roman"/>
          <w:color w:val="000000" w:themeColor="text1"/>
          <w:kern w:val="0"/>
          <w:szCs w:val="24"/>
          <w14:ligatures w14:val="none"/>
        </w:rPr>
        <w:t xml:space="preserve"> determined at the conclusion of the litigation usually by a fee subcommittee appointed by lead counsel or the PSC.</w:t>
      </w:r>
      <w:r w:rsidRPr="00427270">
        <w:rPr>
          <w:rFonts w:cs="Times New Roman"/>
          <w:color w:val="000000" w:themeColor="text1"/>
          <w:kern w:val="0"/>
          <w:szCs w:val="24"/>
          <w:vertAlign w:val="superscript"/>
          <w14:ligatures w14:val="none"/>
        </w:rPr>
        <w:footnoteReference w:id="24"/>
      </w:r>
      <w:r w:rsidRPr="00427270">
        <w:rPr>
          <w:rFonts w:cs="Times New Roman"/>
          <w:color w:val="000000" w:themeColor="text1"/>
          <w:kern w:val="0"/>
          <w:szCs w:val="24"/>
          <w14:ligatures w14:val="none"/>
        </w:rPr>
        <w:t xml:space="preserve"> The fee subcommittee applies lodestar multipliers based on their subjective judgments, which range from 2x to 5x and higher to blended hourly rates submitted by the lawyers to recognize the premium value of </w:t>
      </w:r>
      <w:r>
        <w:rPr>
          <w:rFonts w:cs="Times New Roman"/>
          <w:color w:val="000000" w:themeColor="text1"/>
          <w:kern w:val="0"/>
          <w:szCs w:val="24"/>
          <w14:ligatures w14:val="none"/>
        </w:rPr>
        <w:t>tasks</w:t>
      </w:r>
      <w:r w:rsidRPr="00427270">
        <w:rPr>
          <w:rFonts w:cs="Times New Roman"/>
          <w:color w:val="000000" w:themeColor="text1"/>
          <w:kern w:val="0"/>
          <w:szCs w:val="24"/>
          <w14:ligatures w14:val="none"/>
        </w:rPr>
        <w:t xml:space="preserve"> performed by them.</w:t>
      </w:r>
      <w:r w:rsidRPr="00427270">
        <w:rPr>
          <w:rFonts w:cs="Times New Roman"/>
          <w:color w:val="000000" w:themeColor="text1"/>
          <w:kern w:val="0"/>
          <w:szCs w:val="24"/>
          <w:vertAlign w:val="superscript"/>
          <w14:ligatures w14:val="none"/>
        </w:rPr>
        <w:footnoteReference w:id="25"/>
      </w:r>
      <w:r w:rsidRPr="00427270">
        <w:rPr>
          <w:rFonts w:cs="Times New Roman"/>
          <w:color w:val="000000" w:themeColor="text1"/>
          <w:kern w:val="0"/>
          <w:szCs w:val="24"/>
          <w14:ligatures w14:val="none"/>
        </w:rPr>
        <w:t xml:space="preserve"> </w:t>
      </w:r>
    </w:p>
    <w:p w14:paraId="0E8183E6" w14:textId="77777777" w:rsidR="00FA6625" w:rsidRDefault="00FA6625" w:rsidP="00FA6625">
      <w:pPr>
        <w:spacing w:after="0" w:line="360" w:lineRule="auto"/>
        <w:ind w:firstLine="720"/>
        <w:jc w:val="both"/>
      </w:pPr>
      <w:r w:rsidRPr="00427270">
        <w:rPr>
          <w:rFonts w:cs="Times New Roman"/>
          <w:color w:val="1F1F1F"/>
          <w:szCs w:val="24"/>
          <w:shd w:val="clear" w:color="auto" w:fill="FFFFFF"/>
        </w:rPr>
        <w:lastRenderedPageBreak/>
        <w:t xml:space="preserve">Courts traditionally refrain from intervening in fee arrangements and work assignments and allow market forces to govern legal services. But the institution of a common-benefit fund and the designation of lead counsel </w:t>
      </w:r>
      <w:r>
        <w:rPr>
          <w:rFonts w:cs="Times New Roman"/>
          <w:color w:val="1F1F1F"/>
          <w:szCs w:val="24"/>
          <w:shd w:val="clear" w:color="auto" w:fill="FFFFFF"/>
        </w:rPr>
        <w:t xml:space="preserve">distort the market forces and </w:t>
      </w:r>
      <w:proofErr w:type="gramStart"/>
      <w:r w:rsidRPr="00427270">
        <w:rPr>
          <w:rFonts w:cs="Times New Roman"/>
          <w:color w:val="1F1F1F"/>
          <w:szCs w:val="24"/>
          <w:shd w:val="clear" w:color="auto" w:fill="FFFFFF"/>
        </w:rPr>
        <w:t>bypass</w:t>
      </w:r>
      <w:proofErr w:type="gramEnd"/>
      <w:r w:rsidRPr="00427270">
        <w:rPr>
          <w:rFonts w:cs="Times New Roman"/>
          <w:color w:val="1F1F1F"/>
          <w:szCs w:val="24"/>
          <w:shd w:val="clear" w:color="auto" w:fill="FFFFFF"/>
        </w:rPr>
        <w:t xml:space="preserve"> this self-regulation</w:t>
      </w:r>
      <w:r>
        <w:rPr>
          <w:rFonts w:cs="Times New Roman"/>
          <w:color w:val="1F1F1F"/>
          <w:szCs w:val="24"/>
          <w:shd w:val="clear" w:color="auto" w:fill="FFFFFF"/>
        </w:rPr>
        <w:t>.</w:t>
      </w:r>
      <w:r w:rsidRPr="00427270">
        <w:rPr>
          <w:rFonts w:cs="Times New Roman"/>
          <w:color w:val="000000" w:themeColor="text1"/>
          <w:kern w:val="0"/>
          <w:szCs w:val="24"/>
          <w14:ligatures w14:val="none"/>
        </w:rPr>
        <w:t xml:space="preserve"> </w:t>
      </w:r>
      <w:r w:rsidRPr="00427270">
        <w:rPr>
          <w:rFonts w:cs="Times New Roman"/>
          <w:color w:val="1F1F1F"/>
          <w:szCs w:val="24"/>
          <w:shd w:val="clear" w:color="auto" w:fill="FFFFFF"/>
        </w:rPr>
        <w:t xml:space="preserve">By </w:t>
      </w:r>
      <w:r>
        <w:rPr>
          <w:rFonts w:cs="Times New Roman"/>
          <w:color w:val="1F1F1F"/>
          <w:szCs w:val="24"/>
          <w:shd w:val="clear" w:color="auto" w:fill="FFFFFF"/>
        </w:rPr>
        <w:t>allowing the concentration</w:t>
      </w:r>
      <w:r w:rsidRPr="00427270">
        <w:rPr>
          <w:rFonts w:cs="Times New Roman"/>
          <w:color w:val="1F1F1F"/>
          <w:szCs w:val="24"/>
          <w:shd w:val="clear" w:color="auto" w:fill="FFFFFF"/>
        </w:rPr>
        <w:t xml:space="preserve"> of “premium</w:t>
      </w:r>
      <w:r>
        <w:rPr>
          <w:rFonts w:cs="Times New Roman"/>
          <w:color w:val="1F1F1F"/>
          <w:szCs w:val="24"/>
          <w:shd w:val="clear" w:color="auto" w:fill="FFFFFF"/>
        </w:rPr>
        <w:t>-valued</w:t>
      </w:r>
      <w:r w:rsidRPr="00427270">
        <w:rPr>
          <w:rFonts w:cs="Times New Roman"/>
          <w:color w:val="1F1F1F"/>
          <w:szCs w:val="24"/>
          <w:shd w:val="clear" w:color="auto" w:fill="FFFFFF"/>
        </w:rPr>
        <w:t xml:space="preserve">” </w:t>
      </w:r>
      <w:r>
        <w:rPr>
          <w:rFonts w:cs="Times New Roman"/>
          <w:color w:val="1F1F1F"/>
          <w:szCs w:val="24"/>
          <w:shd w:val="clear" w:color="auto" w:fill="FFFFFF"/>
        </w:rPr>
        <w:t>tasks</w:t>
      </w:r>
      <w:r w:rsidRPr="00427270">
        <w:rPr>
          <w:rFonts w:cs="Times New Roman"/>
          <w:color w:val="1F1F1F"/>
          <w:szCs w:val="24"/>
          <w:shd w:val="clear" w:color="auto" w:fill="FFFFFF"/>
        </w:rPr>
        <w:t xml:space="preserve">, the court reduces firm-to-firm competition and diminishes the standard pressures to limit costs, especially as these funds are designed to be fully spent.  </w:t>
      </w:r>
      <w:r>
        <w:t>This process has created opportunities for a small group of law firms to dominate, effectively establishing an exclusive, elite MDL bar.  Their dominance is further entrenched with each new appointment, as they gain additional experience that judges consider a critical factor in the selection process.</w:t>
      </w:r>
    </w:p>
    <w:p w14:paraId="19ADC21C" w14:textId="77777777" w:rsidR="00FA6625" w:rsidRPr="00427270" w:rsidRDefault="00FA6625" w:rsidP="00FA6625">
      <w:pPr>
        <w:spacing w:after="0" w:line="360" w:lineRule="auto"/>
        <w:ind w:firstLine="720"/>
        <w:jc w:val="both"/>
        <w:rPr>
          <w:rFonts w:cs="Times New Roman"/>
          <w:color w:val="1F1F1F"/>
          <w:szCs w:val="24"/>
          <w:shd w:val="clear" w:color="auto" w:fill="FFFFFF"/>
        </w:rPr>
      </w:pPr>
      <w:r>
        <w:t>Having fundamentally reshaped the competitive landscape, courts now bear a secondary responsibility to oversee outcomes and prevent a small minority of firms from monopolizing premium-valued tasks and fees.</w:t>
      </w:r>
      <w:r>
        <w:rPr>
          <w:rStyle w:val="FootnoteReference"/>
        </w:rPr>
        <w:footnoteReference w:id="26"/>
      </w:r>
      <w:r>
        <w:t xml:space="preserve">  While courts should continue encouraging the broad distribution of work among plaintiff firms, they should go further and engage in discussions with counsel regarding practical judicial-oversight measures. </w:t>
      </w:r>
      <w:r w:rsidRPr="00CB6429">
        <w:t xml:space="preserve">These measures should focus on the allocation of </w:t>
      </w:r>
      <w:r>
        <w:t>premium-</w:t>
      </w:r>
      <w:r w:rsidRPr="00CB6429">
        <w:t>value</w:t>
      </w:r>
      <w:r>
        <w:t>d</w:t>
      </w:r>
      <w:r w:rsidRPr="00CB6429">
        <w:t xml:space="preserve"> assignments through the periodic review of attorney time sheets, giving the court the real-time data necessary to </w:t>
      </w:r>
      <w:r>
        <w:t>act</w:t>
      </w:r>
      <w:r w:rsidRPr="00CB6429">
        <w:t xml:space="preserve"> promptly when appropriate.</w:t>
      </w:r>
      <w:r w:rsidRPr="00427270">
        <w:rPr>
          <w:rFonts w:cs="Times New Roman"/>
          <w:color w:val="1F1F1F"/>
          <w:szCs w:val="24"/>
          <w:shd w:val="clear" w:color="auto" w:fill="FFFFFF"/>
          <w:vertAlign w:val="superscript"/>
        </w:rPr>
        <w:footnoteReference w:id="27"/>
      </w:r>
      <w:r w:rsidRPr="00427270">
        <w:rPr>
          <w:rFonts w:cs="Times New Roman"/>
          <w:color w:val="1F1F1F"/>
          <w:szCs w:val="24"/>
          <w:shd w:val="clear" w:color="auto" w:fill="FFFFFF"/>
        </w:rPr>
        <w:t xml:space="preserve"> </w:t>
      </w:r>
      <w:r w:rsidRPr="00755B2D">
        <w:t xml:space="preserve"> </w:t>
      </w:r>
    </w:p>
    <w:p w14:paraId="39FC5E73" w14:textId="77777777" w:rsidR="00FA6625" w:rsidRDefault="00FA6625" w:rsidP="00FA6625">
      <w:pPr>
        <w:spacing w:after="0" w:line="240" w:lineRule="auto"/>
        <w:ind w:left="720" w:right="720"/>
        <w:jc w:val="both"/>
        <w:rPr>
          <w:kern w:val="0"/>
          <w14:ligatures w14:val="none"/>
        </w:rPr>
      </w:pPr>
      <w:r w:rsidRPr="00427270">
        <w:rPr>
          <w:rFonts w:cs="Times New Roman"/>
          <w:b/>
          <w:bCs/>
          <w:kern w:val="0"/>
          <w:szCs w:val="24"/>
          <w14:ligatures w14:val="none"/>
        </w:rPr>
        <w:t>Best Practice MDL-§ 7(d)(i</w:t>
      </w:r>
      <w:r>
        <w:rPr>
          <w:rFonts w:cs="Times New Roman"/>
          <w:b/>
          <w:bCs/>
          <w:kern w:val="0"/>
          <w:szCs w:val="24"/>
          <w14:ligatures w14:val="none"/>
        </w:rPr>
        <w:t>v</w:t>
      </w:r>
      <w:r w:rsidRPr="00427270">
        <w:rPr>
          <w:rFonts w:cs="Times New Roman"/>
          <w:b/>
          <w:bCs/>
          <w:kern w:val="0"/>
          <w:szCs w:val="24"/>
          <w14:ligatures w14:val="none"/>
        </w:rPr>
        <w:t>):</w:t>
      </w:r>
      <w:r w:rsidRPr="00427270">
        <w:t xml:space="preserve"> </w:t>
      </w:r>
      <w:r>
        <w:t xml:space="preserve">Plaintiff counsel should recommend guidelines aimed at broadening meaningful assignments and preventing a disproportionate concentration of high-compensation tasks within a small group of law firms.  </w:t>
      </w:r>
      <w:r w:rsidRPr="00427270">
        <w:rPr>
          <w:kern w:val="0"/>
          <w14:ligatures w14:val="none"/>
        </w:rPr>
        <w:t xml:space="preserve">Permanent No. </w:t>
      </w:r>
      <w:r w:rsidRPr="00427270">
        <w:rPr>
          <w:rFonts w:cs="Times New Roman"/>
          <w:kern w:val="0"/>
          <w:szCs w:val="24"/>
          <w14:ligatures w14:val="none"/>
        </w:rPr>
        <w:t>MDL-§ 14</w:t>
      </w:r>
      <w:r w:rsidRPr="00427270">
        <w:rPr>
          <w:kern w:val="0"/>
          <w14:ligatures w14:val="none"/>
        </w:rPr>
        <w:t>(d)(i</w:t>
      </w:r>
      <w:r>
        <w:rPr>
          <w:kern w:val="0"/>
          <w14:ligatures w14:val="none"/>
        </w:rPr>
        <w:t>v</w:t>
      </w:r>
      <w:r w:rsidRPr="00427270">
        <w:rPr>
          <w:kern w:val="0"/>
          <w14:ligatures w14:val="none"/>
        </w:rPr>
        <w:t>).</w:t>
      </w:r>
    </w:p>
    <w:p w14:paraId="21C0370C" w14:textId="77777777" w:rsidR="00FA6625" w:rsidRPr="00427270" w:rsidRDefault="00FA6625" w:rsidP="00FA6625">
      <w:pPr>
        <w:spacing w:after="0" w:line="240" w:lineRule="auto"/>
        <w:ind w:left="720" w:right="720"/>
        <w:jc w:val="both"/>
        <w:rPr>
          <w:rFonts w:cs="Times New Roman"/>
          <w:color w:val="1F1F1F"/>
          <w:szCs w:val="24"/>
          <w:shd w:val="clear" w:color="auto" w:fill="FFFFFF"/>
        </w:rPr>
      </w:pPr>
    </w:p>
    <w:p w14:paraId="660C95F5" w14:textId="77777777" w:rsidR="00FA6625" w:rsidRDefault="00FA6625" w:rsidP="00FA6625">
      <w:pPr>
        <w:shd w:val="clear" w:color="auto" w:fill="FFFFFF"/>
        <w:spacing w:after="180" w:line="360" w:lineRule="auto"/>
        <w:ind w:firstLine="720"/>
        <w:jc w:val="both"/>
      </w:pPr>
      <w:r w:rsidRPr="0023333E">
        <w:rPr>
          <w:rFonts w:cs="Times New Roman"/>
          <w:kern w:val="0"/>
          <w:szCs w:val="24"/>
          <w14:ligatures w14:val="none"/>
        </w:rPr>
        <w:lastRenderedPageBreak/>
        <w:t>T</w:t>
      </w:r>
      <w:r>
        <w:t xml:space="preserve">he issue of overconcentrating meaningful task assignments becomes problematic only in mass-tort MDLs when </w:t>
      </w:r>
      <w:proofErr w:type="gramStart"/>
      <w:r>
        <w:t>a large number of</w:t>
      </w:r>
      <w:proofErr w:type="gramEnd"/>
      <w:r>
        <w:t xml:space="preserve"> law firms -- such as 40 or more -- are expected to participate.</w:t>
      </w:r>
      <w:r>
        <w:rPr>
          <w:rFonts w:cs="Times New Roman"/>
          <w:kern w:val="0"/>
          <w:szCs w:val="24"/>
          <w14:ligatures w14:val="none"/>
        </w:rPr>
        <w:t xml:space="preserve">  In such cases, p</w:t>
      </w:r>
      <w:r w:rsidRPr="0000393C">
        <w:t xml:space="preserve">laintiff counsel should </w:t>
      </w:r>
      <w:r>
        <w:t>suggest</w:t>
      </w:r>
      <w:r w:rsidRPr="0000393C">
        <w:t xml:space="preserve"> </w:t>
      </w:r>
      <w:r>
        <w:t>standards and measures</w:t>
      </w:r>
      <w:r w:rsidRPr="0000393C">
        <w:t xml:space="preserve"> </w:t>
      </w:r>
      <w:r>
        <w:t>that timely alert the court</w:t>
      </w:r>
      <w:r w:rsidRPr="0000393C">
        <w:t xml:space="preserve"> whe</w:t>
      </w:r>
      <w:r>
        <w:t>n</w:t>
      </w:r>
      <w:r w:rsidRPr="0000393C">
        <w:t xml:space="preserve"> </w:t>
      </w:r>
      <w:r>
        <w:t>task</w:t>
      </w:r>
      <w:r w:rsidRPr="0000393C">
        <w:t xml:space="preserve"> </w:t>
      </w:r>
      <w:r>
        <w:t xml:space="preserve">assignments </w:t>
      </w:r>
      <w:r w:rsidRPr="0000393C">
        <w:t>and fees</w:t>
      </w:r>
      <w:r>
        <w:t xml:space="preserve"> </w:t>
      </w:r>
      <w:r w:rsidRPr="00F61822">
        <w:t xml:space="preserve">start to become disproportionately concentrated </w:t>
      </w:r>
      <w:r>
        <w:t>within</w:t>
      </w:r>
      <w:r w:rsidRPr="00F61822">
        <w:t xml:space="preserve"> a limited number of firms</w:t>
      </w:r>
      <w:r w:rsidRPr="0000393C">
        <w:t>.</w:t>
      </w:r>
      <w:r>
        <w:t xml:space="preserve">  Determining the point at which time there is a disproportionate concentration of high-compensation tasks will depend on the circumstances of the mass-tort MDL.   </w:t>
      </w:r>
    </w:p>
    <w:p w14:paraId="0BE1C69A" w14:textId="77777777" w:rsidR="00FA6625" w:rsidRPr="00427270" w:rsidRDefault="00FA6625" w:rsidP="00FA6625">
      <w:pPr>
        <w:spacing w:after="0" w:line="360" w:lineRule="auto"/>
        <w:ind w:firstLine="720"/>
        <w:jc w:val="both"/>
        <w:rPr>
          <w:rFonts w:cs="Times New Roman"/>
          <w:szCs w:val="24"/>
        </w:rPr>
      </w:pPr>
      <w:r>
        <w:t xml:space="preserve">During the Rule 16.1 conference, the court and plaintiff counsel should discuss guidelines designed to promote a more balanced distribution of the common-benefit fund.  </w:t>
      </w:r>
      <w:r w:rsidRPr="00427270">
        <w:rPr>
          <w:rFonts w:cs="Times New Roman"/>
          <w:color w:val="1F1F1F"/>
          <w:szCs w:val="24"/>
          <w:shd w:val="clear" w:color="auto" w:fill="FFFFFF"/>
        </w:rPr>
        <w:t xml:space="preserve">Spreading meaningful work </w:t>
      </w:r>
      <w:r>
        <w:rPr>
          <w:rFonts w:cs="Times New Roman"/>
          <w:color w:val="1F1F1F"/>
          <w:szCs w:val="24"/>
          <w:shd w:val="clear" w:color="auto" w:fill="FFFFFF"/>
        </w:rPr>
        <w:t xml:space="preserve">assignments </w:t>
      </w:r>
      <w:r w:rsidRPr="00427270">
        <w:rPr>
          <w:rFonts w:cs="Times New Roman"/>
          <w:color w:val="1F1F1F"/>
          <w:szCs w:val="24"/>
          <w:shd w:val="clear" w:color="auto" w:fill="FFFFFF"/>
        </w:rPr>
        <w:t>more broadly ensures that more attorneys are performing substantive work, which may accelerate settlements by keeping more parties actively engaged, well-informed, and confident that their interests are being prioritized.</w:t>
      </w:r>
      <w:r>
        <w:rPr>
          <w:rStyle w:val="FootnoteReference"/>
          <w:rFonts w:cs="Times New Roman"/>
          <w:color w:val="1F1F1F"/>
          <w:szCs w:val="24"/>
          <w:shd w:val="clear" w:color="auto" w:fill="FFFFFF"/>
        </w:rPr>
        <w:footnoteReference w:id="28"/>
      </w:r>
      <w:r>
        <w:rPr>
          <w:rFonts w:cs="Times New Roman"/>
          <w:color w:val="1F1F1F"/>
          <w:szCs w:val="24"/>
          <w:shd w:val="clear" w:color="auto" w:fill="FFFFFF"/>
        </w:rPr>
        <w:t xml:space="preserve"> </w:t>
      </w:r>
      <w:r w:rsidRPr="00427270">
        <w:rPr>
          <w:rFonts w:cs="Times New Roman"/>
          <w:color w:val="1F1F1F"/>
          <w:szCs w:val="24"/>
          <w:shd w:val="clear" w:color="auto" w:fill="FFFFFF"/>
        </w:rPr>
        <w:t>Implementing cap</w:t>
      </w:r>
      <w:r>
        <w:rPr>
          <w:rFonts w:cs="Times New Roman"/>
          <w:color w:val="1F1F1F"/>
          <w:szCs w:val="24"/>
          <w:shd w:val="clear" w:color="auto" w:fill="FFFFFF"/>
        </w:rPr>
        <w:t xml:space="preserve">s </w:t>
      </w:r>
      <w:r w:rsidRPr="00427270">
        <w:rPr>
          <w:rFonts w:cs="Times New Roman"/>
          <w:color w:val="1F1F1F"/>
          <w:szCs w:val="24"/>
          <w:shd w:val="clear" w:color="auto" w:fill="FFFFFF"/>
        </w:rPr>
        <w:t xml:space="preserve">can incentivize common-benefit lawyers to prioritize significant matters and decline marginal-value </w:t>
      </w:r>
      <w:r>
        <w:rPr>
          <w:rFonts w:cs="Times New Roman"/>
          <w:color w:val="1F1F1F"/>
          <w:szCs w:val="24"/>
          <w:shd w:val="clear" w:color="auto" w:fill="FFFFFF"/>
        </w:rPr>
        <w:t>tasks</w:t>
      </w:r>
      <w:r w:rsidRPr="00427270">
        <w:rPr>
          <w:rFonts w:cs="Times New Roman"/>
          <w:color w:val="1F1F1F"/>
          <w:szCs w:val="24"/>
          <w:shd w:val="clear" w:color="auto" w:fill="FFFFFF"/>
        </w:rPr>
        <w:t xml:space="preserve"> once the cap is reached.</w:t>
      </w:r>
      <w:r>
        <w:rPr>
          <w:rStyle w:val="FootnoteReference"/>
          <w:rFonts w:cs="Times New Roman"/>
          <w:color w:val="1F1F1F"/>
          <w:szCs w:val="24"/>
          <w:shd w:val="clear" w:color="auto" w:fill="FFFFFF"/>
        </w:rPr>
        <w:footnoteReference w:id="29"/>
      </w:r>
    </w:p>
    <w:p w14:paraId="6F8CB951" w14:textId="77777777" w:rsidR="00FA6625" w:rsidRDefault="00FA6625" w:rsidP="00FA6625">
      <w:pPr>
        <w:spacing w:after="0" w:line="360" w:lineRule="auto"/>
        <w:ind w:firstLine="720"/>
        <w:jc w:val="both"/>
        <w:rPr>
          <w:rFonts w:cs="Times New Roman"/>
          <w:color w:val="1F1F1F"/>
          <w:szCs w:val="24"/>
          <w:shd w:val="clear" w:color="auto" w:fill="FFFFFF"/>
        </w:rPr>
      </w:pPr>
      <w:r>
        <w:rPr>
          <w:rFonts w:cs="Times New Roman"/>
          <w:color w:val="1F1F1F"/>
          <w:szCs w:val="24"/>
          <w:shd w:val="clear" w:color="auto" w:fill="FFFFFF"/>
        </w:rPr>
        <w:t xml:space="preserve">Assigning most of the “premium-valued” work to a limited number of firms has </w:t>
      </w:r>
      <w:r w:rsidRPr="00427270">
        <w:rPr>
          <w:rFonts w:cs="Times New Roman"/>
          <w:color w:val="1F1F1F"/>
          <w:szCs w:val="24"/>
          <w:shd w:val="clear" w:color="auto" w:fill="FFFFFF"/>
        </w:rPr>
        <w:t xml:space="preserve">often </w:t>
      </w:r>
      <w:r>
        <w:rPr>
          <w:rFonts w:cs="Times New Roman"/>
          <w:color w:val="1F1F1F"/>
          <w:szCs w:val="24"/>
          <w:shd w:val="clear" w:color="auto" w:fill="FFFFFF"/>
        </w:rPr>
        <w:t xml:space="preserve">been </w:t>
      </w:r>
      <w:r w:rsidRPr="00427270">
        <w:rPr>
          <w:rFonts w:cs="Times New Roman"/>
          <w:color w:val="1F1F1F"/>
          <w:szCs w:val="24"/>
          <w:shd w:val="clear" w:color="auto" w:fill="FFFFFF"/>
        </w:rPr>
        <w:t>defended in the name of efficiency</w:t>
      </w:r>
      <w:r>
        <w:rPr>
          <w:rFonts w:cs="Times New Roman"/>
          <w:color w:val="1F1F1F"/>
          <w:szCs w:val="24"/>
          <w:shd w:val="clear" w:color="auto" w:fill="FFFFFF"/>
        </w:rPr>
        <w:t>, yet lead counsel already efficiently manage a workload that involves hundreds of lawyers from different firms.</w:t>
      </w:r>
      <w:r>
        <w:rPr>
          <w:rStyle w:val="FootnoteReference"/>
          <w:rFonts w:cs="Times New Roman"/>
          <w:color w:val="1F1F1F"/>
          <w:szCs w:val="24"/>
          <w:shd w:val="clear" w:color="auto" w:fill="FFFFFF"/>
        </w:rPr>
        <w:footnoteReference w:id="30"/>
      </w:r>
      <w:r>
        <w:rPr>
          <w:rFonts w:cs="Times New Roman"/>
          <w:color w:val="1F1F1F"/>
          <w:szCs w:val="24"/>
          <w:shd w:val="clear" w:color="auto" w:fill="FFFFFF"/>
        </w:rPr>
        <w:t xml:space="preserve"> Moreover, overseeing more firms performing premium-valued tasks </w:t>
      </w:r>
      <w:r>
        <w:t>would not undermine lead counsel’s authority to manage the MDL.</w:t>
      </w:r>
    </w:p>
    <w:p w14:paraId="04AE3B2F" w14:textId="77777777" w:rsidR="00FA6625" w:rsidRDefault="00FA6625" w:rsidP="00FA6625">
      <w:pPr>
        <w:spacing w:after="0" w:line="360" w:lineRule="auto"/>
        <w:ind w:firstLine="720"/>
        <w:jc w:val="both"/>
        <w:rPr>
          <w:rFonts w:ascii="Arial" w:hAnsi="Arial" w:cs="Arial"/>
          <w:color w:val="1F1F1F"/>
          <w:sz w:val="20"/>
          <w:szCs w:val="20"/>
          <w:shd w:val="clear" w:color="auto" w:fill="FFFFFF"/>
        </w:rPr>
      </w:pPr>
      <w:r>
        <w:t xml:space="preserve">Others contend that restricting premium-valued task assignments to a select few law firms promotes greater efficiency. Proponents of this view point out that, much like in class actions, </w:t>
      </w:r>
      <w:r>
        <w:lastRenderedPageBreak/>
        <w:t xml:space="preserve">courts have an obligation to appoint counsel who are </w:t>
      </w:r>
      <w:r w:rsidRPr="00ED5C7E">
        <w:rPr>
          <w:rFonts w:cs="Times New Roman"/>
          <w:color w:val="1F1F1F"/>
          <w:szCs w:val="24"/>
          <w:shd w:val="clear" w:color="auto" w:fill="FFFFFF"/>
        </w:rPr>
        <w:t xml:space="preserve">“best able to represent the interests” </w:t>
      </w:r>
      <w:r>
        <w:t>of all plaintiffs</w:t>
      </w:r>
      <w:r w:rsidRPr="00ED5C7E">
        <w:rPr>
          <w:rFonts w:cs="Times New Roman"/>
          <w:color w:val="1F1F1F"/>
          <w:szCs w:val="24"/>
          <w:shd w:val="clear" w:color="auto" w:fill="FFFFFF"/>
        </w:rPr>
        <w:t>.</w:t>
      </w:r>
      <w:r w:rsidRPr="00ED5C7E">
        <w:rPr>
          <w:rStyle w:val="FootnoteReference"/>
          <w:rFonts w:cs="Times New Roman"/>
          <w:color w:val="1F1F1F"/>
          <w:szCs w:val="24"/>
          <w:shd w:val="clear" w:color="auto" w:fill="FFFFFF"/>
        </w:rPr>
        <w:footnoteReference w:id="31"/>
      </w:r>
      <w:r w:rsidRPr="00ED5C7E">
        <w:rPr>
          <w:rFonts w:cs="Times New Roman"/>
          <w:color w:val="1F1F1F"/>
          <w:szCs w:val="24"/>
          <w:shd w:val="clear" w:color="auto" w:fill="FFFFFF"/>
        </w:rPr>
        <w:t xml:space="preserve"> While courts </w:t>
      </w:r>
      <w:r>
        <w:rPr>
          <w:rFonts w:cs="Times New Roman"/>
          <w:color w:val="1F1F1F"/>
          <w:szCs w:val="24"/>
          <w:shd w:val="clear" w:color="auto" w:fill="FFFFFF"/>
        </w:rPr>
        <w:t>have</w:t>
      </w:r>
      <w:r w:rsidRPr="00ED5C7E">
        <w:rPr>
          <w:rFonts w:cs="Times New Roman"/>
          <w:color w:val="1F1F1F"/>
          <w:szCs w:val="24"/>
          <w:shd w:val="clear" w:color="auto" w:fill="FFFFFF"/>
        </w:rPr>
        <w:t xml:space="preserve"> an interest in limiting the size of leadership to facilitate the prompt conclusion of an MDL, this must be weighed against the rights of individual plaintiffs. Because plaintiffs in an MDL retain private counsel, those attorneys should be permitted to play a meaningful role in the proceedings.</w:t>
      </w:r>
      <w:r>
        <w:rPr>
          <w:rFonts w:cs="Times New Roman"/>
          <w:color w:val="1F1F1F"/>
          <w:szCs w:val="24"/>
          <w:shd w:val="clear" w:color="auto" w:fill="FFFFFF"/>
        </w:rPr>
        <w:t xml:space="preserve"> </w:t>
      </w:r>
      <w:r>
        <w:t xml:space="preserve">Rather than hindering efficiency, the active involvement of a broader group of lawyers may </w:t>
      </w:r>
      <w:proofErr w:type="gramStart"/>
      <w:r>
        <w:t>actually improve</w:t>
      </w:r>
      <w:proofErr w:type="gramEnd"/>
      <w:r>
        <w:t xml:space="preserve"> performance and accelerate the path to a resolution.</w:t>
      </w:r>
    </w:p>
    <w:p w14:paraId="2B213D23" w14:textId="77777777" w:rsidR="00FA6625" w:rsidRDefault="00FA6625" w:rsidP="00FA6625">
      <w:pPr>
        <w:spacing w:after="0" w:line="360" w:lineRule="auto"/>
        <w:ind w:firstLine="720"/>
        <w:jc w:val="both"/>
      </w:pPr>
      <w:r w:rsidRPr="00EC57B9">
        <w:t xml:space="preserve">One strategy to promote wider participation among firms is to allocate half of the common-benefit fund for broad distribution, capped at a specific percentage per firm (such as 2.5%), after the primary leadership firms receive their share from the remaining 50%. This structure </w:t>
      </w:r>
      <w:r>
        <w:t>provides</w:t>
      </w:r>
      <w:r w:rsidRPr="00EC57B9">
        <w:t xml:space="preserve"> lead counsel </w:t>
      </w:r>
      <w:r>
        <w:t xml:space="preserve">wide flexibility </w:t>
      </w:r>
      <w:r w:rsidRPr="00EC57B9">
        <w:t xml:space="preserve">to compensate top-tier firms while guaranteeing that substantial funds remain accessible to a larger pool of participants. Alternatively, a 5% </w:t>
      </w:r>
      <w:proofErr w:type="gramStart"/>
      <w:r w:rsidRPr="00EC57B9">
        <w:t xml:space="preserve">cap </w:t>
      </w:r>
      <w:r>
        <w:t>for every firm</w:t>
      </w:r>
      <w:proofErr w:type="gramEnd"/>
      <w:r>
        <w:t xml:space="preserve"> </w:t>
      </w:r>
      <w:r w:rsidRPr="00EC57B9">
        <w:t>could be established, potentially allowing dozens of firms to double or triple their payouts; for instance, in a $500 million fund, this shift could elevate individual allocations from a typical 0.5% ($2.5 million) to as much as 2% ($10 million).</w:t>
      </w:r>
      <w:r>
        <w:rPr>
          <w:rStyle w:val="FootnoteReference"/>
        </w:rPr>
        <w:footnoteReference w:id="32"/>
      </w:r>
      <w:r w:rsidRPr="003B0F6C">
        <w:t xml:space="preserve"> </w:t>
      </w:r>
    </w:p>
    <w:p w14:paraId="353330FF" w14:textId="77777777" w:rsidR="00FA6625" w:rsidRPr="00427270" w:rsidRDefault="00FA6625" w:rsidP="00FA6625">
      <w:pPr>
        <w:spacing w:after="0" w:line="360" w:lineRule="auto"/>
        <w:ind w:firstLine="720"/>
        <w:jc w:val="both"/>
        <w:rPr>
          <w:rFonts w:cs="Times New Roman"/>
          <w:color w:val="000000" w:themeColor="text1"/>
          <w:kern w:val="0"/>
          <w:szCs w:val="24"/>
          <w14:ligatures w14:val="none"/>
        </w:rPr>
      </w:pPr>
      <w:r w:rsidRPr="00427270">
        <w:rPr>
          <w:rFonts w:cs="Times New Roman"/>
          <w:color w:val="000000" w:themeColor="text1"/>
          <w:kern w:val="0"/>
          <w:szCs w:val="24"/>
          <w14:ligatures w14:val="none"/>
        </w:rPr>
        <w:t>Top lawyers would not be discouraged from applying for lead positions by a cap, given that individual remuneration would not necessarily be impacted.</w:t>
      </w:r>
      <w:r w:rsidRPr="00427270">
        <w:rPr>
          <w:rFonts w:cs="Times New Roman"/>
          <w:color w:val="000000" w:themeColor="text1"/>
          <w:kern w:val="0"/>
          <w:szCs w:val="24"/>
          <w:vertAlign w:val="superscript"/>
          <w14:ligatures w14:val="none"/>
        </w:rPr>
        <w:footnoteReference w:id="33"/>
      </w:r>
      <w:r w:rsidRPr="00427270">
        <w:rPr>
          <w:rFonts w:cs="Times New Roman"/>
          <w:color w:val="000000" w:themeColor="text1"/>
          <w:kern w:val="0"/>
          <w:szCs w:val="24"/>
          <w14:ligatures w14:val="none"/>
        </w:rPr>
        <w:t xml:space="preserve">  Lead counsel would still be entitled to substantially higher compensation because of the value of their work, </w:t>
      </w:r>
      <w:r w:rsidRPr="00427270">
        <w:rPr>
          <w:rFonts w:cs="Times New Roman"/>
          <w:i/>
          <w:iCs/>
          <w:color w:val="000000" w:themeColor="text1"/>
          <w:kern w:val="0"/>
          <w:szCs w:val="24"/>
          <w14:ligatures w14:val="none"/>
        </w:rPr>
        <w:t>e.g</w:t>
      </w:r>
      <w:r w:rsidRPr="00427270">
        <w:rPr>
          <w:rFonts w:cs="Times New Roman"/>
          <w:color w:val="000000" w:themeColor="text1"/>
          <w:kern w:val="0"/>
          <w:szCs w:val="24"/>
          <w14:ligatures w14:val="none"/>
        </w:rPr>
        <w:t xml:space="preserve">., thousands of dollars per hourly rate.  In addition, expenses would be reimbursed separately from the 2% set aside in the fund for common expenses.  But the number of lawyers in a single firm who would be eligible for common-benefit compensation would be limited because a law firm could no longer be allocated 10%-15% of the common-benefit fund.  </w:t>
      </w:r>
    </w:p>
    <w:p w14:paraId="07EB72D8" w14:textId="77777777" w:rsidR="00FA6625" w:rsidRDefault="00FA6625" w:rsidP="00FA6625">
      <w:pPr>
        <w:spacing w:after="0" w:line="360" w:lineRule="auto"/>
        <w:ind w:firstLine="720"/>
        <w:jc w:val="both"/>
        <w:rPr>
          <w:rFonts w:cs="Times New Roman"/>
          <w:color w:val="000000" w:themeColor="text1"/>
          <w:kern w:val="0"/>
          <w:szCs w:val="24"/>
          <w14:ligatures w14:val="none"/>
        </w:rPr>
      </w:pPr>
      <w:r w:rsidRPr="00427270">
        <w:rPr>
          <w:rFonts w:cs="Times New Roman"/>
          <w:color w:val="000000" w:themeColor="text1"/>
          <w:kern w:val="0"/>
          <w:szCs w:val="24"/>
          <w14:ligatures w14:val="none"/>
        </w:rPr>
        <w:t xml:space="preserve">Although managing a cap for many law firms would be challenging, it is similar in nature to the challenge </w:t>
      </w:r>
      <w:r>
        <w:rPr>
          <w:rFonts w:cs="Times New Roman"/>
          <w:color w:val="000000" w:themeColor="text1"/>
          <w:kern w:val="0"/>
          <w:szCs w:val="24"/>
          <w14:ligatures w14:val="none"/>
        </w:rPr>
        <w:t>lead counsel</w:t>
      </w:r>
      <w:r w:rsidRPr="00427270">
        <w:rPr>
          <w:rFonts w:cs="Times New Roman"/>
          <w:color w:val="000000" w:themeColor="text1"/>
          <w:kern w:val="0"/>
          <w:szCs w:val="24"/>
          <w14:ligatures w14:val="none"/>
        </w:rPr>
        <w:t xml:space="preserve"> already face not to exceed the overall common-benefit assessment.</w:t>
      </w:r>
      <w:r w:rsidRPr="00427270">
        <w:rPr>
          <w:rFonts w:cs="Times New Roman"/>
          <w:color w:val="000000" w:themeColor="text1"/>
          <w:kern w:val="0"/>
          <w:szCs w:val="24"/>
          <w:vertAlign w:val="superscript"/>
          <w14:ligatures w14:val="none"/>
        </w:rPr>
        <w:footnoteReference w:id="34"/>
      </w:r>
      <w:r w:rsidRPr="00427270">
        <w:rPr>
          <w:rFonts w:cs="Times New Roman"/>
          <w:color w:val="000000" w:themeColor="text1"/>
          <w:kern w:val="0"/>
          <w:szCs w:val="24"/>
          <w14:ligatures w14:val="none"/>
        </w:rPr>
        <w:t xml:space="preserve"> </w:t>
      </w:r>
      <w:r>
        <w:rPr>
          <w:rFonts w:cs="Times New Roman"/>
          <w:color w:val="000000" w:themeColor="text1"/>
          <w:kern w:val="0"/>
          <w:szCs w:val="24"/>
          <w14:ligatures w14:val="none"/>
        </w:rPr>
        <w:lastRenderedPageBreak/>
        <w:t>In many mass-tort MDLs, s</w:t>
      </w:r>
      <w:r w:rsidRPr="00427270">
        <w:rPr>
          <w:rFonts w:cs="Times New Roman"/>
          <w:color w:val="1F1F1F"/>
          <w:szCs w:val="24"/>
          <w:shd w:val="clear" w:color="auto" w:fill="FFFFFF"/>
        </w:rPr>
        <w:t xml:space="preserve">pecial masters are utilized in mass-tort MDLs to </w:t>
      </w:r>
      <w:r>
        <w:rPr>
          <w:rFonts w:cs="Times New Roman"/>
          <w:color w:val="1F1F1F"/>
          <w:szCs w:val="24"/>
          <w:shd w:val="clear" w:color="auto" w:fill="FFFFFF"/>
        </w:rPr>
        <w:t xml:space="preserve">monitor the expenditure of the common-benefit fund through </w:t>
      </w:r>
      <w:r w:rsidRPr="00427270">
        <w:rPr>
          <w:rFonts w:cs="Times New Roman"/>
          <w:color w:val="1F1F1F"/>
          <w:szCs w:val="24"/>
          <w:shd w:val="clear" w:color="auto" w:fill="FFFFFF"/>
        </w:rPr>
        <w:t>periodic audit</w:t>
      </w:r>
      <w:r>
        <w:rPr>
          <w:rFonts w:cs="Times New Roman"/>
          <w:color w:val="1F1F1F"/>
          <w:szCs w:val="24"/>
          <w:shd w:val="clear" w:color="auto" w:fill="FFFFFF"/>
        </w:rPr>
        <w:t xml:space="preserve">s of </w:t>
      </w:r>
      <w:r w:rsidRPr="00427270">
        <w:rPr>
          <w:rFonts w:cs="Times New Roman"/>
          <w:color w:val="1F1F1F"/>
          <w:szCs w:val="24"/>
          <w:shd w:val="clear" w:color="auto" w:fill="FFFFFF"/>
        </w:rPr>
        <w:t>monthly common-benefit reports. This oversight would be particularly valuable when caps are placed on firm allocations; early identification of eligible work ensures that law firms do not devote significant hours to tasks that will ultimately be rejected for compensation.</w:t>
      </w:r>
      <w:r w:rsidRPr="00427270">
        <w:rPr>
          <w:rFonts w:cs="Times New Roman"/>
          <w:color w:val="000000" w:themeColor="text1"/>
          <w:kern w:val="0"/>
          <w:szCs w:val="24"/>
          <w:vertAlign w:val="superscript"/>
          <w14:ligatures w14:val="none"/>
        </w:rPr>
        <w:t xml:space="preserve"> </w:t>
      </w:r>
      <w:r w:rsidRPr="00427270">
        <w:rPr>
          <w:rFonts w:cs="Times New Roman"/>
          <w:color w:val="000000" w:themeColor="text1"/>
          <w:kern w:val="0"/>
          <w:szCs w:val="24"/>
          <w:vertAlign w:val="superscript"/>
          <w14:ligatures w14:val="none"/>
        </w:rPr>
        <w:footnoteReference w:id="35"/>
      </w:r>
      <w:r w:rsidRPr="00427270">
        <w:rPr>
          <w:rFonts w:cs="Times New Roman"/>
          <w:color w:val="000000" w:themeColor="text1"/>
          <w:kern w:val="0"/>
          <w:szCs w:val="24"/>
          <w14:ligatures w14:val="none"/>
        </w:rPr>
        <w:t xml:space="preserve">  </w:t>
      </w:r>
    </w:p>
    <w:p w14:paraId="6EA17187" w14:textId="77777777" w:rsidR="00FA6625" w:rsidRPr="003E5182" w:rsidRDefault="00FA6625" w:rsidP="00FA6625">
      <w:pPr>
        <w:shd w:val="clear" w:color="auto" w:fill="FFFFFF"/>
        <w:spacing w:after="180" w:line="360" w:lineRule="auto"/>
        <w:ind w:firstLine="720"/>
        <w:jc w:val="both"/>
        <w:rPr>
          <w:rFonts w:ascii="Arial" w:eastAsia="Times New Roman" w:hAnsi="Arial" w:cs="Arial"/>
          <w:color w:val="444746"/>
          <w:kern w:val="0"/>
          <w:sz w:val="17"/>
          <w:szCs w:val="17"/>
          <w14:ligatures w14:val="none"/>
        </w:rPr>
      </w:pPr>
      <w:r w:rsidRPr="003E5182">
        <w:rPr>
          <w:rFonts w:eastAsia="Times New Roman" w:cs="Times New Roman"/>
          <w:color w:val="1F1F1F"/>
          <w:kern w:val="0"/>
          <w:szCs w:val="24"/>
          <w14:ligatures w14:val="none"/>
        </w:rPr>
        <w:t xml:space="preserve">Assessing the appropriate proportional allocation for law-firm assignments depends on </w:t>
      </w:r>
      <w:r>
        <w:rPr>
          <w:rFonts w:eastAsia="Times New Roman" w:cs="Times New Roman"/>
          <w:color w:val="1F1F1F"/>
          <w:kern w:val="0"/>
          <w:szCs w:val="24"/>
          <w14:ligatures w14:val="none"/>
        </w:rPr>
        <w:t xml:space="preserve">an estimate of the projected </w:t>
      </w:r>
      <w:r w:rsidRPr="003E5182">
        <w:rPr>
          <w:rFonts w:eastAsia="Times New Roman" w:cs="Times New Roman"/>
          <w:color w:val="1F1F1F"/>
          <w:kern w:val="0"/>
          <w:szCs w:val="24"/>
          <w14:ligatures w14:val="none"/>
        </w:rPr>
        <w:t xml:space="preserve">final settlement amount and the </w:t>
      </w:r>
      <w:r>
        <w:rPr>
          <w:rFonts w:eastAsia="Times New Roman" w:cs="Times New Roman"/>
          <w:color w:val="1F1F1F"/>
          <w:kern w:val="0"/>
          <w:szCs w:val="24"/>
          <w14:ligatures w14:val="none"/>
        </w:rPr>
        <w:t>compensation for</w:t>
      </w:r>
      <w:r w:rsidRPr="003E5182">
        <w:rPr>
          <w:rFonts w:eastAsia="Times New Roman" w:cs="Times New Roman"/>
          <w:color w:val="1F1F1F"/>
          <w:kern w:val="0"/>
          <w:szCs w:val="24"/>
          <w14:ligatures w14:val="none"/>
        </w:rPr>
        <w:t xml:space="preserve"> the specific tasks performed</w:t>
      </w:r>
      <w:r>
        <w:rPr>
          <w:rFonts w:eastAsia="Times New Roman" w:cs="Times New Roman"/>
          <w:color w:val="1F1F1F"/>
          <w:kern w:val="0"/>
          <w:szCs w:val="24"/>
          <w14:ligatures w14:val="none"/>
        </w:rPr>
        <w:t>, which often reflects a multiplier for premium-valued tasks</w:t>
      </w:r>
      <w:r w:rsidRPr="003E5182">
        <w:rPr>
          <w:rFonts w:eastAsia="Times New Roman" w:cs="Times New Roman"/>
          <w:color w:val="1F1F1F"/>
          <w:kern w:val="0"/>
          <w:szCs w:val="24"/>
          <w14:ligatures w14:val="none"/>
        </w:rPr>
        <w:t xml:space="preserve">. While it is not possible to establish precise multipliers for task categories at the start of litigation, reasonable projections can be developed. Similarly, settlement amounts can be estimated with increasing accuracy as the MDL moves forward. These combined projections can then be used to </w:t>
      </w:r>
      <w:r>
        <w:rPr>
          <w:rFonts w:eastAsia="Times New Roman" w:cs="Times New Roman"/>
          <w:color w:val="1F1F1F"/>
          <w:kern w:val="0"/>
          <w:szCs w:val="24"/>
          <w14:ligatures w14:val="none"/>
        </w:rPr>
        <w:t>evaluate</w:t>
      </w:r>
      <w:r w:rsidRPr="003E5182">
        <w:rPr>
          <w:rFonts w:eastAsia="Times New Roman" w:cs="Times New Roman"/>
          <w:color w:val="1F1F1F"/>
          <w:kern w:val="0"/>
          <w:szCs w:val="24"/>
          <w14:ligatures w14:val="none"/>
        </w:rPr>
        <w:t xml:space="preserve"> and refine proportional compensation among the various firms throughout the course of the litigation.</w:t>
      </w:r>
      <w:r>
        <w:rPr>
          <w:rFonts w:eastAsia="Times New Roman" w:cs="Times New Roman"/>
          <w:color w:val="1F1F1F"/>
          <w:kern w:val="0"/>
          <w:szCs w:val="24"/>
          <w14:ligatures w14:val="none"/>
        </w:rPr>
        <w:t xml:space="preserve"> </w:t>
      </w:r>
    </w:p>
    <w:p w14:paraId="428D3690" w14:textId="77777777" w:rsidR="00FA6625" w:rsidRPr="00427270" w:rsidRDefault="00FA6625" w:rsidP="00FA6625">
      <w:pPr>
        <w:spacing w:after="0" w:line="360" w:lineRule="auto"/>
        <w:ind w:firstLine="720"/>
        <w:jc w:val="both"/>
        <w:rPr>
          <w:rFonts w:cs="Times New Roman"/>
          <w:color w:val="000000" w:themeColor="text1"/>
          <w:kern w:val="0"/>
          <w:szCs w:val="24"/>
          <w14:ligatures w14:val="none"/>
        </w:rPr>
      </w:pPr>
      <w:r>
        <w:t>None of the strategies is meant to be restrictive, nor do they exclude alternative structures designed to enhance common-benefit shares.  Moreover, any limitation should be adjustable to suit the specific needs of a case.</w:t>
      </w:r>
      <w:r>
        <w:rPr>
          <w:rStyle w:val="FootnoteReference"/>
        </w:rPr>
        <w:footnoteReference w:id="36"/>
      </w:r>
      <w:r>
        <w:t xml:space="preserve">  But it is important that any proposed framework reflects the reality of current allocation levels; at 10% to 15% distributed to five to seven firms, respectively, there is little room for higher compensation among scores of other firms.   </w:t>
      </w:r>
    </w:p>
    <w:p w14:paraId="3E730928" w14:textId="77777777" w:rsidR="00FA6625" w:rsidRDefault="00FA6625" w:rsidP="00210990">
      <w:pPr>
        <w:spacing w:after="0" w:line="240" w:lineRule="auto"/>
        <w:ind w:left="720" w:right="720"/>
        <w:jc w:val="both"/>
        <w:rPr>
          <w:kern w:val="0"/>
          <w14:ligatures w14:val="none"/>
        </w:rPr>
      </w:pPr>
      <w:r w:rsidRPr="00427270">
        <w:rPr>
          <w:rFonts w:cs="Times New Roman"/>
          <w:b/>
          <w:bCs/>
          <w:kern w:val="0"/>
          <w:szCs w:val="24"/>
          <w14:ligatures w14:val="none"/>
        </w:rPr>
        <w:t>Best Practice MDL-§ 7(d)(</w:t>
      </w:r>
      <w:r>
        <w:rPr>
          <w:rFonts w:cs="Times New Roman"/>
          <w:b/>
          <w:bCs/>
          <w:kern w:val="0"/>
          <w:szCs w:val="24"/>
          <w14:ligatures w14:val="none"/>
        </w:rPr>
        <w:t>v</w:t>
      </w:r>
      <w:r w:rsidRPr="00427270">
        <w:rPr>
          <w:rFonts w:cs="Times New Roman"/>
          <w:b/>
          <w:bCs/>
          <w:kern w:val="0"/>
          <w:szCs w:val="24"/>
          <w14:ligatures w14:val="none"/>
        </w:rPr>
        <w:t>):</w:t>
      </w:r>
      <w:r w:rsidRPr="00427270">
        <w:t xml:space="preserve"> </w:t>
      </w:r>
      <w:r>
        <w:t xml:space="preserve">Plaintiff counsel should recommend measures to improve transparency regarding available common-benefit task assignment opportunities, such as disclosing the names of firms that were both approved for and denied assignments. </w:t>
      </w:r>
      <w:r w:rsidRPr="00427270">
        <w:rPr>
          <w:kern w:val="0"/>
          <w14:ligatures w14:val="none"/>
        </w:rPr>
        <w:t xml:space="preserve">Permanent No. </w:t>
      </w:r>
      <w:r w:rsidRPr="00427270">
        <w:rPr>
          <w:rFonts w:cs="Times New Roman"/>
          <w:kern w:val="0"/>
          <w:szCs w:val="24"/>
          <w14:ligatures w14:val="none"/>
        </w:rPr>
        <w:t>MDL-§ 14</w:t>
      </w:r>
      <w:r w:rsidRPr="00427270">
        <w:rPr>
          <w:kern w:val="0"/>
          <w14:ligatures w14:val="none"/>
        </w:rPr>
        <w:t>(d)(</w:t>
      </w:r>
      <w:r>
        <w:rPr>
          <w:kern w:val="0"/>
          <w14:ligatures w14:val="none"/>
        </w:rPr>
        <w:t>v</w:t>
      </w:r>
      <w:r w:rsidRPr="00427270">
        <w:rPr>
          <w:kern w:val="0"/>
          <w14:ligatures w14:val="none"/>
        </w:rPr>
        <w:t>).</w:t>
      </w:r>
    </w:p>
    <w:p w14:paraId="5E330B03" w14:textId="77777777" w:rsidR="00FA6625" w:rsidRDefault="00FA6625" w:rsidP="00210990">
      <w:pPr>
        <w:spacing w:after="0" w:line="240" w:lineRule="auto"/>
        <w:ind w:left="720" w:right="720"/>
        <w:jc w:val="both"/>
        <w:rPr>
          <w:rFonts w:cs="Times New Roman"/>
          <w:color w:val="000000" w:themeColor="text1"/>
          <w:kern w:val="0"/>
          <w:szCs w:val="24"/>
          <w14:ligatures w14:val="none"/>
        </w:rPr>
      </w:pPr>
    </w:p>
    <w:p w14:paraId="7D05EAC5" w14:textId="2D15106E" w:rsidR="00FA6625" w:rsidRDefault="00FA6625" w:rsidP="00210990">
      <w:pPr>
        <w:spacing w:line="360" w:lineRule="auto"/>
        <w:ind w:firstLine="720"/>
        <w:jc w:val="both"/>
        <w:rPr>
          <w:rFonts w:cs="Times New Roman"/>
          <w:color w:val="1F1F1F"/>
          <w:szCs w:val="24"/>
          <w:shd w:val="clear" w:color="auto" w:fill="FFFFFF"/>
        </w:rPr>
      </w:pPr>
      <w:r w:rsidRPr="00427270">
        <w:rPr>
          <w:rFonts w:cs="Times New Roman"/>
          <w:color w:val="1F1F1F"/>
          <w:szCs w:val="24"/>
          <w:shd w:val="clear" w:color="auto" w:fill="FFFFFF"/>
        </w:rPr>
        <w:t xml:space="preserve">Plaintiff lead counsel oversees the allocation of common-benefit </w:t>
      </w:r>
      <w:r>
        <w:rPr>
          <w:rFonts w:cs="Times New Roman"/>
          <w:color w:val="1F1F1F"/>
          <w:szCs w:val="24"/>
          <w:shd w:val="clear" w:color="auto" w:fill="FFFFFF"/>
        </w:rPr>
        <w:t>tasks</w:t>
      </w:r>
      <w:r w:rsidRPr="00427270">
        <w:rPr>
          <w:rFonts w:cs="Times New Roman"/>
          <w:color w:val="1F1F1F"/>
          <w:szCs w:val="24"/>
          <w:shd w:val="clear" w:color="auto" w:fill="FFFFFF"/>
        </w:rPr>
        <w:t xml:space="preserve">, frequently making assignments independently or after consulting with other plaintiff-steering-committee members.  </w:t>
      </w:r>
      <w:r w:rsidRPr="00427270">
        <w:rPr>
          <w:rFonts w:cs="Times New Roman"/>
          <w:szCs w:val="24"/>
        </w:rPr>
        <w:lastRenderedPageBreak/>
        <w:t xml:space="preserve">The assignment process is largely closed, offering little transparency into how </w:t>
      </w:r>
      <w:r>
        <w:rPr>
          <w:rFonts w:cs="Times New Roman"/>
          <w:szCs w:val="24"/>
        </w:rPr>
        <w:t xml:space="preserve">tasks are </w:t>
      </w:r>
      <w:r w:rsidRPr="00427270">
        <w:rPr>
          <w:rFonts w:cs="Times New Roman"/>
          <w:szCs w:val="24"/>
        </w:rPr>
        <w:t xml:space="preserve">distributed among counsel and </w:t>
      </w:r>
      <w:r w:rsidRPr="00427270">
        <w:rPr>
          <w:rFonts w:cs="Times New Roman"/>
          <w:color w:val="1F1F1F"/>
          <w:szCs w:val="24"/>
          <w:shd w:val="clear" w:color="auto" w:fill="FFFFFF"/>
        </w:rPr>
        <w:t xml:space="preserve">whether attorneys interested in assignments have a genuine opportunity to apply and be considered.  </w:t>
      </w:r>
      <w:r w:rsidRPr="00427270">
        <w:t xml:space="preserve">As a first step to expand </w:t>
      </w:r>
      <w:r>
        <w:t xml:space="preserve">premium-valued </w:t>
      </w:r>
      <w:r w:rsidRPr="00427270">
        <w:t>assignments to a wider range of firms, the parties should discuss implementing routine postings of specific tasks on a central exchange platform</w:t>
      </w:r>
      <w:r>
        <w:t>,</w:t>
      </w:r>
      <w:r w:rsidRPr="00427270">
        <w:t xml:space="preserve"> like </w:t>
      </w:r>
      <w:proofErr w:type="spellStart"/>
      <w:r>
        <w:t>Rubris</w:t>
      </w:r>
      <w:proofErr w:type="spellEnd"/>
      <w:r>
        <w:t xml:space="preserve"> or MDL</w:t>
      </w:r>
      <w:r w:rsidRPr="002B7E0B">
        <w:t xml:space="preserve"> Centrality. </w:t>
      </w:r>
      <w:r w:rsidRPr="00427270">
        <w:rPr>
          <w:rFonts w:cs="Times New Roman"/>
          <w:color w:val="1F1F1F"/>
          <w:szCs w:val="24"/>
          <w:shd w:val="clear" w:color="auto" w:fill="FFFFFF"/>
        </w:rPr>
        <w:t>The report should also include a summary identifying</w:t>
      </w:r>
      <w:r w:rsidRPr="00FA6625">
        <w:rPr>
          <w:rFonts w:cs="Times New Roman"/>
          <w:color w:val="1F1F1F"/>
          <w:szCs w:val="24"/>
          <w:shd w:val="clear" w:color="auto" w:fill="FFFFFF"/>
        </w:rPr>
        <w:t xml:space="preserve"> law firms that requested work assignments but were ultimately denied.</w:t>
      </w:r>
      <w:r w:rsidRPr="00FA6625">
        <w:rPr>
          <w:rFonts w:cs="Times New Roman"/>
          <w:color w:val="1F1F1F"/>
          <w:szCs w:val="24"/>
          <w:shd w:val="clear" w:color="auto" w:fill="FFFFFF"/>
          <w:vertAlign w:val="superscript"/>
        </w:rPr>
        <w:footnoteReference w:id="37"/>
      </w:r>
    </w:p>
    <w:p w14:paraId="63772847" w14:textId="143811D9" w:rsidR="00FA6625" w:rsidRDefault="00FA6625" w:rsidP="00FA6625">
      <w:pPr>
        <w:jc w:val="center"/>
      </w:pPr>
      <w:r>
        <w:t>* * * * * *</w:t>
      </w:r>
    </w:p>
    <w:p w14:paraId="7DC49BCD" w14:textId="77777777" w:rsidR="00FA6625" w:rsidRPr="00C84D93" w:rsidRDefault="00FA6625" w:rsidP="00FA6625">
      <w:pPr>
        <w:spacing w:after="0" w:line="240" w:lineRule="auto"/>
        <w:ind w:right="720"/>
        <w:rPr>
          <w:rFonts w:cs="Times New Roman"/>
          <w:b/>
          <w:bCs/>
          <w:kern w:val="0"/>
          <w:sz w:val="28"/>
          <w:szCs w:val="28"/>
          <w14:ligatures w14:val="none"/>
        </w:rPr>
      </w:pPr>
      <w:r w:rsidRPr="00C84D93">
        <w:rPr>
          <w:rFonts w:cs="Times New Roman"/>
          <w:b/>
          <w:bCs/>
          <w:kern w:val="0"/>
          <w:sz w:val="28"/>
          <w:szCs w:val="28"/>
          <w14:ligatures w14:val="none"/>
        </w:rPr>
        <w:t xml:space="preserve">D.   METHODS TO FACILITATE </w:t>
      </w:r>
      <w:r w:rsidRPr="00C84D93">
        <w:rPr>
          <w:rFonts w:cs="Times New Roman"/>
          <w:b/>
          <w:bCs/>
          <w:smallCaps/>
          <w:kern w:val="0"/>
          <w:sz w:val="28"/>
          <w:szCs w:val="28"/>
          <w14:ligatures w14:val="none"/>
        </w:rPr>
        <w:t>RESOLVING</w:t>
      </w:r>
      <w:r w:rsidRPr="00C84D93">
        <w:rPr>
          <w:rFonts w:cs="Times New Roman"/>
          <w:b/>
          <w:bCs/>
          <w:kern w:val="0"/>
          <w:sz w:val="28"/>
          <w:szCs w:val="28"/>
          <w14:ligatures w14:val="none"/>
        </w:rPr>
        <w:t xml:space="preserve"> MASS-TORT MDLS</w:t>
      </w:r>
    </w:p>
    <w:p w14:paraId="7A99F637" w14:textId="77777777" w:rsidR="00FA6625" w:rsidRPr="00C84D93" w:rsidRDefault="00FA6625" w:rsidP="00FA6625">
      <w:pPr>
        <w:spacing w:after="0" w:line="240" w:lineRule="auto"/>
        <w:ind w:left="720" w:right="720"/>
        <w:jc w:val="both"/>
        <w:rPr>
          <w:b/>
          <w:bCs/>
          <w:kern w:val="0"/>
          <w14:ligatures w14:val="none"/>
        </w:rPr>
      </w:pPr>
    </w:p>
    <w:p w14:paraId="7F8787CC" w14:textId="77777777" w:rsidR="00FA6625" w:rsidRDefault="00FA6625" w:rsidP="00FA6625">
      <w:pPr>
        <w:spacing w:after="0" w:line="240" w:lineRule="auto"/>
        <w:jc w:val="both"/>
        <w:rPr>
          <w:kern w:val="0"/>
          <w14:ligatures w14:val="none"/>
        </w:rPr>
      </w:pPr>
      <w:r w:rsidRPr="00C84D93">
        <w:rPr>
          <w:b/>
          <w:bCs/>
          <w:kern w:val="0"/>
          <w:u w:val="single"/>
          <w14:ligatures w14:val="none"/>
        </w:rPr>
        <w:t>GUIDELINE MDL-§ 10</w:t>
      </w:r>
      <w:r w:rsidRPr="00C84D93">
        <w:rPr>
          <w:b/>
          <w:bCs/>
          <w:kern w:val="0"/>
          <w14:ligatures w14:val="none"/>
        </w:rPr>
        <w:t>:</w:t>
      </w:r>
      <w:r w:rsidRPr="00C84D93">
        <w:rPr>
          <w:kern w:val="0"/>
          <w14:ligatures w14:val="none"/>
        </w:rPr>
        <w:t xml:space="preserve"> Unless the court orders otherwise, the parties must address their initial </w:t>
      </w:r>
      <w:r w:rsidRPr="004F4D82">
        <w:rPr>
          <w:kern w:val="0"/>
          <w14:ligatures w14:val="none"/>
        </w:rPr>
        <w:t>views on and suggest procedures at the Rule 16.1 conference on</w:t>
      </w:r>
      <w:r w:rsidRPr="004F4D82">
        <w:rPr>
          <w:rFonts w:cs="Times New Roman"/>
          <w:kern w:val="0"/>
          <w:szCs w:val="24"/>
          <w14:ligatures w14:val="none"/>
        </w:rPr>
        <w:t xml:space="preserve"> whether the court should consider any measures to facilitate resolving some or all actions before the court</w:t>
      </w:r>
      <w:r w:rsidRPr="004F4D82">
        <w:rPr>
          <w:kern w:val="0"/>
          <w14:ligatures w14:val="none"/>
        </w:rPr>
        <w:t xml:space="preserve">. Permanent No. </w:t>
      </w:r>
      <w:r w:rsidRPr="004F4D82">
        <w:rPr>
          <w:rFonts w:cs="Times New Roman"/>
          <w:kern w:val="0"/>
          <w:szCs w:val="24"/>
          <w14:ligatures w14:val="none"/>
        </w:rPr>
        <w:t>MDL-§ 15</w:t>
      </w:r>
      <w:r w:rsidRPr="004F4D82">
        <w:rPr>
          <w:kern w:val="0"/>
          <w14:ligatures w14:val="none"/>
        </w:rPr>
        <w:t xml:space="preserve">(d). </w:t>
      </w:r>
    </w:p>
    <w:p w14:paraId="0733CC13" w14:textId="77777777" w:rsidR="004F4D82" w:rsidRDefault="004F4D82" w:rsidP="00FA6625">
      <w:pPr>
        <w:spacing w:after="0" w:line="240" w:lineRule="auto"/>
        <w:jc w:val="both"/>
        <w:rPr>
          <w:kern w:val="0"/>
          <w14:ligatures w14:val="none"/>
        </w:rPr>
      </w:pPr>
    </w:p>
    <w:p w14:paraId="2A63294A" w14:textId="7D36D0B9" w:rsidR="004F4D82" w:rsidRPr="004F4D82" w:rsidRDefault="004F4D82" w:rsidP="004F4D82">
      <w:pPr>
        <w:spacing w:after="0" w:line="240" w:lineRule="auto"/>
        <w:jc w:val="center"/>
        <w:rPr>
          <w:kern w:val="0"/>
          <w14:ligatures w14:val="none"/>
        </w:rPr>
      </w:pPr>
      <w:r w:rsidRPr="004F4D82">
        <w:rPr>
          <w:kern w:val="0"/>
          <w14:ligatures w14:val="none"/>
        </w:rPr>
        <w:t>* * * * *</w:t>
      </w:r>
    </w:p>
    <w:p w14:paraId="0D71AC00" w14:textId="77777777" w:rsidR="00FA6625" w:rsidRPr="007E6CC0" w:rsidRDefault="00FA6625" w:rsidP="00FA6625">
      <w:pPr>
        <w:spacing w:after="0" w:line="240" w:lineRule="auto"/>
        <w:ind w:left="720" w:right="720"/>
        <w:jc w:val="both"/>
        <w:rPr>
          <w:kern w:val="0"/>
          <w:highlight w:val="yellow"/>
          <w14:ligatures w14:val="none"/>
        </w:rPr>
      </w:pPr>
    </w:p>
    <w:p w14:paraId="705D6919" w14:textId="77777777" w:rsidR="00FA6625" w:rsidRDefault="00FA6625" w:rsidP="00FA6625">
      <w:pPr>
        <w:spacing w:after="0" w:line="240" w:lineRule="auto"/>
        <w:ind w:left="720" w:right="720"/>
        <w:jc w:val="both"/>
        <w:rPr>
          <w:kern w:val="0"/>
          <w14:ligatures w14:val="none"/>
        </w:rPr>
      </w:pPr>
      <w:bookmarkStart w:id="1" w:name="_Hlk167192591"/>
      <w:r w:rsidRPr="004F4D82">
        <w:rPr>
          <w:b/>
          <w:bCs/>
          <w:kern w:val="0"/>
          <w14:ligatures w14:val="none"/>
        </w:rPr>
        <w:t xml:space="preserve">Best Practice </w:t>
      </w:r>
      <w:r w:rsidRPr="004F4D82">
        <w:rPr>
          <w:rFonts w:cs="Times New Roman"/>
          <w:b/>
          <w:bCs/>
          <w:kern w:val="0"/>
          <w:szCs w:val="24"/>
          <w14:ligatures w14:val="none"/>
        </w:rPr>
        <w:t>MDL-§ 10(a)</w:t>
      </w:r>
      <w:r w:rsidRPr="004F4D82">
        <w:rPr>
          <w:b/>
          <w:bCs/>
          <w:kern w:val="0"/>
          <w14:ligatures w14:val="none"/>
        </w:rPr>
        <w:t>:</w:t>
      </w:r>
      <w:r w:rsidRPr="004F4D82">
        <w:rPr>
          <w:kern w:val="0"/>
          <w14:ligatures w14:val="none"/>
        </w:rPr>
        <w:t xml:space="preserve"> </w:t>
      </w:r>
      <w:r w:rsidRPr="004F4D82">
        <w:rPr>
          <w:rFonts w:cs="Times New Roman"/>
          <w:kern w:val="0"/>
          <w:szCs w:val="24"/>
          <w14:ligatures w14:val="none"/>
        </w:rPr>
        <w:t xml:space="preserve">The parties should consider suggesting that the court </w:t>
      </w:r>
      <w:bookmarkEnd w:id="1"/>
      <w:r w:rsidRPr="004F4D82">
        <w:rPr>
          <w:rFonts w:cs="Times New Roman"/>
          <w:kern w:val="0"/>
          <w:szCs w:val="24"/>
          <w14:ligatures w14:val="none"/>
        </w:rPr>
        <w:t>establish a settlement track separate from a litigation track, which selects and manages bellwether cases for trial, to better inform their risk analysis.</w:t>
      </w:r>
      <w:r w:rsidRPr="004F4D82">
        <w:rPr>
          <w:rFonts w:cs="Times New Roman"/>
          <w:kern w:val="0"/>
          <w:szCs w:val="24"/>
          <w:vertAlign w:val="superscript"/>
          <w14:ligatures w14:val="none"/>
        </w:rPr>
        <w:footnoteReference w:id="38"/>
      </w:r>
      <w:r w:rsidRPr="004F4D82">
        <w:rPr>
          <w:kern w:val="0"/>
          <w14:ligatures w14:val="none"/>
        </w:rPr>
        <w:t xml:space="preserve"> Permanent No. </w:t>
      </w:r>
      <w:r w:rsidRPr="004F4D82">
        <w:rPr>
          <w:rFonts w:cs="Times New Roman"/>
          <w:kern w:val="0"/>
          <w:szCs w:val="24"/>
          <w14:ligatures w14:val="none"/>
        </w:rPr>
        <w:t>MDL-§ 15</w:t>
      </w:r>
      <w:r w:rsidRPr="004F4D82">
        <w:rPr>
          <w:kern w:val="0"/>
          <w14:ligatures w14:val="none"/>
        </w:rPr>
        <w:t>(d)(</w:t>
      </w:r>
      <w:proofErr w:type="spellStart"/>
      <w:r w:rsidRPr="004F4D82">
        <w:rPr>
          <w:kern w:val="0"/>
          <w14:ligatures w14:val="none"/>
        </w:rPr>
        <w:t>i</w:t>
      </w:r>
      <w:proofErr w:type="spellEnd"/>
      <w:r w:rsidRPr="004F4D82">
        <w:rPr>
          <w:kern w:val="0"/>
          <w14:ligatures w14:val="none"/>
        </w:rPr>
        <w:t>).</w:t>
      </w:r>
    </w:p>
    <w:p w14:paraId="201114F4" w14:textId="77777777" w:rsidR="004F4D82" w:rsidRDefault="004F4D82" w:rsidP="00FA6625">
      <w:pPr>
        <w:spacing w:after="0" w:line="240" w:lineRule="auto"/>
        <w:ind w:left="720" w:right="720"/>
        <w:jc w:val="both"/>
        <w:rPr>
          <w:rFonts w:cs="Times New Roman"/>
          <w:kern w:val="0"/>
          <w:szCs w:val="24"/>
          <w14:ligatures w14:val="none"/>
        </w:rPr>
      </w:pPr>
    </w:p>
    <w:p w14:paraId="064C1E40" w14:textId="7D0A35A8" w:rsidR="004F4D82" w:rsidRPr="004F4D82" w:rsidRDefault="004F4D82" w:rsidP="004F4D82">
      <w:pPr>
        <w:spacing w:after="0" w:line="240" w:lineRule="auto"/>
        <w:ind w:right="720"/>
        <w:jc w:val="center"/>
        <w:rPr>
          <w:rFonts w:cs="Times New Roman"/>
          <w:kern w:val="0"/>
          <w:szCs w:val="24"/>
          <w14:ligatures w14:val="none"/>
        </w:rPr>
      </w:pPr>
      <w:r w:rsidRPr="004F4D82">
        <w:rPr>
          <w:rFonts w:cs="Times New Roman"/>
          <w:kern w:val="0"/>
          <w:szCs w:val="24"/>
          <w14:ligatures w14:val="none"/>
        </w:rPr>
        <w:t>* * * * *</w:t>
      </w:r>
    </w:p>
    <w:p w14:paraId="4A95C63D" w14:textId="77777777" w:rsidR="00FA6625" w:rsidRPr="007E6CC0" w:rsidRDefault="00FA6625" w:rsidP="00FA6625">
      <w:pPr>
        <w:spacing w:after="0" w:line="240" w:lineRule="auto"/>
        <w:ind w:right="720"/>
        <w:jc w:val="both"/>
        <w:rPr>
          <w:rFonts w:cs="Times New Roman"/>
          <w:kern w:val="0"/>
          <w:szCs w:val="24"/>
          <w:highlight w:val="yellow"/>
          <w14:ligatures w14:val="none"/>
        </w:rPr>
      </w:pPr>
    </w:p>
    <w:p w14:paraId="32039DA0" w14:textId="77777777" w:rsidR="00FA6625" w:rsidRDefault="00FA6625" w:rsidP="00FA6625">
      <w:pPr>
        <w:spacing w:after="0" w:line="360" w:lineRule="auto"/>
        <w:ind w:firstLine="720"/>
        <w:jc w:val="both"/>
        <w:rPr>
          <w:rFonts w:cs="Times New Roman"/>
          <w:kern w:val="0"/>
          <w:szCs w:val="24"/>
          <w14:ligatures w14:val="none"/>
        </w:rPr>
      </w:pPr>
      <w:r w:rsidRPr="004F4D82">
        <w:rPr>
          <w:rFonts w:cs="Times New Roman"/>
          <w:kern w:val="0"/>
          <w:szCs w:val="24"/>
          <w14:ligatures w14:val="none"/>
        </w:rPr>
        <w:t>The parties should also consider suggesting using bellwether alternatives, including mini-trials and mediation.</w:t>
      </w:r>
      <w:r w:rsidRPr="004F4D82">
        <w:rPr>
          <w:rStyle w:val="FootnoteReference"/>
          <w:rFonts w:cs="Times New Roman"/>
          <w:kern w:val="0"/>
          <w:szCs w:val="24"/>
          <w14:ligatures w14:val="none"/>
        </w:rPr>
        <w:footnoteReference w:id="39"/>
      </w:r>
      <w:r>
        <w:rPr>
          <w:rFonts w:cs="Times New Roman"/>
          <w:kern w:val="0"/>
          <w:szCs w:val="24"/>
          <w14:ligatures w14:val="none"/>
        </w:rPr>
        <w:t xml:space="preserve"> Another possibility recently adopted in a mass-tort MDL designates “pilot cases” and holding “test” trials at the start of the MDL.</w:t>
      </w:r>
      <w:r>
        <w:rPr>
          <w:rStyle w:val="FootnoteReference"/>
          <w:rFonts w:cs="Times New Roman"/>
          <w:kern w:val="0"/>
          <w:szCs w:val="24"/>
          <w14:ligatures w14:val="none"/>
        </w:rPr>
        <w:footnoteReference w:id="40"/>
      </w:r>
      <w:r>
        <w:rPr>
          <w:rFonts w:cs="Times New Roman"/>
          <w:kern w:val="0"/>
          <w:szCs w:val="24"/>
          <w14:ligatures w14:val="none"/>
        </w:rPr>
        <w:t xml:space="preserve">  Although seemingly incongruent with the notion of an MDL, such trials could better inform both parties and the court of the true value </w:t>
      </w:r>
      <w:r>
        <w:rPr>
          <w:rFonts w:cs="Times New Roman"/>
          <w:kern w:val="0"/>
          <w:szCs w:val="24"/>
          <w14:ligatures w14:val="none"/>
        </w:rPr>
        <w:lastRenderedPageBreak/>
        <w:t xml:space="preserve">of the claims accelerating settlement.  It is also consistent with Permanent Guideline No. MDL-§ 9, which encourages acquisition of experience with individual trials before MDL centralization. </w:t>
      </w:r>
    </w:p>
    <w:p w14:paraId="4FC2CBBB" w14:textId="77777777" w:rsidR="00FA6625" w:rsidRPr="00C84D93" w:rsidRDefault="00FA6625" w:rsidP="00FA6625">
      <w:pPr>
        <w:spacing w:after="0" w:line="240" w:lineRule="auto"/>
        <w:ind w:left="720" w:right="720"/>
        <w:jc w:val="both"/>
        <w:rPr>
          <w:kern w:val="0"/>
          <w14:ligatures w14:val="none"/>
        </w:rPr>
      </w:pPr>
      <w:bookmarkStart w:id="2" w:name="_Hlk217033980"/>
      <w:r w:rsidRPr="00C84D93">
        <w:rPr>
          <w:b/>
          <w:bCs/>
          <w:kern w:val="0"/>
          <w14:ligatures w14:val="none"/>
        </w:rPr>
        <w:t xml:space="preserve">Best Practice </w:t>
      </w:r>
      <w:r w:rsidRPr="00C84D93">
        <w:rPr>
          <w:rFonts w:cs="Times New Roman"/>
          <w:b/>
          <w:bCs/>
          <w:kern w:val="0"/>
          <w:szCs w:val="24"/>
          <w14:ligatures w14:val="none"/>
        </w:rPr>
        <w:t>MDL-§10(</w:t>
      </w:r>
      <w:r>
        <w:rPr>
          <w:rFonts w:cs="Times New Roman"/>
          <w:b/>
          <w:bCs/>
          <w:kern w:val="0"/>
          <w:szCs w:val="24"/>
          <w14:ligatures w14:val="none"/>
        </w:rPr>
        <w:t>b</w:t>
      </w:r>
      <w:r w:rsidRPr="00C84D93">
        <w:rPr>
          <w:rFonts w:cs="Times New Roman"/>
          <w:b/>
          <w:bCs/>
          <w:kern w:val="0"/>
          <w:szCs w:val="24"/>
          <w14:ligatures w14:val="none"/>
        </w:rPr>
        <w:t>)</w:t>
      </w:r>
      <w:r w:rsidRPr="00C84D93">
        <w:rPr>
          <w:b/>
          <w:bCs/>
          <w:kern w:val="0"/>
          <w14:ligatures w14:val="none"/>
        </w:rPr>
        <w:t>:</w:t>
      </w:r>
      <w:r w:rsidRPr="00C84D93">
        <w:rPr>
          <w:kern w:val="0"/>
          <w14:ligatures w14:val="none"/>
        </w:rPr>
        <w:t xml:space="preserve"> </w:t>
      </w:r>
      <w:bookmarkStart w:id="3" w:name="_Hlk166522826"/>
      <w:r>
        <w:rPr>
          <w:kern w:val="0"/>
          <w14:ligatures w14:val="none"/>
        </w:rPr>
        <w:t xml:space="preserve">In the Rule 16.1 report, the parties on their own or </w:t>
      </w:r>
      <w:proofErr w:type="gramStart"/>
      <w:r>
        <w:rPr>
          <w:kern w:val="0"/>
          <w14:ligatures w14:val="none"/>
        </w:rPr>
        <w:t>at</w:t>
      </w:r>
      <w:proofErr w:type="gramEnd"/>
      <w:r>
        <w:rPr>
          <w:kern w:val="0"/>
          <w14:ligatures w14:val="none"/>
        </w:rPr>
        <w:t xml:space="preserve"> the court’s direction should identify alternative resolution measures</w:t>
      </w:r>
      <w:r w:rsidRPr="004A7A27">
        <w:rPr>
          <w:kern w:val="0"/>
          <w14:ligatures w14:val="none"/>
        </w:rPr>
        <w:t xml:space="preserve"> </w:t>
      </w:r>
      <w:r>
        <w:rPr>
          <w:kern w:val="0"/>
          <w14:ligatures w14:val="none"/>
        </w:rPr>
        <w:t xml:space="preserve">that could </w:t>
      </w:r>
      <w:r>
        <w:rPr>
          <w:rFonts w:cs="Times New Roman"/>
          <w:kern w:val="0"/>
          <w:szCs w:val="24"/>
          <w14:ligatures w14:val="none"/>
        </w:rPr>
        <w:t xml:space="preserve">be implemented </w:t>
      </w:r>
      <w:r>
        <w:rPr>
          <w:kern w:val="0"/>
          <w14:ligatures w14:val="none"/>
        </w:rPr>
        <w:t xml:space="preserve">later in the litigation, </w:t>
      </w:r>
      <w:r>
        <w:t xml:space="preserve">including strictly enforceable deadlines </w:t>
      </w:r>
      <w:r>
        <w:rPr>
          <w:rFonts w:cs="Times New Roman"/>
          <w:kern w:val="0"/>
          <w:szCs w:val="24"/>
          <w14:ligatures w14:val="none"/>
        </w:rPr>
        <w:t>with clear consequences</w:t>
      </w:r>
      <w:bookmarkEnd w:id="3"/>
      <w:r>
        <w:rPr>
          <w:rFonts w:cs="Times New Roman"/>
          <w:kern w:val="0"/>
          <w:szCs w:val="24"/>
          <w14:ligatures w14:val="none"/>
        </w:rPr>
        <w:t>.</w:t>
      </w:r>
      <w:r w:rsidRPr="00C84D93">
        <w:rPr>
          <w:rFonts w:cs="Times New Roman"/>
          <w:kern w:val="0"/>
          <w:szCs w:val="24"/>
          <w14:ligatures w14:val="none"/>
        </w:rPr>
        <w:t xml:space="preserve"> </w:t>
      </w:r>
      <w:r w:rsidRPr="00C84D93">
        <w:rPr>
          <w:kern w:val="0"/>
          <w14:ligatures w14:val="none"/>
        </w:rPr>
        <w:t xml:space="preserve"> Permanent No. </w:t>
      </w:r>
      <w:r w:rsidRPr="00C84D93">
        <w:rPr>
          <w:rFonts w:cs="Times New Roman"/>
          <w:kern w:val="0"/>
          <w:szCs w:val="24"/>
          <w14:ligatures w14:val="none"/>
        </w:rPr>
        <w:t>MDL-§ 15</w:t>
      </w:r>
      <w:r w:rsidRPr="00C84D93">
        <w:rPr>
          <w:kern w:val="0"/>
          <w14:ligatures w14:val="none"/>
        </w:rPr>
        <w:t xml:space="preserve">(d)(iv). </w:t>
      </w:r>
    </w:p>
    <w:bookmarkEnd w:id="2"/>
    <w:p w14:paraId="7F0E9F25" w14:textId="77777777" w:rsidR="00FA6625" w:rsidRPr="00C84D93" w:rsidRDefault="00FA6625" w:rsidP="00FA6625">
      <w:pPr>
        <w:spacing w:after="0" w:line="240" w:lineRule="auto"/>
        <w:ind w:left="720" w:right="720"/>
        <w:jc w:val="both"/>
        <w:rPr>
          <w:rFonts w:cs="Times New Roman"/>
          <w:kern w:val="0"/>
          <w:szCs w:val="24"/>
          <w14:ligatures w14:val="none"/>
        </w:rPr>
      </w:pPr>
    </w:p>
    <w:p w14:paraId="1569004E" w14:textId="27135E4A" w:rsidR="004F4D82" w:rsidRDefault="00FA6625" w:rsidP="00FA6625">
      <w:pPr>
        <w:spacing w:after="0" w:line="360" w:lineRule="auto"/>
        <w:ind w:firstLine="720"/>
        <w:jc w:val="both"/>
      </w:pPr>
      <w:r>
        <w:t>To aid in the resolution of mass-tort MDLs, transferee judges have adopted alternative procedures centered on the application of strictly enforced deadlines.  Just as firm trial dates drive case dispositions, se</w:t>
      </w:r>
      <w:r>
        <w:rPr>
          <w:rFonts w:cs="Times New Roman"/>
          <w:color w:val="000000" w:themeColor="text1"/>
          <w:kern w:val="0"/>
          <w:szCs w:val="24"/>
          <w14:ligatures w14:val="none"/>
        </w:rPr>
        <w:t xml:space="preserve">tting enforceable deadlines to submit essential information and documentation or take specific action can be equally effective in a mass-tort MDL. </w:t>
      </w:r>
      <w:r>
        <w:t>Courts impose such enforceable deadlines, usually after the completion of discovery -- typically 18–24 months after filing – which are backed by clear consequences or penalties for non-compliance.</w:t>
      </w:r>
      <w:r w:rsidRPr="00D72E72">
        <w:rPr>
          <w:rFonts w:cs="Times New Roman"/>
          <w:color w:val="000000" w:themeColor="text1"/>
          <w:kern w:val="0"/>
          <w:szCs w:val="24"/>
          <w14:ligatures w14:val="none"/>
        </w:rPr>
        <w:t xml:space="preserve"> </w:t>
      </w:r>
      <w:r>
        <w:t xml:space="preserve">If a court is interested in a particular resolution measure, it should explicitly task the parties with addressing the method during the </w:t>
      </w:r>
      <w:r w:rsidRPr="00765926">
        <w:t>Rule 16.1 conference</w:t>
      </w:r>
      <w:r>
        <w:t>, as the parties may be reluctant to offer suggestions on their own.</w:t>
      </w:r>
      <w:r>
        <w:rPr>
          <w:rStyle w:val="FootnoteReference"/>
        </w:rPr>
        <w:footnoteReference w:id="41"/>
      </w:r>
      <w:r>
        <w:t xml:space="preserve"> </w:t>
      </w:r>
    </w:p>
    <w:p w14:paraId="64FD21D0" w14:textId="7D6BAE87" w:rsidR="004F4D82" w:rsidRPr="004F4D82" w:rsidRDefault="004F4D82" w:rsidP="004F4D82">
      <w:pPr>
        <w:spacing w:after="0" w:line="360" w:lineRule="auto"/>
        <w:jc w:val="center"/>
        <w:rPr>
          <w:rFonts w:cs="Times New Roman"/>
          <w:color w:val="000000" w:themeColor="text1"/>
          <w:kern w:val="0"/>
          <w:szCs w:val="24"/>
          <w14:ligatures w14:val="none"/>
        </w:rPr>
      </w:pPr>
      <w:r w:rsidRPr="004F4D82">
        <w:rPr>
          <w:rFonts w:cs="Times New Roman"/>
          <w:color w:val="000000" w:themeColor="text1"/>
          <w:kern w:val="0"/>
          <w:szCs w:val="24"/>
          <w14:ligatures w14:val="none"/>
        </w:rPr>
        <w:t>* * * * *</w:t>
      </w:r>
    </w:p>
    <w:p w14:paraId="6A3A858C" w14:textId="77777777" w:rsidR="00FA6625" w:rsidRDefault="00FA6625" w:rsidP="00FA6625">
      <w:pPr>
        <w:spacing w:after="0" w:line="240" w:lineRule="auto"/>
        <w:ind w:left="720" w:right="720"/>
        <w:jc w:val="both"/>
        <w:rPr>
          <w:kern w:val="0"/>
          <w14:ligatures w14:val="none"/>
        </w:rPr>
      </w:pPr>
      <w:r w:rsidRPr="00C84D93">
        <w:rPr>
          <w:b/>
          <w:bCs/>
          <w:kern w:val="0"/>
          <w14:ligatures w14:val="none"/>
        </w:rPr>
        <w:t xml:space="preserve">Best Practice </w:t>
      </w:r>
      <w:r w:rsidRPr="00C84D93">
        <w:rPr>
          <w:rFonts w:cs="Times New Roman"/>
          <w:b/>
          <w:bCs/>
          <w:kern w:val="0"/>
          <w:szCs w:val="24"/>
          <w14:ligatures w14:val="none"/>
        </w:rPr>
        <w:t>MDL-§10(</w:t>
      </w:r>
      <w:r>
        <w:rPr>
          <w:rFonts w:cs="Times New Roman"/>
          <w:b/>
          <w:bCs/>
          <w:kern w:val="0"/>
          <w:szCs w:val="24"/>
          <w14:ligatures w14:val="none"/>
        </w:rPr>
        <w:t>b</w:t>
      </w:r>
      <w:r w:rsidRPr="00C84D93">
        <w:rPr>
          <w:rFonts w:cs="Times New Roman"/>
          <w:b/>
          <w:bCs/>
          <w:kern w:val="0"/>
          <w:szCs w:val="24"/>
          <w14:ligatures w14:val="none"/>
        </w:rPr>
        <w:t>)</w:t>
      </w:r>
      <w:r>
        <w:rPr>
          <w:rFonts w:cs="Times New Roman"/>
          <w:b/>
          <w:bCs/>
          <w:kern w:val="0"/>
          <w:szCs w:val="24"/>
          <w14:ligatures w14:val="none"/>
        </w:rPr>
        <w:t>(iii)</w:t>
      </w:r>
      <w:r w:rsidRPr="00C84D93">
        <w:rPr>
          <w:b/>
          <w:bCs/>
          <w:kern w:val="0"/>
          <w14:ligatures w14:val="none"/>
        </w:rPr>
        <w:t>:</w:t>
      </w:r>
      <w:r w:rsidRPr="00C84D93">
        <w:rPr>
          <w:kern w:val="0"/>
          <w14:ligatures w14:val="none"/>
        </w:rPr>
        <w:t xml:space="preserve"> </w:t>
      </w:r>
      <w:r w:rsidRPr="004276E8">
        <w:rPr>
          <w:color w:val="000000" w:themeColor="text1"/>
          <w:kern w:val="0"/>
          <w:szCs w:val="24"/>
          <w14:ligatures w14:val="none"/>
        </w:rPr>
        <w:t xml:space="preserve">Parties should use the Rule 16.1 </w:t>
      </w:r>
      <w:r>
        <w:rPr>
          <w:color w:val="000000" w:themeColor="text1"/>
          <w:kern w:val="0"/>
          <w:szCs w:val="24"/>
          <w14:ligatures w14:val="none"/>
        </w:rPr>
        <w:t xml:space="preserve">report or </w:t>
      </w:r>
      <w:r w:rsidRPr="00523F44">
        <w:rPr>
          <w:rFonts w:cs="Times New Roman"/>
          <w:color w:val="000000" w:themeColor="text1"/>
          <w:kern w:val="0"/>
          <w:szCs w:val="24"/>
          <w14:ligatures w14:val="none"/>
        </w:rPr>
        <w:t xml:space="preserve">the court should direct them  to begin a discussion for </w:t>
      </w:r>
      <w:r w:rsidRPr="00523F44">
        <w:rPr>
          <w:rFonts w:cs="Times New Roman"/>
          <w:color w:val="1F1F1F"/>
          <w:szCs w:val="24"/>
          <w:shd w:val="clear" w:color="auto" w:fill="FFFFFF"/>
        </w:rPr>
        <w:t xml:space="preserve">establishing </w:t>
      </w:r>
      <w:r>
        <w:rPr>
          <w:rFonts w:cs="Times New Roman"/>
          <w:color w:val="1F1F1F"/>
          <w:szCs w:val="24"/>
          <w:shd w:val="clear" w:color="auto" w:fill="FFFFFF"/>
        </w:rPr>
        <w:t>a process</w:t>
      </w:r>
      <w:r w:rsidRPr="00523F44">
        <w:rPr>
          <w:rFonts w:cs="Times New Roman"/>
          <w:color w:val="1F1F1F"/>
          <w:szCs w:val="24"/>
          <w:shd w:val="clear" w:color="auto" w:fill="FFFFFF"/>
        </w:rPr>
        <w:t xml:space="preserve"> </w:t>
      </w:r>
      <w:r w:rsidRPr="00FC7CEE">
        <w:rPr>
          <w:rFonts w:cs="Times New Roman"/>
          <w:color w:val="1F1F1F"/>
          <w:szCs w:val="24"/>
          <w:shd w:val="clear" w:color="auto" w:fill="FFFFFF"/>
        </w:rPr>
        <w:t>that incorporates rigid deadlines and clear consequences</w:t>
      </w:r>
      <w:r>
        <w:rPr>
          <w:rFonts w:cs="Times New Roman"/>
          <w:color w:val="1F1F1F"/>
          <w:szCs w:val="24"/>
          <w:shd w:val="clear" w:color="auto" w:fill="FFFFFF"/>
        </w:rPr>
        <w:t>, including potential automatic dismissal with prejudice w</w:t>
      </w:r>
      <w:r w:rsidRPr="00FC7CEE">
        <w:rPr>
          <w:rFonts w:cs="Times New Roman"/>
          <w:color w:val="1F1F1F"/>
          <w:szCs w:val="24"/>
          <w:shd w:val="clear" w:color="auto" w:fill="FFFFFF"/>
        </w:rPr>
        <w:t>ithout a show-cause hearing</w:t>
      </w:r>
      <w:r>
        <w:rPr>
          <w:rFonts w:cs="Times New Roman"/>
          <w:color w:val="1F1F1F"/>
          <w:szCs w:val="24"/>
          <w:shd w:val="clear" w:color="auto" w:fill="FFFFFF"/>
        </w:rPr>
        <w:t>,</w:t>
      </w:r>
      <w:r w:rsidRPr="00FC7CEE">
        <w:rPr>
          <w:rFonts w:cs="Times New Roman"/>
          <w:color w:val="1F1F1F"/>
          <w:szCs w:val="24"/>
          <w:shd w:val="clear" w:color="auto" w:fill="FFFFFF"/>
        </w:rPr>
        <w:t xml:space="preserve"> for failing to provide required discovery </w:t>
      </w:r>
      <w:r>
        <w:rPr>
          <w:rFonts w:cs="Times New Roman"/>
          <w:color w:val="1F1F1F"/>
          <w:szCs w:val="24"/>
          <w:shd w:val="clear" w:color="auto" w:fill="FFFFFF"/>
        </w:rPr>
        <w:t xml:space="preserve">-- </w:t>
      </w:r>
      <w:r w:rsidRPr="00FC7CEE">
        <w:rPr>
          <w:rFonts w:cs="Times New Roman"/>
          <w:color w:val="1F1F1F"/>
          <w:szCs w:val="24"/>
          <w:shd w:val="clear" w:color="auto" w:fill="FFFFFF"/>
        </w:rPr>
        <w:t>following multiple warnings and the close of the discovery</w:t>
      </w:r>
      <w:r>
        <w:rPr>
          <w:rFonts w:cs="Times New Roman"/>
          <w:color w:val="1F1F1F"/>
          <w:szCs w:val="24"/>
          <w:shd w:val="clear" w:color="auto" w:fill="FFFFFF"/>
        </w:rPr>
        <w:t xml:space="preserve">. </w:t>
      </w:r>
      <w:r w:rsidRPr="00C84D93">
        <w:rPr>
          <w:kern w:val="0"/>
          <w14:ligatures w14:val="none"/>
        </w:rPr>
        <w:t xml:space="preserve">Permanent No. </w:t>
      </w:r>
      <w:r w:rsidRPr="00C84D93">
        <w:rPr>
          <w:rFonts w:cs="Times New Roman"/>
          <w:kern w:val="0"/>
          <w:szCs w:val="24"/>
          <w14:ligatures w14:val="none"/>
        </w:rPr>
        <w:t>MDL-§ 15</w:t>
      </w:r>
      <w:r w:rsidRPr="00C84D93">
        <w:rPr>
          <w:kern w:val="0"/>
          <w14:ligatures w14:val="none"/>
        </w:rPr>
        <w:t>(d)(v</w:t>
      </w:r>
      <w:r>
        <w:rPr>
          <w:kern w:val="0"/>
          <w14:ligatures w14:val="none"/>
        </w:rPr>
        <w:t>ii</w:t>
      </w:r>
      <w:r w:rsidRPr="00C84D93">
        <w:rPr>
          <w:kern w:val="0"/>
          <w14:ligatures w14:val="none"/>
        </w:rPr>
        <w:t xml:space="preserve">). </w:t>
      </w:r>
    </w:p>
    <w:p w14:paraId="6222319C" w14:textId="77777777" w:rsidR="00FA6625" w:rsidRDefault="00FA6625" w:rsidP="00FA6625">
      <w:pPr>
        <w:spacing w:after="0" w:line="240" w:lineRule="auto"/>
        <w:ind w:left="720" w:right="720"/>
        <w:jc w:val="both"/>
        <w:rPr>
          <w:kern w:val="0"/>
          <w14:ligatures w14:val="none"/>
        </w:rPr>
      </w:pPr>
      <w:r>
        <w:rPr>
          <w:kern w:val="0"/>
          <w14:ligatures w14:val="none"/>
        </w:rPr>
        <w:t xml:space="preserve"> </w:t>
      </w:r>
    </w:p>
    <w:p w14:paraId="54D62123" w14:textId="77777777" w:rsidR="00FA6625" w:rsidRDefault="00FA6625" w:rsidP="00FA6625">
      <w:pPr>
        <w:spacing w:after="0" w:line="360" w:lineRule="auto"/>
        <w:ind w:firstLine="720"/>
        <w:jc w:val="both"/>
      </w:pPr>
      <w:r>
        <w:t xml:space="preserve">Under </w:t>
      </w:r>
      <w:r w:rsidRPr="00ED35B3">
        <w:t>Best Practice</w:t>
      </w:r>
      <w:r>
        <w:t xml:space="preserve"> Permanent No. </w:t>
      </w:r>
      <w:r w:rsidRPr="00ED35B3">
        <w:t>MDL-§</w:t>
      </w:r>
      <w:r>
        <w:t>15(b)</w:t>
      </w:r>
      <w:r w:rsidRPr="00ED35B3">
        <w:t>,</w:t>
      </w:r>
      <w:r>
        <w:t xml:space="preserve"> parties should prioritize developing a process to confirm core factual allegations as soon as practicable.</w:t>
      </w:r>
      <w:r>
        <w:rPr>
          <w:rStyle w:val="FootnoteReference"/>
          <w:rFonts w:cs="Times New Roman"/>
          <w:kern w:val="0"/>
          <w:szCs w:val="24"/>
          <w14:ligatures w14:val="none"/>
        </w:rPr>
        <w:footnoteReference w:id="42"/>
      </w:r>
      <w:r>
        <w:t xml:space="preserve">  Best Practices Permanent No. </w:t>
      </w:r>
      <w:r w:rsidRPr="00ED35B3">
        <w:t>MDL-§</w:t>
      </w:r>
      <w:r>
        <w:t xml:space="preserve">1 and </w:t>
      </w:r>
      <w:r w:rsidRPr="00ED35B3">
        <w:t>§</w:t>
      </w:r>
      <w:r>
        <w:t xml:space="preserve">1(a) encourage </w:t>
      </w:r>
      <w:r w:rsidRPr="0064776F">
        <w:t>parties to reach an early agreement on both the nature of the evidence to be submitted and the schedule for its delivery.</w:t>
      </w:r>
      <w:r>
        <w:rPr>
          <w:rStyle w:val="FootnoteReference"/>
        </w:rPr>
        <w:footnoteReference w:id="43"/>
      </w:r>
      <w:r>
        <w:t xml:space="preserve"> Claims that lack an evidentiary basis prolong litigation and should be eliminated as soon as practicable.</w:t>
      </w:r>
      <w:r>
        <w:rPr>
          <w:rStyle w:val="FootnoteReference"/>
        </w:rPr>
        <w:footnoteReference w:id="44"/>
      </w:r>
      <w:r>
        <w:t xml:space="preserve">  While these best practices </w:t>
      </w:r>
      <w:r>
        <w:lastRenderedPageBreak/>
        <w:t xml:space="preserve">prove effective when followed, a significant number of parties in most mass-tort MDLs persist in failing to provide the necessary information for months, years, or indefinitely.  </w:t>
      </w:r>
    </w:p>
    <w:p w14:paraId="35C21208" w14:textId="77777777" w:rsidR="00FA6625" w:rsidRDefault="00FA6625" w:rsidP="00FA6625">
      <w:pPr>
        <w:spacing w:after="0" w:line="360" w:lineRule="auto"/>
        <w:ind w:firstLine="720"/>
        <w:jc w:val="both"/>
        <w:rPr>
          <w:color w:val="000000" w:themeColor="text1"/>
          <w:kern w:val="0"/>
          <w:szCs w:val="24"/>
          <w14:ligatures w14:val="none"/>
        </w:rPr>
      </w:pPr>
      <w:r w:rsidRPr="004276E8">
        <w:rPr>
          <w:color w:val="000000" w:themeColor="text1"/>
          <w:kern w:val="0"/>
          <w:szCs w:val="24"/>
          <w14:ligatures w14:val="none"/>
        </w:rPr>
        <w:t xml:space="preserve">Parties should use the Rule 16.1 </w:t>
      </w:r>
      <w:r>
        <w:rPr>
          <w:color w:val="000000" w:themeColor="text1"/>
          <w:kern w:val="0"/>
          <w:szCs w:val="24"/>
          <w14:ligatures w14:val="none"/>
        </w:rPr>
        <w:t xml:space="preserve">report --- or </w:t>
      </w:r>
      <w:r w:rsidRPr="00523F44">
        <w:rPr>
          <w:rFonts w:cs="Times New Roman"/>
          <w:color w:val="000000" w:themeColor="text1"/>
          <w:kern w:val="0"/>
          <w:szCs w:val="24"/>
          <w14:ligatures w14:val="none"/>
        </w:rPr>
        <w:t xml:space="preserve">the court should direct them -- to begin a discussion for </w:t>
      </w:r>
      <w:r w:rsidRPr="00523F44">
        <w:rPr>
          <w:rFonts w:cs="Times New Roman"/>
          <w:color w:val="1F1F1F"/>
          <w:szCs w:val="24"/>
          <w:shd w:val="clear" w:color="auto" w:fill="FFFFFF"/>
        </w:rPr>
        <w:t xml:space="preserve">establishing </w:t>
      </w:r>
      <w:r>
        <w:rPr>
          <w:rFonts w:cs="Times New Roman"/>
          <w:color w:val="1F1F1F"/>
          <w:szCs w:val="24"/>
          <w:shd w:val="clear" w:color="auto" w:fill="FFFFFF"/>
        </w:rPr>
        <w:t>a process</w:t>
      </w:r>
      <w:r w:rsidRPr="00523F44">
        <w:rPr>
          <w:rFonts w:cs="Times New Roman"/>
          <w:color w:val="1F1F1F"/>
          <w:szCs w:val="24"/>
          <w:shd w:val="clear" w:color="auto" w:fill="FFFFFF"/>
        </w:rPr>
        <w:t xml:space="preserve"> </w:t>
      </w:r>
      <w:r w:rsidRPr="00FC7CEE">
        <w:rPr>
          <w:rFonts w:cs="Times New Roman"/>
          <w:color w:val="1F1F1F"/>
          <w:szCs w:val="24"/>
          <w:shd w:val="clear" w:color="auto" w:fill="FFFFFF"/>
        </w:rPr>
        <w:t>that incorporates rigid deadlines and clear consequences, such as dismissal, for failing to provide necessary disclosures</w:t>
      </w:r>
      <w:r w:rsidRPr="00523F44">
        <w:rPr>
          <w:rFonts w:cs="Times New Roman"/>
          <w:color w:val="1F1F1F"/>
          <w:szCs w:val="24"/>
          <w:shd w:val="clear" w:color="auto" w:fill="FFFFFF"/>
        </w:rPr>
        <w:t>.</w:t>
      </w:r>
      <w:r>
        <w:rPr>
          <w:rFonts w:ascii="Arial" w:hAnsi="Arial" w:cs="Arial"/>
          <w:color w:val="1F1F1F"/>
          <w:sz w:val="20"/>
          <w:szCs w:val="20"/>
          <w:shd w:val="clear" w:color="auto" w:fill="FFFFFF"/>
        </w:rPr>
        <w:t xml:space="preserve"> </w:t>
      </w:r>
      <w:r>
        <w:rPr>
          <w:color w:val="000000" w:themeColor="text1"/>
          <w:kern w:val="0"/>
          <w:szCs w:val="24"/>
          <w14:ligatures w14:val="none"/>
        </w:rPr>
        <w:t xml:space="preserve"> As a prerequisite, parties must be given ample advance notice of the requirements and warnings of consequences.</w:t>
      </w:r>
      <w:r>
        <w:rPr>
          <w:rStyle w:val="FootnoteReference"/>
          <w:color w:val="000000" w:themeColor="text1"/>
          <w:kern w:val="0"/>
          <w:szCs w:val="24"/>
          <w14:ligatures w14:val="none"/>
        </w:rPr>
        <w:footnoteReference w:id="45"/>
      </w:r>
      <w:r>
        <w:rPr>
          <w:color w:val="000000" w:themeColor="text1"/>
          <w:kern w:val="0"/>
          <w:szCs w:val="24"/>
          <w14:ligatures w14:val="none"/>
        </w:rPr>
        <w:t xml:space="preserve">  The procedures would be implemented</w:t>
      </w:r>
      <w:r w:rsidRPr="004276E8">
        <w:rPr>
          <w:color w:val="000000" w:themeColor="text1"/>
          <w:kern w:val="0"/>
          <w:szCs w:val="24"/>
          <w14:ligatures w14:val="none"/>
        </w:rPr>
        <w:t xml:space="preserve"> </w:t>
      </w:r>
      <w:r>
        <w:rPr>
          <w:color w:val="000000" w:themeColor="text1"/>
          <w:kern w:val="0"/>
          <w:szCs w:val="24"/>
          <w14:ligatures w14:val="none"/>
        </w:rPr>
        <w:t>no earlier than</w:t>
      </w:r>
      <w:r w:rsidRPr="004276E8">
        <w:rPr>
          <w:color w:val="000000" w:themeColor="text1"/>
          <w:kern w:val="0"/>
          <w:szCs w:val="24"/>
          <w14:ligatures w14:val="none"/>
        </w:rPr>
        <w:t xml:space="preserve"> the </w:t>
      </w:r>
      <w:r>
        <w:rPr>
          <w:color w:val="000000" w:themeColor="text1"/>
          <w:kern w:val="0"/>
          <w:szCs w:val="24"/>
          <w14:ligatures w14:val="none"/>
        </w:rPr>
        <w:t>close</w:t>
      </w:r>
      <w:r w:rsidRPr="004276E8">
        <w:rPr>
          <w:color w:val="000000" w:themeColor="text1"/>
          <w:kern w:val="0"/>
          <w:szCs w:val="24"/>
          <w14:ligatures w14:val="none"/>
        </w:rPr>
        <w:t xml:space="preserve"> of discovery</w:t>
      </w:r>
      <w:r>
        <w:rPr>
          <w:color w:val="000000" w:themeColor="text1"/>
          <w:kern w:val="0"/>
          <w:szCs w:val="24"/>
          <w14:ligatures w14:val="none"/>
        </w:rPr>
        <w:t>, around</w:t>
      </w:r>
      <w:r w:rsidRPr="004276E8">
        <w:rPr>
          <w:color w:val="000000" w:themeColor="text1"/>
          <w:kern w:val="0"/>
          <w:szCs w:val="24"/>
          <w14:ligatures w14:val="none"/>
        </w:rPr>
        <w:t xml:space="preserve"> 18 to 24 months </w:t>
      </w:r>
      <w:r>
        <w:rPr>
          <w:color w:val="000000" w:themeColor="text1"/>
          <w:kern w:val="0"/>
          <w:szCs w:val="24"/>
          <w14:ligatures w14:val="none"/>
        </w:rPr>
        <w:t>into the case, and perhaps later when the defendant has taken significant steps to settle a large portion of the claims</w:t>
      </w:r>
      <w:r w:rsidRPr="004276E8">
        <w:rPr>
          <w:color w:val="000000" w:themeColor="text1"/>
          <w:kern w:val="0"/>
          <w:szCs w:val="24"/>
          <w14:ligatures w14:val="none"/>
        </w:rPr>
        <w:t>.</w:t>
      </w:r>
      <w:r>
        <w:rPr>
          <w:rStyle w:val="FootnoteReference"/>
          <w:color w:val="000000" w:themeColor="text1"/>
          <w:kern w:val="0"/>
          <w:szCs w:val="24"/>
          <w14:ligatures w14:val="none"/>
        </w:rPr>
        <w:footnoteReference w:id="46"/>
      </w:r>
      <w:r>
        <w:rPr>
          <w:color w:val="000000" w:themeColor="text1"/>
          <w:kern w:val="0"/>
          <w:szCs w:val="24"/>
          <w14:ligatures w14:val="none"/>
        </w:rPr>
        <w:t xml:space="preserve">  </w:t>
      </w:r>
    </w:p>
    <w:p w14:paraId="713AA055" w14:textId="77777777" w:rsidR="00FA6625" w:rsidRDefault="00FA6625" w:rsidP="00FA6625">
      <w:pPr>
        <w:spacing w:after="0" w:line="360" w:lineRule="auto"/>
        <w:ind w:firstLine="720"/>
        <w:jc w:val="both"/>
      </w:pPr>
      <w:r>
        <w:rPr>
          <w:color w:val="000000" w:themeColor="text1"/>
          <w:kern w:val="0"/>
          <w:szCs w:val="24"/>
          <w14:ligatures w14:val="none"/>
        </w:rPr>
        <w:t>Indeed, f</w:t>
      </w:r>
      <w:r>
        <w:t xml:space="preserve">ollowing years of litigation and a defendant’s settlement offer, mass-tort MDL courts often issue self-styled “docket control” or “docket-control management” orders.  </w:t>
      </w:r>
      <w:r w:rsidRPr="002714E1">
        <w:rPr>
          <w:rFonts w:cs="Times New Roman"/>
          <w:color w:val="1F1F1F"/>
          <w:szCs w:val="24"/>
          <w:shd w:val="clear" w:color="auto" w:fill="FFFFFF"/>
        </w:rPr>
        <w:t>Such orders impose rigorous disclosure requirements on non-settling and subsequent plaintiffs, requiring the submission of voluminous discovery records usually no later than 90 days following the order.</w:t>
      </w:r>
      <w:r>
        <w:rPr>
          <w:rStyle w:val="FootnoteReference"/>
        </w:rPr>
        <w:footnoteReference w:id="47"/>
      </w:r>
      <w:r>
        <w:t xml:space="preserve"> </w:t>
      </w:r>
      <w:bookmarkStart w:id="4" w:name="_Hlk217127511"/>
      <w:r w:rsidRPr="00B94CD1">
        <w:t xml:space="preserve">Under </w:t>
      </w:r>
      <w:r>
        <w:t xml:space="preserve">a </w:t>
      </w:r>
      <w:r w:rsidRPr="00B94CD1">
        <w:t>typical docket</w:t>
      </w:r>
      <w:r>
        <w:t>-</w:t>
      </w:r>
      <w:r w:rsidRPr="00B94CD1">
        <w:t xml:space="preserve">control order, </w:t>
      </w:r>
      <w:r>
        <w:t xml:space="preserve">the </w:t>
      </w:r>
      <w:r w:rsidRPr="00B94CD1">
        <w:t>defendant report</w:t>
      </w:r>
      <w:r>
        <w:t>s</w:t>
      </w:r>
      <w:r w:rsidRPr="00B94CD1">
        <w:t xml:space="preserve"> non-compliant plaintiffs to the court so that a show-cause hearing can be scheduled</w:t>
      </w:r>
      <w:r>
        <w:t>, usually in 21 days</w:t>
      </w:r>
      <w:r w:rsidRPr="00B94CD1">
        <w:t>.</w:t>
      </w:r>
      <w:r>
        <w:rPr>
          <w:rStyle w:val="FootnoteReference"/>
        </w:rPr>
        <w:footnoteReference w:id="48"/>
      </w:r>
      <w:r>
        <w:t xml:space="preserve">  </w:t>
      </w:r>
    </w:p>
    <w:p w14:paraId="7125DE81" w14:textId="77777777" w:rsidR="00FA6625" w:rsidRDefault="00FA6625" w:rsidP="00FA6625">
      <w:pPr>
        <w:spacing w:after="0" w:line="360" w:lineRule="auto"/>
        <w:ind w:firstLine="720"/>
        <w:jc w:val="both"/>
      </w:pPr>
      <w:r>
        <w:t>Courts have required the following types of documents to be submitted along with affidavits signed by counsel in accordance with docket-control orders:</w:t>
      </w:r>
    </w:p>
    <w:p w14:paraId="54D5DDFE" w14:textId="77777777" w:rsidR="00FA6625" w:rsidRDefault="00FA6625" w:rsidP="00FA6625">
      <w:pPr>
        <w:pStyle w:val="ListParagraph"/>
        <w:numPr>
          <w:ilvl w:val="0"/>
          <w:numId w:val="2"/>
        </w:numPr>
        <w:spacing w:after="0" w:line="360" w:lineRule="auto"/>
        <w:jc w:val="both"/>
        <w:rPr>
          <w:color w:val="000000" w:themeColor="text1"/>
          <w:kern w:val="0"/>
          <w:szCs w:val="24"/>
          <w14:ligatures w14:val="none"/>
        </w:rPr>
      </w:pPr>
      <w:r>
        <w:rPr>
          <w:color w:val="000000" w:themeColor="text1"/>
          <w:kern w:val="0"/>
          <w:szCs w:val="24"/>
          <w14:ligatures w14:val="none"/>
        </w:rPr>
        <w:lastRenderedPageBreak/>
        <w:t>Declaration by counsel of personally identifiable information about every client</w:t>
      </w:r>
      <w:r>
        <w:rPr>
          <w:rStyle w:val="FootnoteReference"/>
          <w:color w:val="000000" w:themeColor="text1"/>
          <w:kern w:val="0"/>
          <w:szCs w:val="24"/>
          <w14:ligatures w14:val="none"/>
        </w:rPr>
        <w:footnoteReference w:id="49"/>
      </w:r>
    </w:p>
    <w:p w14:paraId="2BB23F1A" w14:textId="77777777" w:rsidR="00FA6625" w:rsidRDefault="00FA6625" w:rsidP="00FA6625">
      <w:pPr>
        <w:pStyle w:val="ListParagraph"/>
        <w:numPr>
          <w:ilvl w:val="0"/>
          <w:numId w:val="2"/>
        </w:numPr>
        <w:spacing w:after="0" w:line="360" w:lineRule="auto"/>
        <w:jc w:val="both"/>
        <w:rPr>
          <w:color w:val="000000" w:themeColor="text1"/>
          <w:kern w:val="0"/>
          <w:szCs w:val="24"/>
          <w14:ligatures w14:val="none"/>
        </w:rPr>
      </w:pPr>
      <w:r>
        <w:rPr>
          <w:color w:val="000000" w:themeColor="text1"/>
          <w:kern w:val="0"/>
          <w:szCs w:val="24"/>
          <w14:ligatures w14:val="none"/>
        </w:rPr>
        <w:t>Disclosures required under Fed. R. Civ. P. 26(a)</w:t>
      </w:r>
    </w:p>
    <w:p w14:paraId="702B9C83" w14:textId="77777777" w:rsidR="00FA6625" w:rsidRDefault="00FA6625" w:rsidP="00FA6625">
      <w:pPr>
        <w:pStyle w:val="ListParagraph"/>
        <w:numPr>
          <w:ilvl w:val="0"/>
          <w:numId w:val="2"/>
        </w:numPr>
        <w:spacing w:after="0" w:line="360" w:lineRule="auto"/>
        <w:jc w:val="both"/>
        <w:rPr>
          <w:color w:val="000000" w:themeColor="text1"/>
          <w:kern w:val="0"/>
          <w:szCs w:val="24"/>
          <w14:ligatures w14:val="none"/>
        </w:rPr>
      </w:pPr>
      <w:r>
        <w:rPr>
          <w:color w:val="000000" w:themeColor="text1"/>
          <w:kern w:val="0"/>
          <w:szCs w:val="24"/>
          <w14:ligatures w14:val="none"/>
        </w:rPr>
        <w:t>Plaintiff fact sheet</w:t>
      </w:r>
    </w:p>
    <w:p w14:paraId="54204626" w14:textId="77777777" w:rsidR="00FA6625" w:rsidRDefault="00FA6625" w:rsidP="00FA6625">
      <w:pPr>
        <w:pStyle w:val="ListParagraph"/>
        <w:numPr>
          <w:ilvl w:val="0"/>
          <w:numId w:val="2"/>
        </w:numPr>
        <w:spacing w:after="0" w:line="360" w:lineRule="auto"/>
        <w:jc w:val="both"/>
        <w:rPr>
          <w:color w:val="000000" w:themeColor="text1"/>
          <w:kern w:val="0"/>
          <w:szCs w:val="24"/>
          <w14:ligatures w14:val="none"/>
        </w:rPr>
      </w:pPr>
      <w:r>
        <w:rPr>
          <w:color w:val="000000" w:themeColor="text1"/>
          <w:kern w:val="0"/>
          <w:szCs w:val="24"/>
          <w14:ligatures w14:val="none"/>
        </w:rPr>
        <w:t>Medical records – all medical records, including mental health records, relating to plaintiff</w:t>
      </w:r>
    </w:p>
    <w:p w14:paraId="753003AE" w14:textId="77777777" w:rsidR="00FA6625" w:rsidRDefault="00FA6625" w:rsidP="00FA6625">
      <w:pPr>
        <w:pStyle w:val="ListParagraph"/>
        <w:numPr>
          <w:ilvl w:val="0"/>
          <w:numId w:val="2"/>
        </w:numPr>
        <w:spacing w:after="0" w:line="360" w:lineRule="auto"/>
        <w:jc w:val="both"/>
        <w:rPr>
          <w:color w:val="000000" w:themeColor="text1"/>
          <w:kern w:val="0"/>
          <w:szCs w:val="24"/>
          <w14:ligatures w14:val="none"/>
        </w:rPr>
      </w:pPr>
      <w:r>
        <w:rPr>
          <w:color w:val="000000" w:themeColor="text1"/>
          <w:kern w:val="0"/>
          <w:szCs w:val="24"/>
          <w14:ligatures w14:val="none"/>
        </w:rPr>
        <w:t>Pharmacy records</w:t>
      </w:r>
    </w:p>
    <w:p w14:paraId="4E0A2F48" w14:textId="77777777" w:rsidR="00FA6625" w:rsidRDefault="00FA6625" w:rsidP="00FA6625">
      <w:pPr>
        <w:pStyle w:val="ListParagraph"/>
        <w:numPr>
          <w:ilvl w:val="0"/>
          <w:numId w:val="2"/>
        </w:numPr>
        <w:spacing w:after="0" w:line="360" w:lineRule="auto"/>
        <w:jc w:val="both"/>
        <w:rPr>
          <w:color w:val="000000" w:themeColor="text1"/>
          <w:kern w:val="0"/>
          <w:szCs w:val="24"/>
          <w14:ligatures w14:val="none"/>
        </w:rPr>
      </w:pPr>
      <w:r>
        <w:rPr>
          <w:color w:val="000000" w:themeColor="text1"/>
          <w:kern w:val="0"/>
          <w:szCs w:val="24"/>
          <w14:ligatures w14:val="none"/>
        </w:rPr>
        <w:t>Summary of all medical tests documented or referenced in any medical record</w:t>
      </w:r>
    </w:p>
    <w:p w14:paraId="77C4CDC5" w14:textId="77777777" w:rsidR="00FA6625" w:rsidRDefault="00FA6625" w:rsidP="00FA6625">
      <w:pPr>
        <w:pStyle w:val="ListParagraph"/>
        <w:numPr>
          <w:ilvl w:val="0"/>
          <w:numId w:val="2"/>
        </w:numPr>
        <w:spacing w:after="0" w:line="360" w:lineRule="auto"/>
        <w:jc w:val="both"/>
        <w:rPr>
          <w:color w:val="000000" w:themeColor="text1"/>
          <w:kern w:val="0"/>
          <w:szCs w:val="24"/>
          <w14:ligatures w14:val="none"/>
        </w:rPr>
      </w:pPr>
      <w:r>
        <w:rPr>
          <w:color w:val="000000" w:themeColor="text1"/>
          <w:kern w:val="0"/>
          <w:szCs w:val="24"/>
          <w14:ligatures w14:val="none"/>
        </w:rPr>
        <w:t>Summary of claims-related medical records provided in designated form</w:t>
      </w:r>
    </w:p>
    <w:p w14:paraId="5416FEFE" w14:textId="77777777" w:rsidR="00FA6625" w:rsidRDefault="00FA6625" w:rsidP="00FA6625">
      <w:pPr>
        <w:pStyle w:val="ListParagraph"/>
        <w:numPr>
          <w:ilvl w:val="0"/>
          <w:numId w:val="2"/>
        </w:numPr>
        <w:spacing w:after="0" w:line="360" w:lineRule="auto"/>
        <w:jc w:val="both"/>
        <w:rPr>
          <w:color w:val="000000" w:themeColor="text1"/>
          <w:kern w:val="0"/>
          <w:szCs w:val="24"/>
          <w14:ligatures w14:val="none"/>
        </w:rPr>
      </w:pPr>
      <w:r>
        <w:rPr>
          <w:color w:val="000000" w:themeColor="text1"/>
          <w:kern w:val="0"/>
          <w:szCs w:val="24"/>
          <w14:ligatures w14:val="none"/>
        </w:rPr>
        <w:t xml:space="preserve">All documents </w:t>
      </w:r>
      <w:proofErr w:type="gramStart"/>
      <w:r>
        <w:rPr>
          <w:color w:val="000000" w:themeColor="text1"/>
          <w:kern w:val="0"/>
          <w:szCs w:val="24"/>
          <w14:ligatures w14:val="none"/>
        </w:rPr>
        <w:t>evidencing</w:t>
      </w:r>
      <w:proofErr w:type="gramEnd"/>
      <w:r>
        <w:rPr>
          <w:color w:val="000000" w:themeColor="text1"/>
          <w:kern w:val="0"/>
          <w:szCs w:val="24"/>
          <w14:ligatures w14:val="none"/>
        </w:rPr>
        <w:t xml:space="preserve"> any use of disputed device or drug</w:t>
      </w:r>
    </w:p>
    <w:p w14:paraId="11413D01" w14:textId="77777777" w:rsidR="00FA6625" w:rsidRDefault="00FA6625" w:rsidP="00FA6625">
      <w:pPr>
        <w:pStyle w:val="ListParagraph"/>
        <w:numPr>
          <w:ilvl w:val="0"/>
          <w:numId w:val="2"/>
        </w:numPr>
        <w:spacing w:after="0" w:line="360" w:lineRule="auto"/>
        <w:jc w:val="both"/>
        <w:rPr>
          <w:color w:val="000000" w:themeColor="text1"/>
          <w:kern w:val="0"/>
          <w:szCs w:val="24"/>
          <w14:ligatures w14:val="none"/>
        </w:rPr>
      </w:pPr>
      <w:r>
        <w:rPr>
          <w:color w:val="000000" w:themeColor="text1"/>
          <w:kern w:val="0"/>
          <w:szCs w:val="24"/>
          <w14:ligatures w14:val="none"/>
        </w:rPr>
        <w:t>Autopsy report and death certificate, if applicable</w:t>
      </w:r>
    </w:p>
    <w:p w14:paraId="0ECE03F7" w14:textId="77777777" w:rsidR="00FA6625" w:rsidRDefault="00FA6625" w:rsidP="00FA6625">
      <w:pPr>
        <w:pStyle w:val="ListParagraph"/>
        <w:numPr>
          <w:ilvl w:val="0"/>
          <w:numId w:val="2"/>
        </w:numPr>
        <w:spacing w:after="0" w:line="360" w:lineRule="auto"/>
        <w:jc w:val="both"/>
        <w:rPr>
          <w:color w:val="000000" w:themeColor="text1"/>
          <w:kern w:val="0"/>
          <w:szCs w:val="24"/>
          <w14:ligatures w14:val="none"/>
        </w:rPr>
      </w:pPr>
      <w:r>
        <w:rPr>
          <w:color w:val="000000" w:themeColor="text1"/>
          <w:kern w:val="0"/>
          <w:szCs w:val="24"/>
          <w14:ligatures w14:val="none"/>
        </w:rPr>
        <w:t>Personnel records of plaintiff</w:t>
      </w:r>
    </w:p>
    <w:p w14:paraId="107AE1D7" w14:textId="77777777" w:rsidR="00FA6625" w:rsidRDefault="00FA6625" w:rsidP="00FA6625">
      <w:pPr>
        <w:pStyle w:val="ListParagraph"/>
        <w:numPr>
          <w:ilvl w:val="0"/>
          <w:numId w:val="2"/>
        </w:numPr>
        <w:spacing w:after="0" w:line="360" w:lineRule="auto"/>
        <w:jc w:val="both"/>
        <w:rPr>
          <w:color w:val="000000" w:themeColor="text1"/>
          <w:kern w:val="0"/>
          <w:szCs w:val="24"/>
          <w14:ligatures w14:val="none"/>
        </w:rPr>
      </w:pPr>
      <w:r>
        <w:rPr>
          <w:color w:val="000000" w:themeColor="text1"/>
          <w:kern w:val="0"/>
          <w:szCs w:val="24"/>
          <w14:ligatures w14:val="none"/>
        </w:rPr>
        <w:t>Photos and videos relating to plaintiff’s claims</w:t>
      </w:r>
    </w:p>
    <w:p w14:paraId="5536B70B" w14:textId="77777777" w:rsidR="00FA6625" w:rsidRDefault="00FA6625" w:rsidP="00FA6625">
      <w:pPr>
        <w:pStyle w:val="ListParagraph"/>
        <w:numPr>
          <w:ilvl w:val="0"/>
          <w:numId w:val="2"/>
        </w:numPr>
        <w:spacing w:after="0" w:line="360" w:lineRule="auto"/>
        <w:jc w:val="both"/>
        <w:rPr>
          <w:color w:val="000000" w:themeColor="text1"/>
          <w:kern w:val="0"/>
          <w:szCs w:val="24"/>
          <w14:ligatures w14:val="none"/>
        </w:rPr>
      </w:pPr>
      <w:r>
        <w:rPr>
          <w:color w:val="000000" w:themeColor="text1"/>
          <w:kern w:val="0"/>
          <w:szCs w:val="24"/>
          <w14:ligatures w14:val="none"/>
        </w:rPr>
        <w:t>Documents relating to injuries</w:t>
      </w:r>
    </w:p>
    <w:p w14:paraId="2F18F4D8" w14:textId="77777777" w:rsidR="00FA6625" w:rsidRDefault="00FA6625" w:rsidP="00FA6625">
      <w:pPr>
        <w:pStyle w:val="ListParagraph"/>
        <w:numPr>
          <w:ilvl w:val="0"/>
          <w:numId w:val="2"/>
        </w:numPr>
        <w:spacing w:after="0" w:line="360" w:lineRule="auto"/>
        <w:jc w:val="both"/>
        <w:rPr>
          <w:color w:val="000000" w:themeColor="text1"/>
          <w:kern w:val="0"/>
          <w:szCs w:val="24"/>
          <w14:ligatures w14:val="none"/>
        </w:rPr>
      </w:pPr>
      <w:r>
        <w:rPr>
          <w:color w:val="000000" w:themeColor="text1"/>
          <w:kern w:val="0"/>
          <w:szCs w:val="24"/>
          <w14:ligatures w14:val="none"/>
        </w:rPr>
        <w:t>Non-privileged communications relating to litigation</w:t>
      </w:r>
    </w:p>
    <w:p w14:paraId="6B75BFC2" w14:textId="77777777" w:rsidR="00FA6625" w:rsidRDefault="00FA6625" w:rsidP="00FA6625">
      <w:pPr>
        <w:pStyle w:val="ListParagraph"/>
        <w:numPr>
          <w:ilvl w:val="0"/>
          <w:numId w:val="2"/>
        </w:numPr>
        <w:spacing w:after="0" w:line="360" w:lineRule="auto"/>
        <w:jc w:val="both"/>
        <w:rPr>
          <w:color w:val="000000" w:themeColor="text1"/>
          <w:kern w:val="0"/>
          <w:szCs w:val="24"/>
          <w14:ligatures w14:val="none"/>
        </w:rPr>
      </w:pPr>
      <w:r>
        <w:rPr>
          <w:color w:val="000000" w:themeColor="text1"/>
          <w:kern w:val="0"/>
          <w:szCs w:val="24"/>
          <w14:ligatures w14:val="none"/>
        </w:rPr>
        <w:t>Expert reports containing medical opinions regarding claim</w:t>
      </w:r>
      <w:r>
        <w:rPr>
          <w:rStyle w:val="FootnoteReference"/>
          <w:color w:val="000000" w:themeColor="text1"/>
          <w:kern w:val="0"/>
          <w:szCs w:val="24"/>
          <w14:ligatures w14:val="none"/>
        </w:rPr>
        <w:footnoteReference w:id="50"/>
      </w:r>
    </w:p>
    <w:p w14:paraId="1F4A65A6" w14:textId="77777777" w:rsidR="00FA6625" w:rsidRDefault="00FA6625" w:rsidP="00FA6625">
      <w:pPr>
        <w:spacing w:after="0" w:line="360" w:lineRule="auto"/>
        <w:ind w:firstLine="720"/>
        <w:jc w:val="both"/>
        <w:rPr>
          <w:rFonts w:cs="Times New Roman"/>
          <w:szCs w:val="24"/>
        </w:rPr>
      </w:pPr>
      <w:r w:rsidRPr="001070C4">
        <w:rPr>
          <w:rFonts w:cs="Times New Roman"/>
          <w:szCs w:val="24"/>
        </w:rPr>
        <w:t xml:space="preserve">But </w:t>
      </w:r>
      <w:r w:rsidRPr="001070C4">
        <w:rPr>
          <w:rFonts w:cs="Times New Roman"/>
          <w:color w:val="1F1F1F"/>
          <w:szCs w:val="24"/>
          <w:shd w:val="clear" w:color="auto" w:fill="FFFFFF"/>
        </w:rPr>
        <w:t>court</w:t>
      </w:r>
      <w:r>
        <w:rPr>
          <w:rFonts w:cs="Times New Roman"/>
          <w:color w:val="1F1F1F"/>
          <w:szCs w:val="24"/>
          <w:shd w:val="clear" w:color="auto" w:fill="FFFFFF"/>
        </w:rPr>
        <w:t>s</w:t>
      </w:r>
      <w:r w:rsidRPr="001070C4">
        <w:rPr>
          <w:rFonts w:cs="Times New Roman"/>
          <w:color w:val="1F1F1F"/>
          <w:szCs w:val="24"/>
          <w:shd w:val="clear" w:color="auto" w:fill="FFFFFF"/>
        </w:rPr>
        <w:t xml:space="preserve"> </w:t>
      </w:r>
      <w:r>
        <w:rPr>
          <w:rFonts w:cs="Times New Roman"/>
          <w:color w:val="1F1F1F"/>
          <w:szCs w:val="24"/>
          <w:shd w:val="clear" w:color="auto" w:fill="FFFFFF"/>
        </w:rPr>
        <w:t xml:space="preserve">have been unable to </w:t>
      </w:r>
      <w:r w:rsidRPr="001070C4">
        <w:rPr>
          <w:rFonts w:cs="Times New Roman"/>
          <w:color w:val="1F1F1F"/>
          <w:szCs w:val="24"/>
          <w:shd w:val="clear" w:color="auto" w:fill="FFFFFF"/>
        </w:rPr>
        <w:t>effectively use show-cause hearings to address each documentation failure individually</w:t>
      </w:r>
      <w:r>
        <w:rPr>
          <w:rFonts w:cs="Times New Roman"/>
          <w:szCs w:val="24"/>
        </w:rPr>
        <w:t xml:space="preserve"> when the</w:t>
      </w:r>
      <w:r w:rsidRPr="001070C4">
        <w:rPr>
          <w:rFonts w:cs="Times New Roman"/>
          <w:color w:val="1F1F1F"/>
          <w:szCs w:val="24"/>
          <w:shd w:val="clear" w:color="auto" w:fill="FFFFFF"/>
        </w:rPr>
        <w:t xml:space="preserve"> number of cases</w:t>
      </w:r>
      <w:r>
        <w:rPr>
          <w:rFonts w:cs="Times New Roman"/>
          <w:color w:val="1F1F1F"/>
          <w:szCs w:val="24"/>
          <w:shd w:val="clear" w:color="auto" w:fill="FFFFFF"/>
        </w:rPr>
        <w:t xml:space="preserve"> is overwhelming, which</w:t>
      </w:r>
      <w:r w:rsidRPr="001070C4">
        <w:rPr>
          <w:rFonts w:cs="Times New Roman"/>
          <w:color w:val="1F1F1F"/>
          <w:szCs w:val="24"/>
          <w:shd w:val="clear" w:color="auto" w:fill="FFFFFF"/>
        </w:rPr>
        <w:t xml:space="preserve"> </w:t>
      </w:r>
      <w:r>
        <w:rPr>
          <w:rFonts w:cs="Times New Roman"/>
          <w:color w:val="1F1F1F"/>
          <w:szCs w:val="24"/>
          <w:shd w:val="clear" w:color="auto" w:fill="FFFFFF"/>
        </w:rPr>
        <w:t>essentially allows</w:t>
      </w:r>
      <w:r w:rsidRPr="001070C4">
        <w:rPr>
          <w:rFonts w:cs="Times New Roman"/>
          <w:color w:val="1F1F1F"/>
          <w:szCs w:val="24"/>
          <w:shd w:val="clear" w:color="auto" w:fill="FFFFFF"/>
        </w:rPr>
        <w:t xml:space="preserve"> most unsupported claims </w:t>
      </w:r>
      <w:r>
        <w:rPr>
          <w:rFonts w:cs="Times New Roman"/>
          <w:color w:val="1F1F1F"/>
          <w:szCs w:val="24"/>
          <w:shd w:val="clear" w:color="auto" w:fill="FFFFFF"/>
        </w:rPr>
        <w:t>to escape scrutiny</w:t>
      </w:r>
      <w:r>
        <w:rPr>
          <w:rFonts w:ascii="Arial" w:hAnsi="Arial" w:cs="Arial"/>
          <w:color w:val="1F1F1F"/>
          <w:sz w:val="20"/>
          <w:szCs w:val="20"/>
          <w:shd w:val="clear" w:color="auto" w:fill="FFFFFF"/>
        </w:rPr>
        <w:t>.</w:t>
      </w:r>
      <w:r>
        <w:rPr>
          <w:rStyle w:val="FootnoteReference"/>
          <w:rFonts w:ascii="Arial" w:hAnsi="Arial" w:cs="Arial"/>
          <w:color w:val="1F1F1F"/>
          <w:sz w:val="20"/>
          <w:szCs w:val="20"/>
          <w:shd w:val="clear" w:color="auto" w:fill="FFFFFF"/>
        </w:rPr>
        <w:footnoteReference w:id="51"/>
      </w:r>
      <w:r>
        <w:rPr>
          <w:rFonts w:ascii="Arial" w:hAnsi="Arial" w:cs="Arial"/>
          <w:color w:val="1F1F1F"/>
          <w:sz w:val="20"/>
          <w:szCs w:val="20"/>
          <w:shd w:val="clear" w:color="auto" w:fill="FFFFFF"/>
        </w:rPr>
        <w:t xml:space="preserve">  </w:t>
      </w:r>
      <w:bookmarkEnd w:id="4"/>
      <w:r>
        <w:rPr>
          <w:rFonts w:cs="Times New Roman"/>
          <w:color w:val="1F1F1F"/>
          <w:szCs w:val="24"/>
          <w:shd w:val="clear" w:color="auto" w:fill="FFFFFF"/>
        </w:rPr>
        <w:t>Unlike</w:t>
      </w:r>
      <w:r w:rsidRPr="008849AE">
        <w:rPr>
          <w:rFonts w:cs="Times New Roman"/>
          <w:color w:val="1F1F1F"/>
          <w:szCs w:val="24"/>
          <w:shd w:val="clear" w:color="auto" w:fill="FFFFFF"/>
        </w:rPr>
        <w:t xml:space="preserve"> other mass-tort MDLs where unsupportable claims often persist, the </w:t>
      </w:r>
      <w:r w:rsidRPr="008849AE">
        <w:rPr>
          <w:rFonts w:cs="Times New Roman"/>
          <w:i/>
          <w:iCs/>
          <w:color w:val="1F1F1F"/>
          <w:szCs w:val="24"/>
          <w:shd w:val="clear" w:color="auto" w:fill="FFFFFF"/>
        </w:rPr>
        <w:t>3M Combat Arms Earplug</w:t>
      </w:r>
      <w:r w:rsidRPr="008849AE">
        <w:rPr>
          <w:rFonts w:cs="Times New Roman"/>
          <w:color w:val="1F1F1F"/>
          <w:szCs w:val="24"/>
          <w:shd w:val="clear" w:color="auto" w:fill="FFFFFF"/>
        </w:rPr>
        <w:t xml:space="preserve"> </w:t>
      </w:r>
      <w:r>
        <w:rPr>
          <w:rFonts w:cs="Times New Roman"/>
          <w:color w:val="1F1F1F"/>
          <w:szCs w:val="24"/>
          <w:shd w:val="clear" w:color="auto" w:fill="FFFFFF"/>
        </w:rPr>
        <w:t>MDL</w:t>
      </w:r>
      <w:r w:rsidRPr="008849AE">
        <w:rPr>
          <w:rFonts w:cs="Times New Roman"/>
          <w:color w:val="1F1F1F"/>
          <w:szCs w:val="24"/>
          <w:shd w:val="clear" w:color="auto" w:fill="FFFFFF"/>
        </w:rPr>
        <w:t xml:space="preserve"> demonstrated the efficacy of strictly enforced deadlines</w:t>
      </w:r>
      <w:r>
        <w:rPr>
          <w:rFonts w:cs="Times New Roman"/>
          <w:color w:val="1F1F1F"/>
          <w:szCs w:val="24"/>
          <w:shd w:val="clear" w:color="auto" w:fill="FFFFFF"/>
        </w:rPr>
        <w:t>, when the number of actions was especially high</w:t>
      </w:r>
      <w:r w:rsidRPr="008849AE">
        <w:rPr>
          <w:rFonts w:cs="Times New Roman"/>
          <w:color w:val="1F1F1F"/>
          <w:szCs w:val="24"/>
          <w:shd w:val="clear" w:color="auto" w:fill="FFFFFF"/>
        </w:rPr>
        <w:t xml:space="preserve">. By employing a docket-control order that </w:t>
      </w:r>
      <w:r>
        <w:rPr>
          <w:rFonts w:cs="Times New Roman"/>
          <w:color w:val="1F1F1F"/>
          <w:szCs w:val="24"/>
          <w:shd w:val="clear" w:color="auto" w:fill="FFFFFF"/>
        </w:rPr>
        <w:t xml:space="preserve">mandated a firm deadline for producing discovery and </w:t>
      </w:r>
      <w:r w:rsidRPr="008849AE">
        <w:rPr>
          <w:rFonts w:cs="Times New Roman"/>
          <w:color w:val="1F1F1F"/>
          <w:szCs w:val="24"/>
          <w:shd w:val="clear" w:color="auto" w:fill="FFFFFF"/>
        </w:rPr>
        <w:t xml:space="preserve">dispensed with individual show-cause hearings, the court successfully </w:t>
      </w:r>
      <w:r>
        <w:rPr>
          <w:rFonts w:cs="Times New Roman"/>
          <w:color w:val="1F1F1F"/>
          <w:szCs w:val="24"/>
          <w:shd w:val="clear" w:color="auto" w:fill="FFFFFF"/>
        </w:rPr>
        <w:t>concluded</w:t>
      </w:r>
      <w:r w:rsidRPr="008849AE">
        <w:rPr>
          <w:rFonts w:cs="Times New Roman"/>
          <w:color w:val="1F1F1F"/>
          <w:szCs w:val="24"/>
          <w:shd w:val="clear" w:color="auto" w:fill="FFFFFF"/>
        </w:rPr>
        <w:t xml:space="preserve"> nearly 20,000 noncompliant actions.</w:t>
      </w:r>
      <w:r>
        <w:rPr>
          <w:rFonts w:ascii="Arial" w:hAnsi="Arial" w:cs="Arial"/>
          <w:color w:val="1F1F1F"/>
          <w:sz w:val="20"/>
          <w:szCs w:val="20"/>
          <w:shd w:val="clear" w:color="auto" w:fill="FFFFFF"/>
        </w:rPr>
        <w:t xml:space="preserve"> </w:t>
      </w:r>
      <w:r>
        <w:rPr>
          <w:rFonts w:cs="Times New Roman"/>
          <w:szCs w:val="24"/>
        </w:rPr>
        <w:t xml:space="preserve">The court determined that </w:t>
      </w:r>
      <w:r>
        <w:t xml:space="preserve">additional show-cause hearings were no longer necessary </w:t>
      </w:r>
      <w:r>
        <w:lastRenderedPageBreak/>
        <w:t>because</w:t>
      </w:r>
      <w:r>
        <w:rPr>
          <w:rFonts w:cs="Times New Roman"/>
          <w:szCs w:val="24"/>
        </w:rPr>
        <w:t xml:space="preserve"> </w:t>
      </w:r>
      <w:r>
        <w:t xml:space="preserve">discovery was completed, plaintiffs were fully </w:t>
      </w:r>
      <w:r w:rsidRPr="00C86816">
        <w:rPr>
          <w:rFonts w:cs="Times New Roman"/>
          <w:szCs w:val="24"/>
        </w:rPr>
        <w:t>informed</w:t>
      </w:r>
      <w:r>
        <w:rPr>
          <w:rFonts w:cs="Times New Roman"/>
          <w:szCs w:val="24"/>
        </w:rPr>
        <w:t xml:space="preserve"> and warned of consequences, </w:t>
      </w:r>
      <w:r w:rsidRPr="00C86816">
        <w:rPr>
          <w:rFonts w:cs="Times New Roman"/>
          <w:szCs w:val="24"/>
        </w:rPr>
        <w:t xml:space="preserve">and </w:t>
      </w:r>
      <w:r w:rsidRPr="00C86816">
        <w:rPr>
          <w:rFonts w:cs="Times New Roman"/>
          <w:color w:val="1F1F1F"/>
          <w:szCs w:val="24"/>
          <w:shd w:val="clear" w:color="auto" w:fill="FFFFFF"/>
        </w:rPr>
        <w:t xml:space="preserve">the parties had already been given </w:t>
      </w:r>
      <w:r>
        <w:rPr>
          <w:rFonts w:cs="Times New Roman"/>
          <w:color w:val="1F1F1F"/>
          <w:szCs w:val="24"/>
          <w:shd w:val="clear" w:color="auto" w:fill="FFFFFF"/>
        </w:rPr>
        <w:t>multiple</w:t>
      </w:r>
      <w:r w:rsidRPr="00C86816">
        <w:rPr>
          <w:rFonts w:cs="Times New Roman"/>
          <w:color w:val="1F1F1F"/>
          <w:szCs w:val="24"/>
          <w:shd w:val="clear" w:color="auto" w:fill="FFFFFF"/>
        </w:rPr>
        <w:t xml:space="preserve"> opportunities to submit their documents</w:t>
      </w:r>
      <w:r w:rsidRPr="00C86816">
        <w:rPr>
          <w:rFonts w:cs="Times New Roman"/>
          <w:szCs w:val="24"/>
        </w:rPr>
        <w:t>.</w:t>
      </w:r>
      <w:r>
        <w:rPr>
          <w:rFonts w:cs="Times New Roman"/>
          <w:szCs w:val="24"/>
        </w:rPr>
        <w:t xml:space="preserve"> </w:t>
      </w:r>
    </w:p>
    <w:p w14:paraId="042A41A3" w14:textId="77777777" w:rsidR="00FA6625" w:rsidRDefault="00FA6625" w:rsidP="00FA6625">
      <w:pPr>
        <w:spacing w:after="0" w:line="360" w:lineRule="auto"/>
        <w:ind w:firstLine="720"/>
        <w:jc w:val="both"/>
        <w:rPr>
          <w:rFonts w:ascii="Arial" w:hAnsi="Arial" w:cs="Arial"/>
          <w:color w:val="1F1F1F"/>
          <w:shd w:val="clear" w:color="auto" w:fill="FFFFFF"/>
        </w:rPr>
      </w:pPr>
      <w:r>
        <w:rPr>
          <w:rFonts w:cs="Times New Roman"/>
          <w:szCs w:val="24"/>
        </w:rPr>
        <w:t>The court exercised its plenary authority under Federal Rule 37(b)(2)(A)(v), which does not require holding show-cause hearings, and dismissed the actions for failing to comply with the court’s order.</w:t>
      </w:r>
      <w:r>
        <w:rPr>
          <w:rStyle w:val="FootnoteReference"/>
          <w:rFonts w:cs="Times New Roman"/>
          <w:szCs w:val="24"/>
        </w:rPr>
        <w:footnoteReference w:id="52"/>
      </w:r>
      <w:r>
        <w:rPr>
          <w:rFonts w:cs="Times New Roman"/>
          <w:szCs w:val="24"/>
        </w:rPr>
        <w:t xml:space="preserve"> The court’s actions may have </w:t>
      </w:r>
      <w:r w:rsidRPr="00E64F63">
        <w:rPr>
          <w:rFonts w:cs="Times New Roman"/>
          <w:szCs w:val="24"/>
        </w:rPr>
        <w:t>helped clear the path for settlement</w:t>
      </w:r>
      <w:r>
        <w:rPr>
          <w:rFonts w:cs="Times New Roman"/>
          <w:szCs w:val="24"/>
        </w:rPr>
        <w:t xml:space="preserve"> </w:t>
      </w:r>
      <w:r>
        <w:rPr>
          <w:rFonts w:cs="Times New Roman"/>
          <w:color w:val="1F1F1F"/>
          <w:shd w:val="clear" w:color="auto" w:fill="FFFFFF"/>
        </w:rPr>
        <w:t xml:space="preserve">because </w:t>
      </w:r>
      <w:r w:rsidRPr="007E3F90">
        <w:rPr>
          <w:rFonts w:cs="Times New Roman"/>
          <w:color w:val="1F1F1F"/>
          <w:shd w:val="clear" w:color="auto" w:fill="FFFFFF"/>
        </w:rPr>
        <w:t xml:space="preserve">the defendant’s offer was </w:t>
      </w:r>
      <w:r>
        <w:rPr>
          <w:rFonts w:cs="Times New Roman"/>
          <w:color w:val="1F1F1F"/>
          <w:shd w:val="clear" w:color="auto" w:fill="FFFFFF"/>
        </w:rPr>
        <w:t>contingent</w:t>
      </w:r>
      <w:r w:rsidRPr="007E3F90">
        <w:rPr>
          <w:rFonts w:cs="Times New Roman"/>
          <w:color w:val="1F1F1F"/>
          <w:shd w:val="clear" w:color="auto" w:fill="FFFFFF"/>
        </w:rPr>
        <w:t xml:space="preserve"> </w:t>
      </w:r>
      <w:r w:rsidRPr="0059761F">
        <w:rPr>
          <w:rFonts w:cs="Times New Roman"/>
          <w:color w:val="1F1F1F"/>
          <w:shd w:val="clear" w:color="auto" w:fill="FFFFFF"/>
        </w:rPr>
        <w:t>on a 98% participation rate, protected by a walk-away righ</w:t>
      </w:r>
      <w:r>
        <w:rPr>
          <w:rFonts w:cs="Times New Roman"/>
          <w:color w:val="1F1F1F"/>
          <w:shd w:val="clear" w:color="auto" w:fill="FFFFFF"/>
        </w:rPr>
        <w:t>t.</w:t>
      </w:r>
      <w:r>
        <w:rPr>
          <w:rStyle w:val="FootnoteReference"/>
          <w:rFonts w:cs="Times New Roman"/>
          <w:color w:val="1F1F1F"/>
          <w:shd w:val="clear" w:color="auto" w:fill="FFFFFF"/>
        </w:rPr>
        <w:footnoteReference w:id="53"/>
      </w:r>
      <w:r>
        <w:rPr>
          <w:rFonts w:ascii="Arial" w:hAnsi="Arial" w:cs="Arial"/>
          <w:color w:val="1F1F1F"/>
          <w:shd w:val="clear" w:color="auto" w:fill="FFFFFF"/>
        </w:rPr>
        <w:t xml:space="preserve"> </w:t>
      </w:r>
    </w:p>
    <w:p w14:paraId="6424C3C2" w14:textId="77777777" w:rsidR="00FA6625" w:rsidRDefault="00FA6625" w:rsidP="00FA6625">
      <w:pPr>
        <w:pStyle w:val="NormalWeb"/>
        <w:shd w:val="clear" w:color="auto" w:fill="FFFFFF"/>
        <w:spacing w:after="0" w:line="360" w:lineRule="auto"/>
        <w:ind w:firstLine="720"/>
        <w:jc w:val="both"/>
      </w:pPr>
      <w:r>
        <w:t xml:space="preserve">To account for exceptional circumstances, the court should exercise flexibility in enforcing strict deadlines. For example, the court in the </w:t>
      </w:r>
      <w:r w:rsidRPr="002D68F1">
        <w:rPr>
          <w:i/>
          <w:iCs/>
        </w:rPr>
        <w:t>3M Combat Arms Earplug</w:t>
      </w:r>
      <w:r>
        <w:t xml:space="preserve"> MDL vacated hundreds of dismissal orders by implementing specific procedures that allowed parties to make a sufficient showing of good cause. </w:t>
      </w:r>
    </w:p>
    <w:p w14:paraId="7176D67F" w14:textId="77777777" w:rsidR="00FA6625" w:rsidRDefault="00FA6625" w:rsidP="00FA6625">
      <w:pPr>
        <w:pStyle w:val="NormalWeb"/>
        <w:shd w:val="clear" w:color="auto" w:fill="FFFFFF"/>
        <w:spacing w:after="0" w:line="360" w:lineRule="auto"/>
        <w:ind w:firstLine="720"/>
        <w:jc w:val="both"/>
      </w:pPr>
      <w:r w:rsidRPr="0073403E">
        <w:t xml:space="preserve">Individual show-cause hearings were bypassed in the </w:t>
      </w:r>
      <w:r w:rsidRPr="00FC7CEE">
        <w:rPr>
          <w:i/>
          <w:iCs/>
        </w:rPr>
        <w:t>3M Combat Arms Earplug</w:t>
      </w:r>
      <w:r w:rsidRPr="0073403E">
        <w:t xml:space="preserve"> MDL because the extreme number of non-compliant parties rendered such reviews unfeasible. </w:t>
      </w:r>
      <w:r w:rsidRPr="00FC7CEE">
        <w:rPr>
          <w:rFonts w:eastAsia="Times New Roman"/>
          <w:color w:val="1F1F1F"/>
          <w:kern w:val="0"/>
          <w14:ligatures w14:val="none"/>
        </w:rPr>
        <w:t xml:space="preserve">This </w:t>
      </w:r>
      <w:r>
        <w:rPr>
          <w:rFonts w:eastAsia="Times New Roman"/>
          <w:color w:val="1F1F1F"/>
          <w:kern w:val="0"/>
          <w14:ligatures w14:val="none"/>
        </w:rPr>
        <w:t xml:space="preserve">procedure </w:t>
      </w:r>
      <w:r w:rsidRPr="00FC7CEE">
        <w:rPr>
          <w:rFonts w:eastAsia="Times New Roman"/>
          <w:color w:val="1F1F1F"/>
          <w:kern w:val="0"/>
          <w14:ligatures w14:val="none"/>
        </w:rPr>
        <w:t>continues to be a practical option for addressing extensive non-compliance, even in the absence of a settlement offer.</w:t>
      </w:r>
      <w:r>
        <w:rPr>
          <w:rFonts w:eastAsia="Times New Roman"/>
          <w:color w:val="1F1F1F"/>
          <w:kern w:val="0"/>
          <w14:ligatures w14:val="none"/>
        </w:rPr>
        <w:t xml:space="preserve">  </w:t>
      </w:r>
      <w:r w:rsidRPr="0073403E">
        <w:t>Indeed, making this procedure contingent on a settlement offer could unnecessarily delay the resolution of the litigation by slowing the elimination of unsupportable claims. Conversely, when the volume of non-compliance is modest, individual show-cause hearings may remain</w:t>
      </w:r>
      <w:r w:rsidRPr="00047D31">
        <w:t xml:space="preserve"> the superior option. </w:t>
      </w:r>
      <w:r>
        <w:t xml:space="preserve"> </w:t>
      </w:r>
      <w:r w:rsidRPr="00047D31">
        <w:t>At the Rule 16.1 conference, the parties should address both scenarios.</w:t>
      </w:r>
      <w:r>
        <w:t xml:space="preserve"> </w:t>
      </w:r>
    </w:p>
    <w:p w14:paraId="770FAAFD" w14:textId="77777777" w:rsidR="00FA6625" w:rsidRDefault="00FA6625" w:rsidP="00FA6625">
      <w:pPr>
        <w:shd w:val="clear" w:color="auto" w:fill="FFFFFF"/>
        <w:spacing w:before="60" w:after="60" w:line="360" w:lineRule="auto"/>
        <w:ind w:firstLine="720"/>
        <w:jc w:val="both"/>
      </w:pPr>
      <w:r w:rsidRPr="000D5D0C">
        <w:rPr>
          <w:rFonts w:cs="Times New Roman"/>
          <w:color w:val="1F1F1F"/>
          <w:szCs w:val="24"/>
          <w:shd w:val="clear" w:color="auto" w:fill="FFFFFF"/>
        </w:rPr>
        <w:t>In mass-tort MDLs, automated tools are essential for identifying and managing thousands of claims that fail to provide required records after receiving adequate notice.</w:t>
      </w:r>
      <w:r>
        <w:rPr>
          <w:rFonts w:ascii="Arial" w:hAnsi="Arial" w:cs="Arial"/>
          <w:color w:val="1F1F1F"/>
          <w:sz w:val="20"/>
          <w:szCs w:val="20"/>
          <w:shd w:val="clear" w:color="auto" w:fill="FFFFFF"/>
        </w:rPr>
        <w:t xml:space="preserve"> </w:t>
      </w:r>
      <w:r w:rsidRPr="00E42DE0">
        <w:rPr>
          <w:rFonts w:eastAsia="Times New Roman" w:cs="Times New Roman"/>
          <w:color w:val="1F1F1F"/>
          <w:kern w:val="0"/>
          <w:szCs w:val="24"/>
          <w14:ligatures w14:val="none"/>
        </w:rPr>
        <w:t xml:space="preserve">The </w:t>
      </w:r>
      <w:r w:rsidRPr="00E42DE0">
        <w:rPr>
          <w:rFonts w:eastAsia="Times New Roman" w:cs="Times New Roman"/>
          <w:i/>
          <w:iCs/>
          <w:color w:val="1F1F1F"/>
          <w:kern w:val="0"/>
          <w:szCs w:val="24"/>
          <w14:ligatures w14:val="none"/>
        </w:rPr>
        <w:t>3M Combat Arms Earplug MDL</w:t>
      </w:r>
      <w:r w:rsidRPr="00E42DE0">
        <w:rPr>
          <w:rFonts w:eastAsia="Times New Roman" w:cs="Times New Roman"/>
          <w:color w:val="1F1F1F"/>
          <w:kern w:val="0"/>
          <w:szCs w:val="24"/>
          <w14:ligatures w14:val="none"/>
        </w:rPr>
        <w:t xml:space="preserve"> illustrates how parties can use central</w:t>
      </w:r>
      <w:r>
        <w:rPr>
          <w:rFonts w:eastAsia="Times New Roman" w:cs="Times New Roman"/>
          <w:color w:val="1F1F1F"/>
          <w:kern w:val="0"/>
          <w:szCs w:val="24"/>
          <w14:ligatures w14:val="none"/>
        </w:rPr>
        <w:t xml:space="preserve">-exchange information platforms </w:t>
      </w:r>
      <w:r w:rsidRPr="00E42DE0">
        <w:rPr>
          <w:rFonts w:eastAsia="Times New Roman" w:cs="Times New Roman"/>
          <w:color w:val="1F1F1F"/>
          <w:kern w:val="0"/>
          <w:szCs w:val="24"/>
          <w14:ligatures w14:val="none"/>
        </w:rPr>
        <w:t>to automate notice handling, document intake, and subsequent dismissals for non-compliance.</w:t>
      </w:r>
      <w:r w:rsidRPr="003B1714">
        <w:rPr>
          <w:rFonts w:eastAsia="Times New Roman" w:cs="Times New Roman"/>
          <w:color w:val="1F1F1F"/>
          <w:kern w:val="0"/>
          <w:szCs w:val="24"/>
          <w14:ligatures w14:val="none"/>
        </w:rPr>
        <w:t xml:space="preserve">  </w:t>
      </w:r>
      <w:r>
        <w:t xml:space="preserve">The entire workflow -- including document service, deficiency identification, delivery of deficiency </w:t>
      </w:r>
      <w:r>
        <w:lastRenderedPageBreak/>
        <w:t xml:space="preserve">notices and opportunity to cure-deficiency notices, and dismissal notices -- was automated through </w:t>
      </w:r>
      <w:r w:rsidRPr="00162346">
        <w:t>MDL Centrality</w:t>
      </w:r>
      <w:r>
        <w:t>, a central-information exchange platform.</w:t>
      </w:r>
      <w:r>
        <w:rPr>
          <w:rStyle w:val="FootnoteReference"/>
        </w:rPr>
        <w:footnoteReference w:id="54"/>
      </w:r>
      <w:r>
        <w:t xml:space="preserve">  </w:t>
      </w:r>
    </w:p>
    <w:p w14:paraId="2F1F98A2" w14:textId="77777777" w:rsidR="00FA6625" w:rsidRPr="003D5C2B" w:rsidRDefault="00FA6625" w:rsidP="00FA6625">
      <w:pPr>
        <w:spacing w:after="0" w:line="360" w:lineRule="auto"/>
        <w:ind w:firstLine="720"/>
        <w:jc w:val="both"/>
        <w:rPr>
          <w:rFonts w:cs="Times New Roman"/>
          <w:color w:val="000000" w:themeColor="text1"/>
          <w:kern w:val="0"/>
          <w:szCs w:val="24"/>
          <w14:ligatures w14:val="none"/>
        </w:rPr>
      </w:pPr>
      <w:r w:rsidRPr="003F17D1">
        <w:rPr>
          <w:rFonts w:cs="Times New Roman"/>
          <w:color w:val="1F1F1F"/>
          <w:szCs w:val="24"/>
          <w:shd w:val="clear" w:color="auto" w:fill="FFFFFF"/>
        </w:rPr>
        <w:t>MDL judges expect strict compliance with docket-control orders.</w:t>
      </w:r>
      <w:r>
        <w:rPr>
          <w:rFonts w:cs="Times New Roman"/>
          <w:color w:val="1F1F1F"/>
          <w:szCs w:val="24"/>
          <w:shd w:val="clear" w:color="auto" w:fill="FFFFFF"/>
        </w:rPr>
        <w:t xml:space="preserve">  </w:t>
      </w:r>
      <w:r w:rsidRPr="003D5C2B">
        <w:rPr>
          <w:rFonts w:cs="Times New Roman"/>
          <w:color w:val="1F1F1F"/>
          <w:szCs w:val="24"/>
          <w:shd w:val="clear" w:color="auto" w:fill="FFFFFF"/>
        </w:rPr>
        <w:t xml:space="preserve">The </w:t>
      </w:r>
      <w:r>
        <w:rPr>
          <w:rFonts w:cs="Times New Roman"/>
          <w:color w:val="1F1F1F"/>
          <w:szCs w:val="24"/>
          <w:shd w:val="clear" w:color="auto" w:fill="FFFFFF"/>
        </w:rPr>
        <w:t xml:space="preserve">proposed </w:t>
      </w:r>
      <w:r w:rsidRPr="003D5C2B">
        <w:rPr>
          <w:rFonts w:cs="Times New Roman"/>
          <w:color w:val="1F1F1F"/>
          <w:szCs w:val="24"/>
          <w:shd w:val="clear" w:color="auto" w:fill="FFFFFF"/>
        </w:rPr>
        <w:t xml:space="preserve">framework should additionally outline procedures </w:t>
      </w:r>
      <w:r>
        <w:rPr>
          <w:rFonts w:cs="Times New Roman"/>
          <w:color w:val="1F1F1F"/>
          <w:szCs w:val="24"/>
          <w:shd w:val="clear" w:color="auto" w:fill="FFFFFF"/>
        </w:rPr>
        <w:t xml:space="preserve">for the next stage of litigation for </w:t>
      </w:r>
      <w:r w:rsidRPr="003D5C2B">
        <w:rPr>
          <w:rFonts w:cs="Times New Roman"/>
          <w:color w:val="1F1F1F"/>
          <w:szCs w:val="24"/>
          <w:shd w:val="clear" w:color="auto" w:fill="FFFFFF"/>
        </w:rPr>
        <w:t xml:space="preserve">cases that have fully complied with the docket-control order. These options might involve </w:t>
      </w:r>
      <w:proofErr w:type="gramStart"/>
      <w:r w:rsidRPr="003D5C2B">
        <w:rPr>
          <w:rFonts w:cs="Times New Roman"/>
          <w:color w:val="1F1F1F"/>
          <w:szCs w:val="24"/>
          <w:shd w:val="clear" w:color="auto" w:fill="FFFFFF"/>
        </w:rPr>
        <w:t>remanding</w:t>
      </w:r>
      <w:proofErr w:type="gramEnd"/>
      <w:r w:rsidRPr="003D5C2B">
        <w:rPr>
          <w:rFonts w:cs="Times New Roman"/>
          <w:color w:val="1F1F1F"/>
          <w:szCs w:val="24"/>
          <w:shd w:val="clear" w:color="auto" w:fill="FFFFFF"/>
        </w:rPr>
        <w:t xml:space="preserve"> the action,</w:t>
      </w:r>
      <w:r>
        <w:rPr>
          <w:rStyle w:val="FootnoteReference"/>
          <w:rFonts w:cs="Times New Roman"/>
          <w:color w:val="1F1F1F"/>
          <w:szCs w:val="24"/>
          <w:shd w:val="clear" w:color="auto" w:fill="FFFFFF"/>
        </w:rPr>
        <w:footnoteReference w:id="55"/>
      </w:r>
      <w:r w:rsidRPr="003D5C2B">
        <w:rPr>
          <w:rFonts w:cs="Times New Roman"/>
          <w:color w:val="1F1F1F"/>
          <w:szCs w:val="24"/>
          <w:shd w:val="clear" w:color="auto" w:fill="FFFFFF"/>
        </w:rPr>
        <w:t xml:space="preserve"> mandating mediation,</w:t>
      </w:r>
      <w:r>
        <w:rPr>
          <w:rStyle w:val="FootnoteReference"/>
          <w:rFonts w:cs="Times New Roman"/>
          <w:color w:val="1F1F1F"/>
          <w:szCs w:val="24"/>
          <w:shd w:val="clear" w:color="auto" w:fill="FFFFFF"/>
        </w:rPr>
        <w:footnoteReference w:id="56"/>
      </w:r>
      <w:r w:rsidRPr="003D5C2B">
        <w:rPr>
          <w:rFonts w:cs="Times New Roman"/>
          <w:color w:val="1F1F1F"/>
          <w:szCs w:val="24"/>
          <w:shd w:val="clear" w:color="auto" w:fill="FFFFFF"/>
        </w:rPr>
        <w:t xml:space="preserve"> or implementing an accelerated schedule for discovery and summary judgment, targeting a trial date within 12 months.</w:t>
      </w:r>
      <w:r>
        <w:rPr>
          <w:rStyle w:val="FootnoteReference"/>
          <w:rFonts w:cs="Times New Roman"/>
          <w:color w:val="1F1F1F"/>
          <w:szCs w:val="24"/>
          <w:shd w:val="clear" w:color="auto" w:fill="FFFFFF"/>
        </w:rPr>
        <w:footnoteReference w:id="57"/>
      </w:r>
    </w:p>
    <w:p w14:paraId="231528A2" w14:textId="77777777" w:rsidR="00FA6625" w:rsidRDefault="00FA6625" w:rsidP="00FA6625">
      <w:pPr>
        <w:jc w:val="center"/>
      </w:pPr>
    </w:p>
    <w:sectPr w:rsidR="00FA6625" w:rsidSect="00F8029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3CF50" w14:textId="77777777" w:rsidR="006C277F" w:rsidRDefault="006C277F" w:rsidP="00FA6625">
      <w:pPr>
        <w:spacing w:after="0" w:line="240" w:lineRule="auto"/>
      </w:pPr>
      <w:r>
        <w:separator/>
      </w:r>
    </w:p>
  </w:endnote>
  <w:endnote w:type="continuationSeparator" w:id="0">
    <w:p w14:paraId="00AFBACD" w14:textId="77777777" w:rsidR="006C277F" w:rsidRDefault="006C277F" w:rsidP="00FA6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See See Century School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455569"/>
      <w:docPartObj>
        <w:docPartGallery w:val="Page Numbers (Bottom of Page)"/>
        <w:docPartUnique/>
      </w:docPartObj>
    </w:sdtPr>
    <w:sdtEndPr>
      <w:rPr>
        <w:color w:val="7F7F7F" w:themeColor="background1" w:themeShade="7F"/>
        <w:spacing w:val="60"/>
      </w:rPr>
    </w:sdtEndPr>
    <w:sdtContent>
      <w:p w14:paraId="331AE67B" w14:textId="492ADDE4" w:rsidR="00FA6625" w:rsidRDefault="00FA662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FDED0CD" w14:textId="77777777" w:rsidR="00FA6625" w:rsidRDefault="00FA6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B3BAE" w14:textId="77777777" w:rsidR="006C277F" w:rsidRDefault="006C277F" w:rsidP="00FA6625">
      <w:pPr>
        <w:spacing w:after="0" w:line="240" w:lineRule="auto"/>
      </w:pPr>
      <w:r>
        <w:separator/>
      </w:r>
    </w:p>
  </w:footnote>
  <w:footnote w:type="continuationSeparator" w:id="0">
    <w:p w14:paraId="699E39E4" w14:textId="77777777" w:rsidR="006C277F" w:rsidRDefault="006C277F" w:rsidP="00FA6625">
      <w:pPr>
        <w:spacing w:after="0" w:line="240" w:lineRule="auto"/>
      </w:pPr>
      <w:r>
        <w:continuationSeparator/>
      </w:r>
    </w:p>
  </w:footnote>
  <w:footnote w:id="1">
    <w:p w14:paraId="44236840" w14:textId="77777777" w:rsidR="00FA6625" w:rsidRPr="001148D7" w:rsidRDefault="00FA6625" w:rsidP="00FA6625">
      <w:pPr>
        <w:pStyle w:val="FootnoteText"/>
        <w:jc w:val="both"/>
        <w:rPr>
          <w:rFonts w:cs="Times New Roman"/>
        </w:rPr>
      </w:pPr>
      <w:r>
        <w:rPr>
          <w:rStyle w:val="FootnoteReference"/>
        </w:rPr>
        <w:footnoteRef/>
      </w:r>
      <w:r>
        <w:t xml:space="preserve"> </w:t>
      </w:r>
      <w:r>
        <w:rPr>
          <w:rFonts w:cs="Times New Roman"/>
        </w:rPr>
        <w:t xml:space="preserve">Although the text of the rule applies generally to “compensation” of leadership </w:t>
      </w:r>
      <w:proofErr w:type="spellStart"/>
      <w:r>
        <w:rPr>
          <w:rFonts w:cs="Times New Roman"/>
        </w:rPr>
        <w:t>counsel</w:t>
      </w:r>
      <w:proofErr w:type="spellEnd"/>
      <w:r>
        <w:rPr>
          <w:rFonts w:cs="Times New Roman"/>
        </w:rPr>
        <w:t>, it is intended to address only common-benefit work performed by the leadership counsel as alluded to in the Committee Note, “establish a means for compensating leadership counsel for their added responsibilities.”</w:t>
      </w:r>
    </w:p>
  </w:footnote>
  <w:footnote w:id="2">
    <w:p w14:paraId="1D6344C8" w14:textId="77777777" w:rsidR="00FA6625" w:rsidRPr="00EF7935" w:rsidRDefault="00FA6625" w:rsidP="00FA6625">
      <w:pPr>
        <w:pStyle w:val="FootnoteText"/>
        <w:jc w:val="both"/>
        <w:rPr>
          <w:rFonts w:cs="Times New Roman"/>
        </w:rPr>
      </w:pPr>
      <w:r w:rsidRPr="00EF7935">
        <w:rPr>
          <w:rStyle w:val="FootnoteReference"/>
          <w:rFonts w:cs="Times New Roman"/>
        </w:rPr>
        <w:footnoteRef/>
      </w:r>
      <w:r w:rsidRPr="00EF7935">
        <w:rPr>
          <w:rFonts w:cs="Times New Roman"/>
        </w:rPr>
        <w:t xml:space="preserve"> “Courts have entered orders pursuant to the common benefit doctrine establishing specific protocols for common benefit work and expenses.” Fed. R. Civ. P. 16.1(</w:t>
      </w:r>
      <w:r>
        <w:rPr>
          <w:rFonts w:cs="Times New Roman"/>
        </w:rPr>
        <w:t>b</w:t>
      </w:r>
      <w:r w:rsidRPr="00EF7935">
        <w:rPr>
          <w:rFonts w:cs="Times New Roman"/>
        </w:rPr>
        <w:t>)(</w:t>
      </w:r>
      <w:r>
        <w:rPr>
          <w:rFonts w:cs="Times New Roman"/>
        </w:rPr>
        <w:t>2</w:t>
      </w:r>
      <w:r w:rsidRPr="00EF7935">
        <w:rPr>
          <w:rFonts w:cs="Times New Roman"/>
        </w:rPr>
        <w:t>)(</w:t>
      </w:r>
      <w:r>
        <w:rPr>
          <w:rFonts w:cs="Times New Roman"/>
        </w:rPr>
        <w:t>A</w:t>
      </w:r>
      <w:r w:rsidRPr="00EF7935">
        <w:rPr>
          <w:rFonts w:cs="Times New Roman"/>
        </w:rPr>
        <w:t>)</w:t>
      </w:r>
      <w:r>
        <w:rPr>
          <w:rFonts w:cs="Times New Roman"/>
        </w:rPr>
        <w:t>(vii)</w:t>
      </w:r>
      <w:r w:rsidRPr="00EF7935">
        <w:rPr>
          <w:rFonts w:cs="Times New Roman"/>
        </w:rPr>
        <w:t>, Committee Note (</w:t>
      </w:r>
      <w:r>
        <w:rPr>
          <w:rFonts w:cs="Times New Roman"/>
        </w:rPr>
        <w:t>December 1, 2025</w:t>
      </w:r>
      <w:r w:rsidRPr="00EF7935">
        <w:rPr>
          <w:rFonts w:cs="Times New Roman"/>
        </w:rPr>
        <w:t>)</w:t>
      </w:r>
      <w:r>
        <w:rPr>
          <w:rFonts w:cs="Times New Roman"/>
        </w:rPr>
        <w:t xml:space="preserve">; </w:t>
      </w:r>
      <w:r w:rsidRPr="006146AE">
        <w:rPr>
          <w:rFonts w:cs="Times New Roman"/>
          <w:i/>
          <w:iCs/>
        </w:rPr>
        <w:t>see also</w:t>
      </w:r>
      <w:r>
        <w:rPr>
          <w:rFonts w:cs="Times New Roman"/>
        </w:rPr>
        <w:t xml:space="preserve"> </w:t>
      </w:r>
      <w:r w:rsidRPr="0060162F">
        <w:rPr>
          <w:rFonts w:cs="Times New Roman"/>
          <w:i/>
          <w:iCs/>
        </w:rPr>
        <w:t xml:space="preserve">In Re: Bard Implanted </w:t>
      </w:r>
      <w:r>
        <w:rPr>
          <w:rFonts w:cs="Times New Roman"/>
          <w:i/>
          <w:iCs/>
        </w:rPr>
        <w:t>P</w:t>
      </w:r>
      <w:r w:rsidRPr="0060162F">
        <w:rPr>
          <w:rFonts w:cs="Times New Roman"/>
          <w:i/>
          <w:iCs/>
        </w:rPr>
        <w:t xml:space="preserve">ort Catheter Prod. </w:t>
      </w:r>
      <w:proofErr w:type="spellStart"/>
      <w:r w:rsidRPr="0060162F">
        <w:rPr>
          <w:rFonts w:cs="Times New Roman"/>
          <w:i/>
          <w:iCs/>
        </w:rPr>
        <w:t>Liab</w:t>
      </w:r>
      <w:proofErr w:type="spellEnd"/>
      <w:r w:rsidRPr="0060162F">
        <w:rPr>
          <w:rFonts w:cs="Times New Roman"/>
          <w:i/>
          <w:iCs/>
        </w:rPr>
        <w:t>. Litig</w:t>
      </w:r>
      <w:r>
        <w:rPr>
          <w:rFonts w:cs="Times New Roman"/>
        </w:rPr>
        <w:t xml:space="preserve">., MDL No. 3081, Case Management Order No. 4 (Oct. 10. 2023) (“The Court expresses no opinion regarding whether payment of any common-benefit fees or expenses will ever be appropriate.  This order merely provides guidance so that, should the issue become ripe during or after the closure of MDL 3081, any attorney applying for common-benefit fees or expenses will have notice of the standards that will be employed in assessing those applications.”);  </w:t>
      </w:r>
      <w:r w:rsidRPr="0004760C">
        <w:rPr>
          <w:rFonts w:cs="Times New Roman"/>
          <w:i/>
          <w:iCs/>
        </w:rPr>
        <w:t>but see</w:t>
      </w:r>
      <w:r>
        <w:rPr>
          <w:rFonts w:cs="Times New Roman"/>
        </w:rPr>
        <w:t xml:space="preserve"> Comments on Federal Rule Civil Procedure 16.1 submitted by judges of the Superior Court of the State of California for the County of Los Angeles Assigned Complex Litigation Program, p. 5 (Feb. 2, 2024) (“In simple terms, taxing a portion of any recoveries that might occur in a mass tort case (whether by verdict and judgment or by settlement), creates a strong incentive to participate in Plaintiffs’ Leadership and to incur ‘billable hours.’”)</w:t>
      </w:r>
      <w:r w:rsidRPr="00EF7935">
        <w:rPr>
          <w:rFonts w:cs="Times New Roman"/>
        </w:rPr>
        <w:t>.</w:t>
      </w:r>
    </w:p>
  </w:footnote>
  <w:footnote w:id="3">
    <w:p w14:paraId="045264DB" w14:textId="77777777" w:rsidR="00FA6625" w:rsidRDefault="00FA6625" w:rsidP="00FA6625">
      <w:pPr>
        <w:pStyle w:val="FootnoteText"/>
      </w:pPr>
      <w:r>
        <w:rPr>
          <w:rStyle w:val="FootnoteReference"/>
        </w:rPr>
        <w:footnoteRef/>
      </w:r>
      <w:r>
        <w:t xml:space="preserve"> </w:t>
      </w:r>
      <w:r w:rsidRPr="0056298C">
        <w:rPr>
          <w:i/>
          <w:iCs/>
        </w:rPr>
        <w:t>See In Re Bard Implanted Port Catheter</w:t>
      </w:r>
      <w:r>
        <w:t>, MDL No., 3081, CMO No. 4, Exhibit A, Common-Benefit Participation Agreement (Oct. 26, 2023).</w:t>
      </w:r>
    </w:p>
  </w:footnote>
  <w:footnote w:id="4">
    <w:p w14:paraId="67F3E1E0" w14:textId="77777777" w:rsidR="00FA6625" w:rsidRDefault="00FA6625" w:rsidP="00FA6625">
      <w:pPr>
        <w:pStyle w:val="FootnoteText"/>
        <w:jc w:val="both"/>
      </w:pPr>
      <w:r>
        <w:rPr>
          <w:rStyle w:val="FootnoteReference"/>
        </w:rPr>
        <w:footnoteRef/>
      </w:r>
      <w:r>
        <w:t xml:space="preserve"> </w:t>
      </w:r>
      <w:r w:rsidRPr="0056298C">
        <w:rPr>
          <w:i/>
          <w:iCs/>
        </w:rPr>
        <w:t>See In Re American Medical Systems, Inc., Pelvic Repair Systems</w:t>
      </w:r>
      <w:r>
        <w:t>, MDL No. 2325, Pretrial Order # 273, pp. 8-9 (January 30, 2019) (“Although originally used in the context of class actions, MDL courts commonly ‘cite [] the common fund doctrine as a basis for assessing common benefit fees.’ In the context of class actions, the common fund doctrine is used to remedy the free-rider problem, where a class member benefits from the class recovery while never paying for counsel.”)</w:t>
      </w:r>
    </w:p>
  </w:footnote>
  <w:footnote w:id="5">
    <w:p w14:paraId="122D30AF" w14:textId="77777777" w:rsidR="00FA6625" w:rsidRDefault="00FA6625" w:rsidP="00FA6625">
      <w:pPr>
        <w:pStyle w:val="FootnoteText"/>
        <w:jc w:val="both"/>
      </w:pPr>
      <w:r>
        <w:rPr>
          <w:rStyle w:val="FootnoteReference"/>
        </w:rPr>
        <w:footnoteRef/>
      </w:r>
      <w:r>
        <w:t xml:space="preserve"> </w:t>
      </w:r>
      <w:r w:rsidRPr="00E31F8E">
        <w:rPr>
          <w:i/>
          <w:iCs/>
        </w:rPr>
        <w:t>See</w:t>
      </w:r>
      <w:r>
        <w:t xml:space="preserve"> </w:t>
      </w:r>
      <w:r w:rsidRPr="00E31F8E">
        <w:rPr>
          <w:i/>
          <w:iCs/>
        </w:rPr>
        <w:t xml:space="preserve">In Re Bard IVC Filters Prods. </w:t>
      </w:r>
      <w:proofErr w:type="spellStart"/>
      <w:r w:rsidRPr="00E31F8E">
        <w:rPr>
          <w:i/>
          <w:iCs/>
        </w:rPr>
        <w:t>Liab</w:t>
      </w:r>
      <w:proofErr w:type="spellEnd"/>
      <w:r w:rsidRPr="00E31F8E">
        <w:rPr>
          <w:i/>
          <w:iCs/>
        </w:rPr>
        <w:t>. Litig</w:t>
      </w:r>
      <w:r>
        <w:t>., 603 F. Supp 3d 822, (D. Ariz. 2022) (noting caselaw justifying establishment of a common-benefit fund and distinguishing between common-fund doctrine and common-benefit doctrine; (</w:t>
      </w:r>
      <w:r w:rsidRPr="00E31F8E">
        <w:rPr>
          <w:i/>
          <w:iCs/>
        </w:rPr>
        <w:t>same</w:t>
      </w:r>
      <w:r>
        <w:t xml:space="preserve">, </w:t>
      </w:r>
      <w:r w:rsidRPr="0056298C">
        <w:rPr>
          <w:i/>
          <w:iCs/>
        </w:rPr>
        <w:t>In Re American Medical Systems, Inc., Pelvic Repair Systems</w:t>
      </w:r>
      <w:r>
        <w:t xml:space="preserve">, MDL No. 2325, Pretrial Order # 273, pp. 8-10 (January 30, 2019); </w:t>
      </w:r>
      <w:r w:rsidRPr="00E31F8E">
        <w:rPr>
          <w:i/>
          <w:iCs/>
        </w:rPr>
        <w:t>see also</w:t>
      </w:r>
      <w:r>
        <w:t xml:space="preserve"> Fallon, Eldon, Common Benefit Fees in Multidistrict Litigation, 74 Louisiana Law Review 371, No. 2, p. 378 (2014).</w:t>
      </w:r>
    </w:p>
  </w:footnote>
  <w:footnote w:id="6">
    <w:p w14:paraId="6AB16909" w14:textId="77777777" w:rsidR="00FA6625" w:rsidRDefault="00FA6625" w:rsidP="00FA6625">
      <w:pPr>
        <w:pStyle w:val="FootnoteText"/>
        <w:jc w:val="both"/>
      </w:pPr>
      <w:r>
        <w:rPr>
          <w:rStyle w:val="FootnoteReference"/>
        </w:rPr>
        <w:footnoteRef/>
      </w:r>
      <w:r>
        <w:t xml:space="preserve"> </w:t>
      </w:r>
      <w:r w:rsidRPr="00E31F8E">
        <w:rPr>
          <w:i/>
          <w:iCs/>
        </w:rPr>
        <w:t>See</w:t>
      </w:r>
      <w:r>
        <w:t xml:space="preserve"> Charles Silver and Geoffrey Miller, The Quasi-Class Action Method of Managing Multi-District Litigations: Problems and a Proposal, 63 Vanderbilt L. Rev. 107, 109 (2010) (“This practice supposedly rests on the common fund doctrine, a creature of the law of restitution which undergirds fee awards in class actions.  Yet the Supreme Court has never said the doctrine applies in MDLs, which are consolidations rather than class suits, and the American Law Institute’s Restatement (Third) of the Law of Restitution and Unjust Enrichment suggests otherwise.”)</w:t>
      </w:r>
    </w:p>
  </w:footnote>
  <w:footnote w:id="7">
    <w:p w14:paraId="331778B4" w14:textId="77777777" w:rsidR="00FA6625" w:rsidRDefault="00FA6625" w:rsidP="00FA6625">
      <w:pPr>
        <w:pStyle w:val="FootnoteText"/>
        <w:jc w:val="both"/>
      </w:pPr>
      <w:r>
        <w:rPr>
          <w:rStyle w:val="FootnoteReference"/>
        </w:rPr>
        <w:footnoteRef/>
      </w:r>
      <w:r>
        <w:t xml:space="preserve"> </w:t>
      </w:r>
      <w:r w:rsidRPr="0056298C">
        <w:rPr>
          <w:i/>
          <w:iCs/>
        </w:rPr>
        <w:t>See In Re Bard Implanted Port Catheter</w:t>
      </w:r>
      <w:r>
        <w:t xml:space="preserve">, MDL No., 3081, CMO No. 4, p. 1 (October 26, 2023) (“’It is beyond dispute that the Court may establish fee structures designed to compensate [lead counsel] for their work on behalf of all plaintiffs involved in [this MDL].’”) </w:t>
      </w:r>
    </w:p>
  </w:footnote>
  <w:footnote w:id="8">
    <w:p w14:paraId="267E6397" w14:textId="77777777" w:rsidR="00FA6625" w:rsidRDefault="00FA6625" w:rsidP="00FA6625">
      <w:pPr>
        <w:pStyle w:val="FootnoteText"/>
        <w:jc w:val="both"/>
      </w:pPr>
      <w:r>
        <w:rPr>
          <w:rStyle w:val="FootnoteReference"/>
        </w:rPr>
        <w:footnoteRef/>
      </w:r>
      <w:r>
        <w:t xml:space="preserve"> </w:t>
      </w:r>
      <w:r w:rsidRPr="0060162F">
        <w:rPr>
          <w:rFonts w:cs="Times New Roman"/>
          <w:i/>
          <w:iCs/>
        </w:rPr>
        <w:t xml:space="preserve">See In Re: Bard Implanted </w:t>
      </w:r>
      <w:r>
        <w:rPr>
          <w:rFonts w:cs="Times New Roman"/>
          <w:i/>
          <w:iCs/>
        </w:rPr>
        <w:t>P</w:t>
      </w:r>
      <w:r w:rsidRPr="0060162F">
        <w:rPr>
          <w:rFonts w:cs="Times New Roman"/>
          <w:i/>
          <w:iCs/>
        </w:rPr>
        <w:t xml:space="preserve">ort Catheter Prod. </w:t>
      </w:r>
      <w:proofErr w:type="spellStart"/>
      <w:r w:rsidRPr="0060162F">
        <w:rPr>
          <w:rFonts w:cs="Times New Roman"/>
          <w:i/>
          <w:iCs/>
        </w:rPr>
        <w:t>Liab</w:t>
      </w:r>
      <w:proofErr w:type="spellEnd"/>
      <w:r w:rsidRPr="0060162F">
        <w:rPr>
          <w:rFonts w:cs="Times New Roman"/>
          <w:i/>
          <w:iCs/>
        </w:rPr>
        <w:t>. Litig</w:t>
      </w:r>
      <w:r>
        <w:rPr>
          <w:rFonts w:cs="Times New Roman"/>
        </w:rPr>
        <w:t>., MDL No. 3081, Case Management Order No. 4, p. 14 (Oct. 26, 2023) (court issued a common-benefit fund order five weeks after the initial-management conference setting a 10% assessment, listing citations to many MDLs with common-benefit orders).</w:t>
      </w:r>
    </w:p>
  </w:footnote>
  <w:footnote w:id="9">
    <w:p w14:paraId="59BF554C" w14:textId="6B7D4356" w:rsidR="00FA6625" w:rsidRDefault="00FA6625" w:rsidP="00FA6625">
      <w:pPr>
        <w:pStyle w:val="FootnoteText"/>
      </w:pPr>
      <w:r>
        <w:rPr>
          <w:rStyle w:val="FootnoteReference"/>
        </w:rPr>
        <w:footnoteRef/>
      </w:r>
      <w:r>
        <w:t xml:space="preserve"> </w:t>
      </w:r>
      <w:r w:rsidRPr="0060162F">
        <w:rPr>
          <w:rFonts w:cs="Times New Roman"/>
          <w:i/>
          <w:iCs/>
        </w:rPr>
        <w:t xml:space="preserve">In Re: Bard Implanted </w:t>
      </w:r>
      <w:r>
        <w:rPr>
          <w:rFonts w:cs="Times New Roman"/>
          <w:i/>
          <w:iCs/>
        </w:rPr>
        <w:t>P</w:t>
      </w:r>
      <w:r w:rsidRPr="0060162F">
        <w:rPr>
          <w:rFonts w:cs="Times New Roman"/>
          <w:i/>
          <w:iCs/>
        </w:rPr>
        <w:t xml:space="preserve">ort Catheter Prod. </w:t>
      </w:r>
      <w:proofErr w:type="spellStart"/>
      <w:r w:rsidRPr="0060162F">
        <w:rPr>
          <w:rFonts w:cs="Times New Roman"/>
          <w:i/>
          <w:iCs/>
        </w:rPr>
        <w:t>Liab</w:t>
      </w:r>
      <w:proofErr w:type="spellEnd"/>
      <w:r w:rsidRPr="0060162F">
        <w:rPr>
          <w:rFonts w:cs="Times New Roman"/>
          <w:i/>
          <w:iCs/>
        </w:rPr>
        <w:t>. Litig</w:t>
      </w:r>
      <w:r>
        <w:rPr>
          <w:rFonts w:cs="Times New Roman"/>
        </w:rPr>
        <w:t>., MDL No. 3081, Case Management Order No. 4, Doc. No. 88, p.</w:t>
      </w:r>
      <w:r w:rsidR="004A7425">
        <w:rPr>
          <w:rFonts w:cs="Times New Roman"/>
        </w:rPr>
        <w:t xml:space="preserve"> </w:t>
      </w:r>
      <w:r>
        <w:rPr>
          <w:rFonts w:cs="Times New Roman"/>
        </w:rPr>
        <w:t>2 (Oct. 10, 2023).</w:t>
      </w:r>
    </w:p>
  </w:footnote>
  <w:footnote w:id="10">
    <w:p w14:paraId="1C381C5A" w14:textId="77777777" w:rsidR="00FA6625" w:rsidRPr="00EF7935" w:rsidRDefault="00FA6625" w:rsidP="00FA6625">
      <w:pPr>
        <w:pStyle w:val="FootnoteText"/>
        <w:jc w:val="both"/>
        <w:rPr>
          <w:rFonts w:cs="Times New Roman"/>
        </w:rPr>
      </w:pPr>
      <w:r w:rsidRPr="00EF7935">
        <w:rPr>
          <w:rStyle w:val="FootnoteReference"/>
          <w:rFonts w:cs="Times New Roman"/>
        </w:rPr>
        <w:footnoteRef/>
      </w:r>
      <w:r w:rsidRPr="00EF7935">
        <w:rPr>
          <w:rFonts w:cs="Times New Roman"/>
        </w:rPr>
        <w:t xml:space="preserve"> “But it may be best to defer entering a specific order </w:t>
      </w:r>
      <w:r>
        <w:rPr>
          <w:rFonts w:cs="Times New Roman"/>
        </w:rPr>
        <w:t xml:space="preserve">relating to common benefit fee and expenses </w:t>
      </w:r>
      <w:r w:rsidRPr="00EF7935">
        <w:rPr>
          <w:rFonts w:cs="Times New Roman"/>
        </w:rPr>
        <w:t xml:space="preserve">until well into the proceedings, when the court is more familiar with the </w:t>
      </w:r>
      <w:r>
        <w:rPr>
          <w:rFonts w:cs="Times New Roman"/>
        </w:rPr>
        <w:t>effects of such an order and the activities of leadership counsel</w:t>
      </w:r>
      <w:r w:rsidRPr="00EF7935">
        <w:rPr>
          <w:rFonts w:cs="Times New Roman"/>
        </w:rPr>
        <w:t xml:space="preserve">.” Fed. R. Civ. P. </w:t>
      </w:r>
      <w:r w:rsidRPr="00AB69BC">
        <w:rPr>
          <w:rFonts w:cs="Times New Roman"/>
        </w:rPr>
        <w:t>16.1(b)(2)(A)(vii</w:t>
      </w:r>
      <w:r>
        <w:rPr>
          <w:rFonts w:cs="Times New Roman"/>
        </w:rPr>
        <w:t>)</w:t>
      </w:r>
      <w:r w:rsidRPr="00EF7935">
        <w:rPr>
          <w:rFonts w:cs="Times New Roman"/>
        </w:rPr>
        <w:t>, Committee Note (</w:t>
      </w:r>
      <w:r>
        <w:rPr>
          <w:rFonts w:cs="Times New Roman"/>
        </w:rPr>
        <w:t xml:space="preserve">December 1, 2025). </w:t>
      </w:r>
    </w:p>
  </w:footnote>
  <w:footnote w:id="11">
    <w:p w14:paraId="2FA47712" w14:textId="77777777" w:rsidR="00FA6625" w:rsidRPr="00755AA6" w:rsidRDefault="00FA6625" w:rsidP="00FA6625">
      <w:pPr>
        <w:pStyle w:val="FootnoteText"/>
        <w:jc w:val="both"/>
        <w:rPr>
          <w:rFonts w:cs="Times New Roman"/>
        </w:rPr>
      </w:pPr>
      <w:r>
        <w:rPr>
          <w:rStyle w:val="FootnoteReference"/>
        </w:rPr>
        <w:footnoteRef/>
      </w:r>
      <w:r>
        <w:t xml:space="preserve"> </w:t>
      </w:r>
      <w:r w:rsidRPr="00A02DA8">
        <w:rPr>
          <w:rFonts w:ascii="See See Century Schoolbook" w:hAnsi="See See Century Schoolbook"/>
          <w:i/>
          <w:iCs/>
        </w:rPr>
        <w:t>See Social Media Adolescent Addiction</w:t>
      </w:r>
      <w:r>
        <w:rPr>
          <w:rFonts w:ascii="See See Century Schoolbook" w:hAnsi="See See Century Schoolbook"/>
        </w:rPr>
        <w:t>, MDL 3047, common-benefit order (Mar. 6, 2023) filed a few months after the JPML transfer, which assessed a 10% common-benefit fund percentage.</w:t>
      </w:r>
    </w:p>
  </w:footnote>
  <w:footnote w:id="12">
    <w:p w14:paraId="5378C73A" w14:textId="77777777" w:rsidR="00FA6625" w:rsidRDefault="00FA6625" w:rsidP="00FA6625">
      <w:pPr>
        <w:pStyle w:val="FootnoteText"/>
        <w:jc w:val="both"/>
      </w:pPr>
      <w:r>
        <w:rPr>
          <w:rStyle w:val="FootnoteReference"/>
        </w:rPr>
        <w:footnoteRef/>
      </w:r>
      <w:r>
        <w:t xml:space="preserve"> </w:t>
      </w:r>
      <w:r w:rsidRPr="0060162F">
        <w:rPr>
          <w:rFonts w:cs="Times New Roman"/>
          <w:i/>
          <w:iCs/>
        </w:rPr>
        <w:t xml:space="preserve">See In Re: Bard Implanted </w:t>
      </w:r>
      <w:r>
        <w:rPr>
          <w:rFonts w:cs="Times New Roman"/>
          <w:i/>
          <w:iCs/>
        </w:rPr>
        <w:t>P</w:t>
      </w:r>
      <w:r w:rsidRPr="0060162F">
        <w:rPr>
          <w:rFonts w:cs="Times New Roman"/>
          <w:i/>
          <w:iCs/>
        </w:rPr>
        <w:t xml:space="preserve">ort Catheter Prod. </w:t>
      </w:r>
      <w:proofErr w:type="spellStart"/>
      <w:r w:rsidRPr="0060162F">
        <w:rPr>
          <w:rFonts w:cs="Times New Roman"/>
          <w:i/>
          <w:iCs/>
        </w:rPr>
        <w:t>Liab</w:t>
      </w:r>
      <w:proofErr w:type="spellEnd"/>
      <w:r w:rsidRPr="0060162F">
        <w:rPr>
          <w:rFonts w:cs="Times New Roman"/>
          <w:i/>
          <w:iCs/>
        </w:rPr>
        <w:t>. Litig</w:t>
      </w:r>
      <w:r>
        <w:rPr>
          <w:rFonts w:cs="Times New Roman"/>
        </w:rPr>
        <w:t>., MDL No. 3081, Case Management Order No. 4, p. 15 (Oct. 26, 2023) (court directed defendant’s counsel upon learning of a case being filed in any state court ... to “promptly forward a copy of the state-court complaint to Plaintiffs’ Co-Lead Counsel so that Plaintiffs’ Co-Lead Counsel can notify the state-court attorneys of this Order and offer them the opportunity to become Participating Counsel.”).</w:t>
      </w:r>
    </w:p>
  </w:footnote>
  <w:footnote w:id="13">
    <w:p w14:paraId="5B7FE62B" w14:textId="77777777" w:rsidR="00FA6625" w:rsidRDefault="00FA6625" w:rsidP="00FA6625">
      <w:pPr>
        <w:pStyle w:val="FootnoteText"/>
        <w:jc w:val="both"/>
      </w:pPr>
      <w:r>
        <w:rPr>
          <w:rStyle w:val="FootnoteReference"/>
        </w:rPr>
        <w:footnoteRef/>
      </w:r>
      <w:r>
        <w:t xml:space="preserve"> </w:t>
      </w:r>
      <w:r w:rsidRPr="001A367E">
        <w:rPr>
          <w:i/>
          <w:iCs/>
        </w:rPr>
        <w:t>See</w:t>
      </w:r>
      <w:r>
        <w:t xml:space="preserve"> </w:t>
      </w:r>
      <w:r w:rsidRPr="0056298C">
        <w:rPr>
          <w:i/>
          <w:iCs/>
        </w:rPr>
        <w:t>In Re American Medical Systems, Inc., Pelvic Repair Systems</w:t>
      </w:r>
      <w:r>
        <w:t>, MDL No. 2325, Pretrial Order # 273, pp. 12-13 (January 30, 2019) (listing mass-tort MDLs with common-benefit fund percentage assessments from 2007 to 2016).</w:t>
      </w:r>
    </w:p>
  </w:footnote>
  <w:footnote w:id="14">
    <w:p w14:paraId="54ADE140" w14:textId="77777777" w:rsidR="00FA6625" w:rsidRDefault="00FA6625" w:rsidP="00FA6625">
      <w:pPr>
        <w:pStyle w:val="FootnoteText"/>
        <w:jc w:val="both"/>
      </w:pPr>
      <w:r>
        <w:rPr>
          <w:rStyle w:val="FootnoteReference"/>
        </w:rPr>
        <w:footnoteRef/>
      </w:r>
      <w:r>
        <w:t xml:space="preserve"> Different, but similar, factors used by the circuits, including for example: “Johnson” factors in the Fifth Circuit based on </w:t>
      </w:r>
      <w:r w:rsidRPr="00E31F8E">
        <w:rPr>
          <w:i/>
          <w:iCs/>
        </w:rPr>
        <w:t>Johnson v. Georgia Highway Express, Inc</w:t>
      </w:r>
      <w:r>
        <w:t xml:space="preserve">. (1974) and “Gunter” factors in the Third Circuit based on </w:t>
      </w:r>
      <w:r w:rsidRPr="00E31F8E">
        <w:rPr>
          <w:i/>
          <w:iCs/>
        </w:rPr>
        <w:t>Gunter v. Ridgewood Energy Corporation</w:t>
      </w:r>
      <w:r w:rsidRPr="00D92BE9">
        <w:rPr>
          <w:b/>
          <w:bCs/>
        </w:rPr>
        <w:t> (</w:t>
      </w:r>
      <w:r w:rsidRPr="00E31F8E">
        <w:t>2000)</w:t>
      </w:r>
      <w:r>
        <w:t>.</w:t>
      </w:r>
    </w:p>
  </w:footnote>
  <w:footnote w:id="15">
    <w:p w14:paraId="2DA74817" w14:textId="2572D6E8" w:rsidR="00FA6625" w:rsidRDefault="00FA6625" w:rsidP="00FA6625">
      <w:pPr>
        <w:pStyle w:val="FootnoteText"/>
        <w:jc w:val="both"/>
      </w:pPr>
      <w:r>
        <w:rPr>
          <w:rStyle w:val="FootnoteReference"/>
        </w:rPr>
        <w:footnoteRef/>
      </w:r>
      <w:r>
        <w:t xml:space="preserve"> </w:t>
      </w:r>
      <w:r w:rsidRPr="00E31F8E">
        <w:rPr>
          <w:i/>
          <w:iCs/>
        </w:rPr>
        <w:t>See</w:t>
      </w:r>
      <w:r w:rsidRPr="00E612C2">
        <w:rPr>
          <w:i/>
          <w:iCs/>
        </w:rPr>
        <w:t xml:space="preserve"> </w:t>
      </w:r>
      <w:r w:rsidRPr="0056298C">
        <w:rPr>
          <w:i/>
          <w:iCs/>
        </w:rPr>
        <w:t>In Re American Medical Systems, Inc., Pelvic Repair Systems</w:t>
      </w:r>
      <w:r>
        <w:t xml:space="preserve">, MDL No. 2325, Pretrial Order # 273, p. 19 (January 30, 2019) (“[T]he purpose of the cross-check is to serve as another data point to assess the reasonableness of the award, but it is not the primary factor.”); </w:t>
      </w:r>
      <w:r w:rsidRPr="0056298C">
        <w:rPr>
          <w:i/>
          <w:iCs/>
        </w:rPr>
        <w:t>see also</w:t>
      </w:r>
      <w:r>
        <w:t xml:space="preserve"> </w:t>
      </w:r>
      <w:r w:rsidRPr="0056298C">
        <w:rPr>
          <w:i/>
          <w:iCs/>
        </w:rPr>
        <w:t>In re Phi</w:t>
      </w:r>
      <w:r>
        <w:rPr>
          <w:i/>
          <w:iCs/>
        </w:rPr>
        <w:t>l</w:t>
      </w:r>
      <w:r w:rsidRPr="0056298C">
        <w:rPr>
          <w:i/>
          <w:iCs/>
        </w:rPr>
        <w:t>ips Recalled C</w:t>
      </w:r>
      <w:r w:rsidR="004A7425">
        <w:rPr>
          <w:i/>
          <w:iCs/>
        </w:rPr>
        <w:t>P</w:t>
      </w:r>
      <w:r w:rsidRPr="0056298C">
        <w:rPr>
          <w:i/>
          <w:iCs/>
        </w:rPr>
        <w:t>AP, Bi</w:t>
      </w:r>
      <w:r>
        <w:rPr>
          <w:i/>
          <w:iCs/>
        </w:rPr>
        <w:t>-</w:t>
      </w:r>
      <w:r w:rsidRPr="0056298C">
        <w:rPr>
          <w:i/>
          <w:iCs/>
        </w:rPr>
        <w:t>Level PAP, and Mechanical Ventilator</w:t>
      </w:r>
      <w:r>
        <w:t xml:space="preserve">, MDL No. 3014, Settlement Class Counsel’s Brief in Support of their Motion for an Award of Attorney’s Fees, Doc. No. 2421, pp. 18-19 (January 8, 2024) (“Nevertheless, ‘the lodestar cross-check does not trump the primary reliance on the percentage of common fund method.’ </w:t>
      </w:r>
      <w:r w:rsidRPr="0056298C">
        <w:rPr>
          <w:i/>
          <w:iCs/>
        </w:rPr>
        <w:t>In re Rite Aid Corp</w:t>
      </w:r>
      <w:r>
        <w:t>., 396 F.3d at 307.  Multipliers ‘ranging from one to four are frequently awarded in common fund cases.’”)</w:t>
      </w:r>
    </w:p>
  </w:footnote>
  <w:footnote w:id="16">
    <w:p w14:paraId="05856D28" w14:textId="77777777" w:rsidR="00FA6625" w:rsidRDefault="00FA6625" w:rsidP="00FA6625">
      <w:pPr>
        <w:pStyle w:val="FootnoteText"/>
        <w:jc w:val="both"/>
      </w:pPr>
      <w:r>
        <w:rPr>
          <w:rStyle w:val="FootnoteReference"/>
        </w:rPr>
        <w:footnoteRef/>
      </w:r>
      <w:r>
        <w:t xml:space="preserve"> For an excellent discussion about the subjectivity involved in allocating common-benefit fees, </w:t>
      </w:r>
      <w:r w:rsidRPr="0056298C">
        <w:rPr>
          <w:i/>
          <w:iCs/>
        </w:rPr>
        <w:t>see</w:t>
      </w:r>
      <w:r>
        <w:t xml:space="preserve"> </w:t>
      </w:r>
      <w:r w:rsidRPr="0056298C">
        <w:rPr>
          <w:i/>
          <w:iCs/>
        </w:rPr>
        <w:t>In Re American Medical Systems, Inc., Pelvic Repair Systems</w:t>
      </w:r>
      <w:r>
        <w:t xml:space="preserve">, MDL No. 2325, Pretrial Order # 273, pp. 35-36 (January 30, 2019) (“stated plainly, the ‘allocation of fees is not an exact science,’ and the methodology used may vary, so long as it is designed to produce results that are both fair and reasonable...The nature of the work, the skill and experience of the party doing the work, and the result achieved all factor into the appropriate allocation. How these factors are weighed injects an unavoidable amount of subjectivity in the analysis.  The best that can be done to assure the validity of the analysis is to base the subjectivity quotient on sufficient facts and experience, and to invite input from those affected.”); </w:t>
      </w:r>
      <w:r w:rsidRPr="0056298C">
        <w:rPr>
          <w:i/>
          <w:iCs/>
        </w:rPr>
        <w:t>see also</w:t>
      </w:r>
      <w:r>
        <w:t xml:space="preserve"> </w:t>
      </w:r>
      <w:r w:rsidRPr="0056298C">
        <w:rPr>
          <w:i/>
          <w:iCs/>
        </w:rPr>
        <w:t>In re 3M Combat Arms Earplug</w:t>
      </w:r>
      <w:r>
        <w:t xml:space="preserve">, MDL No. 2885, Plaintiff’s Leadership’s Motion for Confirmation of the Nine Percent Holdback Assessment, p. 60 (August 28, 2024) (explaining that a $510 million common-benefit fee based on total of 364,000 hours can be justified by adjusting the blended hourly rate and the lodestar multiplier, </w:t>
      </w:r>
      <w:r w:rsidRPr="0056298C">
        <w:rPr>
          <w:i/>
          <w:iCs/>
        </w:rPr>
        <w:t>e.g</w:t>
      </w:r>
      <w:r>
        <w:t xml:space="preserve">., $400 blended rate and multiplier of 3.5; $450 rate and multiplier of 3.1; $500 rate and multiplier of 2.8; and $550 rate and multiplier of 2.55.)  </w:t>
      </w:r>
    </w:p>
  </w:footnote>
  <w:footnote w:id="17">
    <w:p w14:paraId="6AB93FFE" w14:textId="77777777" w:rsidR="00FA6625" w:rsidRDefault="00FA6625" w:rsidP="00FA6625">
      <w:pPr>
        <w:pStyle w:val="FootnoteText"/>
        <w:jc w:val="both"/>
      </w:pPr>
      <w:r>
        <w:rPr>
          <w:rStyle w:val="FootnoteReference"/>
        </w:rPr>
        <w:footnoteRef/>
      </w:r>
      <w:r>
        <w:t xml:space="preserve"> </w:t>
      </w:r>
      <w:r w:rsidRPr="0056298C">
        <w:rPr>
          <w:i/>
          <w:iCs/>
        </w:rPr>
        <w:t>See</w:t>
      </w:r>
      <w:r>
        <w:rPr>
          <w:i/>
          <w:iCs/>
        </w:rPr>
        <w:t xml:space="preserve"> </w:t>
      </w:r>
      <w:r w:rsidRPr="0056298C">
        <w:t xml:space="preserve">Comments </w:t>
      </w:r>
      <w:r>
        <w:t>s</w:t>
      </w:r>
      <w:r w:rsidRPr="0056298C">
        <w:t xml:space="preserve">ubmitted by judges of the Superior Court of the State of California for the County of Los Angeles Assigned to the Complex Civil </w:t>
      </w:r>
      <w:r>
        <w:t>L</w:t>
      </w:r>
      <w:r w:rsidRPr="0056298C">
        <w:t xml:space="preserve">itigation </w:t>
      </w:r>
      <w:r w:rsidRPr="00BA259F">
        <w:t>Program</w:t>
      </w:r>
      <w:r w:rsidRPr="0056298C">
        <w:t xml:space="preserve"> on Rule 16.1 to Advisory Committee on Civil </w:t>
      </w:r>
      <w:r>
        <w:t>R</w:t>
      </w:r>
      <w:r w:rsidRPr="0056298C">
        <w:t>ules</w:t>
      </w:r>
      <w:r>
        <w:rPr>
          <w:i/>
          <w:iCs/>
        </w:rPr>
        <w:t xml:space="preserve">, </w:t>
      </w:r>
      <w:r w:rsidRPr="0056298C">
        <w:t>p. 5</w:t>
      </w:r>
      <w:r>
        <w:rPr>
          <w:i/>
          <w:iCs/>
        </w:rPr>
        <w:t xml:space="preserve"> </w:t>
      </w:r>
      <w:r>
        <w:t>(</w:t>
      </w:r>
      <w:r w:rsidRPr="0056298C">
        <w:t>Feb. 2, 2024</w:t>
      </w:r>
      <w:r>
        <w:t>) (Judges recommend that lawyers handle cost-sharing and fee agreements themselves, noting that “In simple terms, taxing a portion of any recoveries that might occur in a mass tort case, creates a strong incentive to participate in Plaintiffs’ Leadership and to incur ‘billable hours.’ This then may force the Court to manage the work of such leadership by reviewing progress billing for hours and costs incurred and reviewing litigation strategies employed.”).</w:t>
      </w:r>
      <w:r w:rsidRPr="0056298C">
        <w:rPr>
          <w:i/>
          <w:iCs/>
        </w:rPr>
        <w:t xml:space="preserve"> </w:t>
      </w:r>
    </w:p>
  </w:footnote>
  <w:footnote w:id="18">
    <w:p w14:paraId="5FD8D068" w14:textId="77777777" w:rsidR="00FA6625" w:rsidRDefault="00FA6625" w:rsidP="00FA6625">
      <w:pPr>
        <w:pStyle w:val="FootnoteText"/>
        <w:jc w:val="both"/>
      </w:pPr>
      <w:r>
        <w:rPr>
          <w:rStyle w:val="FootnoteReference"/>
        </w:rPr>
        <w:footnoteRef/>
      </w:r>
      <w:r>
        <w:t xml:space="preserve"> </w:t>
      </w:r>
      <w:r w:rsidRPr="0075449A">
        <w:rPr>
          <w:i/>
          <w:iCs/>
        </w:rPr>
        <w:t>See In Re: American Medical Systems, Inc. Pelvic Repair Systems</w:t>
      </w:r>
      <w:r>
        <w:t>, MDL No. 2325, Pretrial Order No. 273, pp. 12-13 (S.D.W. V. January 30, 2019).</w:t>
      </w:r>
    </w:p>
  </w:footnote>
  <w:footnote w:id="19">
    <w:p w14:paraId="1BC01D85" w14:textId="77777777" w:rsidR="00FA6625" w:rsidRDefault="00FA6625" w:rsidP="00FA6625">
      <w:pPr>
        <w:pStyle w:val="FootnoteText"/>
        <w:jc w:val="both"/>
      </w:pPr>
      <w:r>
        <w:rPr>
          <w:rStyle w:val="FootnoteReference"/>
        </w:rPr>
        <w:footnoteRef/>
      </w:r>
      <w:r>
        <w:t xml:space="preserve"> </w:t>
      </w:r>
      <w:r w:rsidRPr="0056298C">
        <w:rPr>
          <w:i/>
          <w:iCs/>
        </w:rPr>
        <w:t>See In Re Bard Implanted Port Catheter</w:t>
      </w:r>
      <w:r>
        <w:t xml:space="preserve">, MDL No., 3081, CMO No. 4, pp. 14-15 (Oct. 26, 2023) (ordered a 10% common-benefit assessment, citing ten other recent mass-tort MDLs assessing the same percentage); </w:t>
      </w:r>
      <w:r w:rsidRPr="0056298C">
        <w:rPr>
          <w:i/>
          <w:iCs/>
        </w:rPr>
        <w:t>see also In re 3M Combat Arms Earplug</w:t>
      </w:r>
      <w:r>
        <w:t xml:space="preserve">, MDL No. 2885, Plaintiff’s Leadership’s Motion for Confirmation of the Nine Percent Holdback Assessment, p. 60 (August 28, 2024) (“Courts in similar situations involving multi-million-dollar settlements have repeatedly recognized that a common benefit fee around 9% is appropriate.”); </w:t>
      </w:r>
      <w:r w:rsidRPr="00E31F8E">
        <w:rPr>
          <w:i/>
          <w:iCs/>
        </w:rPr>
        <w:t>see also</w:t>
      </w:r>
      <w:r>
        <w:t xml:space="preserve"> Rabiej Litigation Law Center, Table of Common-Benefit Assessments in Mass-Tort MDLs posted on Center Research webpage at </w:t>
      </w:r>
      <w:r w:rsidRPr="00EC5C64">
        <w:t xml:space="preserve">https://rabiejcenter.org/research/mass-tort-mdl/ </w:t>
      </w:r>
      <w:r>
        <w:t>(2025).</w:t>
      </w:r>
    </w:p>
  </w:footnote>
  <w:footnote w:id="20">
    <w:p w14:paraId="343934D5" w14:textId="77777777" w:rsidR="00FA6625" w:rsidRPr="00CA548F" w:rsidRDefault="00FA6625" w:rsidP="00FA6625">
      <w:pPr>
        <w:pStyle w:val="FootnoteText"/>
        <w:jc w:val="both"/>
        <w:rPr>
          <w:i/>
          <w:iCs/>
        </w:rPr>
      </w:pPr>
      <w:r>
        <w:rPr>
          <w:rStyle w:val="FootnoteReference"/>
        </w:rPr>
        <w:footnoteRef/>
      </w:r>
      <w:r>
        <w:t xml:space="preserve"> A 10% common-benefit fee and expense assessment was ordered in the following mass-tort MDLs: (</w:t>
      </w:r>
      <w:proofErr w:type="spellStart"/>
      <w:r>
        <w:t>i</w:t>
      </w:r>
      <w:proofErr w:type="spellEnd"/>
      <w:r>
        <w:t xml:space="preserve">) </w:t>
      </w:r>
      <w:r w:rsidRPr="00CA548F">
        <w:rPr>
          <w:i/>
          <w:iCs/>
        </w:rPr>
        <w:t>In re Testosterone Replacement Therapy</w:t>
      </w:r>
      <w:r>
        <w:t xml:space="preserve">, MDL No. 2545; (ii) </w:t>
      </w:r>
      <w:r>
        <w:rPr>
          <w:i/>
          <w:iCs/>
        </w:rPr>
        <w:t xml:space="preserve">In re Bard IVC Filters, </w:t>
      </w:r>
      <w:r>
        <w:t xml:space="preserve">MDL No. 2641; (iii) </w:t>
      </w:r>
      <w:r>
        <w:rPr>
          <w:i/>
          <w:iCs/>
        </w:rPr>
        <w:t xml:space="preserve">In re Allergan </w:t>
      </w:r>
      <w:proofErr w:type="spellStart"/>
      <w:r>
        <w:rPr>
          <w:i/>
          <w:iCs/>
        </w:rPr>
        <w:t>Biocell</w:t>
      </w:r>
      <w:proofErr w:type="spellEnd"/>
      <w:r>
        <w:rPr>
          <w:i/>
          <w:iCs/>
        </w:rPr>
        <w:t xml:space="preserve"> Textured Breast Implant,</w:t>
      </w:r>
      <w:r>
        <w:t xml:space="preserve"> MDL No. 2921; (iv) </w:t>
      </w:r>
      <w:r>
        <w:rPr>
          <w:i/>
          <w:iCs/>
        </w:rPr>
        <w:t>In re Recalled CPAP, Bi-Level PAP, and Mechanical Ventilator,</w:t>
      </w:r>
      <w:r>
        <w:t xml:space="preserve"> MDL No. 3014; (v) </w:t>
      </w:r>
      <w:r>
        <w:rPr>
          <w:i/>
          <w:iCs/>
        </w:rPr>
        <w:t xml:space="preserve">In re Social Media Adolescent Addiction/Personal Injury, </w:t>
      </w:r>
      <w:r>
        <w:t xml:space="preserve">MDL No. 3047; and (vi) </w:t>
      </w:r>
      <w:r>
        <w:rPr>
          <w:i/>
          <w:iCs/>
        </w:rPr>
        <w:t xml:space="preserve">In re Bard Implanted Catheter, </w:t>
      </w:r>
      <w:r>
        <w:t xml:space="preserve">MDL No. 3081, CMO No. 4, Doc. No. 88, p. 14 (Oct. 26, 2023) (includes citations to other mass-tort MDLs with a similar 10% common-benefit assessment). An 11% assessment was ordered in </w:t>
      </w:r>
      <w:proofErr w:type="gramStart"/>
      <w:r>
        <w:rPr>
          <w:i/>
          <w:iCs/>
        </w:rPr>
        <w:t>In</w:t>
      </w:r>
      <w:proofErr w:type="gramEnd"/>
      <w:r>
        <w:rPr>
          <w:i/>
          <w:iCs/>
        </w:rPr>
        <w:t xml:space="preserve"> </w:t>
      </w:r>
      <w:proofErr w:type="spellStart"/>
      <w:r>
        <w:rPr>
          <w:i/>
          <w:iCs/>
        </w:rPr>
        <w:t>re</w:t>
      </w:r>
      <w:proofErr w:type="spellEnd"/>
      <w:r>
        <w:rPr>
          <w:i/>
          <w:iCs/>
        </w:rPr>
        <w:t xml:space="preserve"> Hair Relaxer, </w:t>
      </w:r>
      <w:r>
        <w:t xml:space="preserve">MDL No. 3060; and </w:t>
      </w:r>
      <w:proofErr w:type="gramStart"/>
      <w:r>
        <w:rPr>
          <w:i/>
          <w:iCs/>
        </w:rPr>
        <w:t>In</w:t>
      </w:r>
      <w:proofErr w:type="gramEnd"/>
      <w:r>
        <w:rPr>
          <w:i/>
          <w:iCs/>
        </w:rPr>
        <w:t xml:space="preserve"> re </w:t>
      </w:r>
      <w:proofErr w:type="spellStart"/>
      <w:r>
        <w:rPr>
          <w:i/>
          <w:iCs/>
        </w:rPr>
        <w:t>Glugagon</w:t>
      </w:r>
      <w:proofErr w:type="spellEnd"/>
      <w:r>
        <w:rPr>
          <w:i/>
          <w:iCs/>
        </w:rPr>
        <w:t xml:space="preserve">-Like Peptide-Receptor Agonists (GLP-1 RAS), </w:t>
      </w:r>
      <w:r>
        <w:t xml:space="preserve">MDL No. 3094 and a 9% assessment in </w:t>
      </w:r>
      <w:proofErr w:type="gramStart"/>
      <w:r>
        <w:rPr>
          <w:i/>
          <w:iCs/>
        </w:rPr>
        <w:t>In</w:t>
      </w:r>
      <w:proofErr w:type="gramEnd"/>
      <w:r>
        <w:rPr>
          <w:i/>
          <w:iCs/>
        </w:rPr>
        <w:t xml:space="preserve"> re Ethicon </w:t>
      </w:r>
      <w:proofErr w:type="spellStart"/>
      <w:r>
        <w:rPr>
          <w:i/>
          <w:iCs/>
        </w:rPr>
        <w:t>Physiomesh</w:t>
      </w:r>
      <w:proofErr w:type="spellEnd"/>
      <w:r>
        <w:rPr>
          <w:i/>
          <w:iCs/>
        </w:rPr>
        <w:t xml:space="preserve"> Flexible Composite Hernia Mesh, </w:t>
      </w:r>
      <w:r>
        <w:t xml:space="preserve">MDL No. 2782 and </w:t>
      </w:r>
      <w:proofErr w:type="gramStart"/>
      <w:r>
        <w:rPr>
          <w:i/>
          <w:iCs/>
        </w:rPr>
        <w:t>In</w:t>
      </w:r>
      <w:proofErr w:type="gramEnd"/>
      <w:r>
        <w:rPr>
          <w:i/>
          <w:iCs/>
        </w:rPr>
        <w:t xml:space="preserve"> re 3M Combat Arms Earplug, </w:t>
      </w:r>
      <w:r>
        <w:t>MDL No. 2885.</w:t>
      </w:r>
      <w:r>
        <w:rPr>
          <w:i/>
          <w:iCs/>
        </w:rPr>
        <w:t xml:space="preserve"> </w:t>
      </w:r>
    </w:p>
  </w:footnote>
  <w:footnote w:id="21">
    <w:p w14:paraId="11ACAE17" w14:textId="2CF2CB68" w:rsidR="00FA6625" w:rsidRDefault="00FA6625" w:rsidP="00FA6625">
      <w:pPr>
        <w:pStyle w:val="FootnoteText"/>
        <w:jc w:val="both"/>
      </w:pPr>
      <w:r>
        <w:rPr>
          <w:rStyle w:val="FootnoteReference"/>
        </w:rPr>
        <w:footnoteRef/>
      </w:r>
      <w:r>
        <w:t xml:space="preserve"> </w:t>
      </w:r>
      <w:r w:rsidRPr="0056298C">
        <w:rPr>
          <w:i/>
          <w:iCs/>
        </w:rPr>
        <w:t>See In Re Bard Implanted Port Catheter</w:t>
      </w:r>
      <w:r>
        <w:t>, MDL No., 3081, CMO No. 4, Doc. 88, Exhibit A, p.</w:t>
      </w:r>
      <w:r w:rsidR="005C5007">
        <w:t xml:space="preserve"> </w:t>
      </w:r>
      <w:r>
        <w:t>7, Common-Benefit Participation Agreement (Oct. 26, 2023).</w:t>
      </w:r>
    </w:p>
  </w:footnote>
  <w:footnote w:id="22">
    <w:p w14:paraId="289F729C" w14:textId="77777777" w:rsidR="00FA6625" w:rsidRDefault="00FA6625" w:rsidP="00FA6625">
      <w:pPr>
        <w:pStyle w:val="FootnoteText"/>
        <w:jc w:val="both"/>
      </w:pPr>
      <w:r>
        <w:rPr>
          <w:rStyle w:val="FootnoteReference"/>
        </w:rPr>
        <w:footnoteRef/>
      </w:r>
      <w:r>
        <w:t xml:space="preserve"> Fallon, Eldon, Common Benefit Fees in Multidistrict Litigation, 74 Louisiana Law Review 371, No. 2, p. 386, 387 (2014) (“In the mega MDLs, it is not unusual for hundreds of plaintiffs’ attorneys to perform common benefit work in a coordinated way and become eligible for common benefit fees.”).</w:t>
      </w:r>
    </w:p>
  </w:footnote>
  <w:footnote w:id="23">
    <w:p w14:paraId="07FCA4BD" w14:textId="77777777" w:rsidR="00FA6625" w:rsidRDefault="00FA6625" w:rsidP="00FA6625">
      <w:pPr>
        <w:pStyle w:val="FootnoteText"/>
        <w:jc w:val="both"/>
      </w:pPr>
      <w:r>
        <w:rPr>
          <w:rStyle w:val="FootnoteReference"/>
        </w:rPr>
        <w:footnoteRef/>
      </w:r>
      <w:r>
        <w:t xml:space="preserve"> </w:t>
      </w:r>
      <w:r w:rsidRPr="00E31F8E">
        <w:rPr>
          <w:i/>
          <w:iCs/>
        </w:rPr>
        <w:t>See In Re Boston Scientific Corp. Pelvic Repair Systems</w:t>
      </w:r>
      <w:r>
        <w:t xml:space="preserve">, MDL No. 2326, Pretrial Order No. 205, Exhibit 1, External Review Specialist’s Recommended Allocation of Fees (March 12, 2019) (table showing allocation of 68% of common-benefit fund to six law firms, while remaining 32% was allocated to 90 firms); </w:t>
      </w:r>
      <w:r w:rsidRPr="00E31F8E">
        <w:rPr>
          <w:i/>
          <w:iCs/>
        </w:rPr>
        <w:t>see also</w:t>
      </w:r>
      <w:r>
        <w:t xml:space="preserve"> Charles Becker, Shanin Specter, Thomas Kline, 9:1 Drexel Law Review 1, 15 ( 2016) (nine firms in </w:t>
      </w:r>
      <w:r w:rsidRPr="00E31F8E">
        <w:rPr>
          <w:i/>
          <w:iCs/>
        </w:rPr>
        <w:t>Vioxx</w:t>
      </w:r>
      <w:r>
        <w:rPr>
          <w:i/>
          <w:iCs/>
        </w:rPr>
        <w:t xml:space="preserve"> Litigation</w:t>
      </w:r>
      <w:r>
        <w:t xml:space="preserve"> MDL were allocated “nearly 73 percent of the common benefit  fund ($230 million) although those firms billed only 42.6  percent of the common benefit hours”).</w:t>
      </w:r>
    </w:p>
  </w:footnote>
  <w:footnote w:id="24">
    <w:p w14:paraId="0248A6E1" w14:textId="77777777" w:rsidR="00FA6625" w:rsidRDefault="00FA6625" w:rsidP="00FA6625">
      <w:pPr>
        <w:pStyle w:val="FootnoteText"/>
        <w:jc w:val="both"/>
      </w:pPr>
      <w:r>
        <w:rPr>
          <w:rStyle w:val="FootnoteReference"/>
        </w:rPr>
        <w:footnoteRef/>
      </w:r>
      <w:r>
        <w:t xml:space="preserve"> </w:t>
      </w:r>
      <w:r w:rsidRPr="009A731A">
        <w:rPr>
          <w:i/>
          <w:iCs/>
        </w:rPr>
        <w:t xml:space="preserve">See In re C.R. Bard, Inc., Pelvic </w:t>
      </w:r>
      <w:r>
        <w:rPr>
          <w:i/>
          <w:iCs/>
        </w:rPr>
        <w:t>R</w:t>
      </w:r>
      <w:r w:rsidRPr="009A731A">
        <w:rPr>
          <w:i/>
          <w:iCs/>
        </w:rPr>
        <w:t>epair System</w:t>
      </w:r>
      <w:r>
        <w:t>, MDL No. 2325, Response in Opposition to Common Benefit Fee, Doc. 6957, pp. 45-72 (November 26, 2018) (recommendations of Fee Committee regarding time submissions from 92 law firms, which varied from a low of $79 per hour (Carey Danis &amp; Lowe LLP) to a high of $1,056 per hour (</w:t>
      </w:r>
      <w:proofErr w:type="spellStart"/>
      <w:r>
        <w:t>Frankovitch</w:t>
      </w:r>
      <w:proofErr w:type="spellEnd"/>
      <w:r>
        <w:t xml:space="preserve">, </w:t>
      </w:r>
      <w:proofErr w:type="spellStart"/>
      <w:r>
        <w:t>Anetakis</w:t>
      </w:r>
      <w:proofErr w:type="spellEnd"/>
      <w:r>
        <w:t xml:space="preserve">, Simon, </w:t>
      </w:r>
      <w:proofErr w:type="spellStart"/>
      <w:r>
        <w:t>Decapio</w:t>
      </w:r>
      <w:proofErr w:type="spellEnd"/>
      <w:r>
        <w:t xml:space="preserve"> &amp; Pearl LLP)); s</w:t>
      </w:r>
      <w:r w:rsidRPr="00E31F8E">
        <w:rPr>
          <w:i/>
          <w:iCs/>
        </w:rPr>
        <w:t>ee</w:t>
      </w:r>
      <w:r>
        <w:t xml:space="preserve"> </w:t>
      </w:r>
      <w:r w:rsidRPr="0003266B">
        <w:rPr>
          <w:i/>
          <w:iCs/>
        </w:rPr>
        <w:t>also</w:t>
      </w:r>
      <w:r>
        <w:t xml:space="preserve"> Dennis Curtis &amp; Judith Resnick, Contingency Fees in Mass Torts: Access, Risk, and the Provision of Legal Services When Layers of Lawyers Work for Individuals and Collectives of Clients, 47 DePaul Law Review 425, 447-449  (excellent discussion of difficulty in valuing “lawyer services, such as by hours spent, expertise (translated presumably into rates), outcomes and recoveries, quality of services delivered to litigants, and/or utility invoking legal processes”).</w:t>
      </w:r>
      <w:r w:rsidRPr="0003266B">
        <w:rPr>
          <w:i/>
          <w:iCs/>
        </w:rPr>
        <w:t xml:space="preserve"> </w:t>
      </w:r>
    </w:p>
  </w:footnote>
  <w:footnote w:id="25">
    <w:p w14:paraId="3836AC67" w14:textId="77777777" w:rsidR="00FA6625" w:rsidRDefault="00FA6625" w:rsidP="00FA6625">
      <w:pPr>
        <w:pStyle w:val="FootnoteText"/>
        <w:jc w:val="both"/>
      </w:pPr>
      <w:r>
        <w:rPr>
          <w:rStyle w:val="FootnoteReference"/>
        </w:rPr>
        <w:footnoteRef/>
      </w:r>
      <w:r>
        <w:t xml:space="preserve"> </w:t>
      </w:r>
      <w:r w:rsidRPr="00E31F8E">
        <w:rPr>
          <w:i/>
          <w:iCs/>
        </w:rPr>
        <w:t>See</w:t>
      </w:r>
      <w:r>
        <w:t xml:space="preserve"> </w:t>
      </w:r>
      <w:r w:rsidRPr="00C2647C">
        <w:rPr>
          <w:i/>
          <w:iCs/>
        </w:rPr>
        <w:t>In Re: American Medical Systems, Inc. Pelvic Repair Systems</w:t>
      </w:r>
      <w:r>
        <w:t xml:space="preserve">, MDL No. 2325, Pretrial Order No. 273, p. 20 (S.D.W.V. January 30, 2019) (citations to mass-tort MDLs approving lodestar multipliers of one to four); </w:t>
      </w:r>
      <w:r w:rsidRPr="00E31F8E">
        <w:rPr>
          <w:i/>
          <w:iCs/>
        </w:rPr>
        <w:t xml:space="preserve">see also In Re </w:t>
      </w:r>
      <w:r>
        <w:rPr>
          <w:i/>
          <w:iCs/>
        </w:rPr>
        <w:t>V</w:t>
      </w:r>
      <w:r w:rsidRPr="00E31F8E">
        <w:rPr>
          <w:i/>
          <w:iCs/>
        </w:rPr>
        <w:t>io</w:t>
      </w:r>
      <w:r>
        <w:rPr>
          <w:i/>
          <w:iCs/>
        </w:rPr>
        <w:t>x</w:t>
      </w:r>
      <w:r w:rsidRPr="00E31F8E">
        <w:rPr>
          <w:i/>
          <w:iCs/>
        </w:rPr>
        <w:t xml:space="preserve">x Prods. </w:t>
      </w:r>
      <w:proofErr w:type="spellStart"/>
      <w:r w:rsidRPr="00E31F8E">
        <w:rPr>
          <w:i/>
          <w:iCs/>
        </w:rPr>
        <w:t>Liab</w:t>
      </w:r>
      <w:proofErr w:type="spellEnd"/>
      <w:r w:rsidRPr="00E31F8E">
        <w:rPr>
          <w:i/>
          <w:iCs/>
        </w:rPr>
        <w:t>. Litig</w:t>
      </w:r>
      <w:r>
        <w:t xml:space="preserve">., 802 F.Supp.2d 740, 772 (E.D. La. 2011) (“Evaluating contribution to the common benefit is a qualitative analysis because not all types of work are created equal.”); </w:t>
      </w:r>
      <w:r w:rsidRPr="00E31F8E">
        <w:rPr>
          <w:i/>
          <w:iCs/>
        </w:rPr>
        <w:t>see also</w:t>
      </w:r>
      <w:r>
        <w:t xml:space="preserve"> Joseph </w:t>
      </w:r>
      <w:proofErr w:type="spellStart"/>
      <w:r>
        <w:t>Grundfest</w:t>
      </w:r>
      <w:proofErr w:type="spellEnd"/>
      <w:r>
        <w:t xml:space="preserve"> and Gal Dor, Lodestar Multipliers in Delaware and Federal Attorney Fee Awards, Stanford Law School and The Rock Center for Corporate Governance (May 13, 2025) (empirical study of lodestar multipliers higher than seven or more in federal and state class actions).</w:t>
      </w:r>
    </w:p>
  </w:footnote>
  <w:footnote w:id="26">
    <w:p w14:paraId="2480BAC5" w14:textId="77777777" w:rsidR="00FA6625" w:rsidRDefault="00FA6625" w:rsidP="00FA6625">
      <w:pPr>
        <w:pStyle w:val="FootnoteText"/>
        <w:jc w:val="both"/>
      </w:pPr>
      <w:r>
        <w:rPr>
          <w:rStyle w:val="FootnoteReference"/>
        </w:rPr>
        <w:footnoteRef/>
      </w:r>
      <w:r>
        <w:t xml:space="preserve"> </w:t>
      </w:r>
      <w:r w:rsidRPr="00037204">
        <w:rPr>
          <w:i/>
          <w:iCs/>
        </w:rPr>
        <w:t>See</w:t>
      </w:r>
      <w:r>
        <w:t xml:space="preserve"> Comments submitted to Advisory Committee on Civil Rules on proposed Rule 16.1 by the Judges of the Superior Court of the State of California for the County of Los Angeles Assigned to the Complex Civil Litigation Program, p.3 (February 2, 2024)  (“An aggressive effort by the Court to organize the representation for one side of a litigated dispute and then manage the work of such lawyers may seem to imply that the Court is a kind of guarantor of the adequacy of the representation and a champion of the outcome to be obtained to ensure the adequacy of their representation.”). </w:t>
      </w:r>
    </w:p>
  </w:footnote>
  <w:footnote w:id="27">
    <w:p w14:paraId="7989EFC1" w14:textId="77777777" w:rsidR="00FA6625" w:rsidRDefault="00FA6625" w:rsidP="00FA6625">
      <w:pPr>
        <w:pStyle w:val="FootnoteText"/>
        <w:jc w:val="both"/>
      </w:pPr>
      <w:r>
        <w:rPr>
          <w:rStyle w:val="FootnoteReference"/>
        </w:rPr>
        <w:footnoteRef/>
      </w:r>
      <w:r>
        <w:t xml:space="preserve"> </w:t>
      </w:r>
      <w:r w:rsidRPr="0056298C">
        <w:rPr>
          <w:i/>
          <w:iCs/>
        </w:rPr>
        <w:t>See In Re Bard Implanted Port Catheter</w:t>
      </w:r>
      <w:r>
        <w:t xml:space="preserve">, MDL No., 3081, CMO No. 4, Doc.88, p. 6 (Oct. 26, 2023) (attorneys must use designated Excel forms to submit eligible time); </w:t>
      </w:r>
      <w:r w:rsidRPr="009A731A">
        <w:rPr>
          <w:i/>
          <w:iCs/>
        </w:rPr>
        <w:t xml:space="preserve">see also </w:t>
      </w:r>
      <w:proofErr w:type="gramStart"/>
      <w:r w:rsidRPr="009A731A">
        <w:rPr>
          <w:i/>
          <w:iCs/>
        </w:rPr>
        <w:t>In</w:t>
      </w:r>
      <w:proofErr w:type="gramEnd"/>
      <w:r w:rsidRPr="009A731A">
        <w:rPr>
          <w:i/>
          <w:iCs/>
        </w:rPr>
        <w:t xml:space="preserve"> re Philips Recalled CPAP, Bi-Level PAP, and Mechanical Ventilator</w:t>
      </w:r>
      <w:r>
        <w:rPr>
          <w:i/>
          <w:iCs/>
        </w:rPr>
        <w:t>,</w:t>
      </w:r>
      <w:r>
        <w:t xml:space="preserve"> MDL. No. 3014, Pretrial Order # 13, Common Benefit Order Regarding Protocols for Plaintiffs’ Counsel Time and Expense Submissions, Exhibit B (March 29, 2022) (lists litigation task codes for submissions).</w:t>
      </w:r>
      <w:r w:rsidRPr="007C7360">
        <w:rPr>
          <w:i/>
          <w:iCs/>
        </w:rPr>
        <w:t xml:space="preserve"> </w:t>
      </w:r>
      <w:r w:rsidRPr="0056298C">
        <w:rPr>
          <w:i/>
          <w:iCs/>
        </w:rPr>
        <w:t>See In Re Bard Implanted Port Catheter</w:t>
      </w:r>
      <w:r>
        <w:t>, MDL No., 3081, CMO No. 4, Doc.88, p. 17 (Oct. 26, 2023) (“special master shall periodically audit time submissions of Participating Counsel”).</w:t>
      </w:r>
    </w:p>
  </w:footnote>
  <w:footnote w:id="28">
    <w:p w14:paraId="3BBFB74D" w14:textId="77777777" w:rsidR="00FA6625" w:rsidRDefault="00FA6625" w:rsidP="00FA6625">
      <w:pPr>
        <w:pStyle w:val="FootnoteText"/>
        <w:jc w:val="both"/>
      </w:pPr>
      <w:r>
        <w:rPr>
          <w:rStyle w:val="FootnoteReference"/>
        </w:rPr>
        <w:footnoteRef/>
      </w:r>
      <w:r>
        <w:t xml:space="preserve"> Expanding the distribution of substantive work can help identify firms that lack a genuine interest in active participation. Firms that prioritize high-volume client recruitment while investing minimal time or resources into litigation face fewer financial consequences when settlements are delayed; consequently, they are more inclined to stall resolutions by holding out for unrealistic demands. In contrast, an attorney in an individual civil case must commit significant capital and effort to the litigation, where a prolonged timeline increases the firm's burden of carrying labor costs and expenses. Without these inherent financial pressures, there is less incentive for such firms to accept a reasonable settlement until all their demands are satisfied. </w:t>
      </w:r>
      <w:r w:rsidRPr="00E31F8E">
        <w:rPr>
          <w:i/>
          <w:iCs/>
        </w:rPr>
        <w:t>See</w:t>
      </w:r>
      <w:r>
        <w:rPr>
          <w:i/>
          <w:iCs/>
        </w:rPr>
        <w:t xml:space="preserve"> </w:t>
      </w:r>
      <w:r w:rsidRPr="00E31F8E">
        <w:rPr>
          <w:i/>
          <w:iCs/>
        </w:rPr>
        <w:t>Boys Scouts of America and Delaware BSA, LLC</w:t>
      </w:r>
      <w:r>
        <w:t xml:space="preserve">, Case No. 20-10343, Doc. No. 13181, Motion for Order Allowing ... Termination of Existing Contingency Fee Legal Services Agreement, pp. 15, 20-21 (Bank. D. Delaware Oct. 14, 2025) (alleging that law firm who represented 14,600 sexual-abuse claims but did little work to prosecute the claims used a business model that partnered with a two-lawyer firm that leveraged technology and media to target potential clients through advertising, social media, and other sophisticated technology to accumulate as many claims as possible); </w:t>
      </w:r>
      <w:r w:rsidRPr="00E31F8E">
        <w:rPr>
          <w:i/>
          <w:iCs/>
        </w:rPr>
        <w:t xml:space="preserve">see also In re </w:t>
      </w:r>
      <w:proofErr w:type="spellStart"/>
      <w:r w:rsidRPr="00E31F8E">
        <w:rPr>
          <w:i/>
          <w:iCs/>
        </w:rPr>
        <w:t>Sygenta</w:t>
      </w:r>
      <w:proofErr w:type="spellEnd"/>
      <w:r w:rsidRPr="00E31F8E">
        <w:rPr>
          <w:i/>
          <w:iCs/>
        </w:rPr>
        <w:t xml:space="preserve"> AG MIR 162 Corn Litig</w:t>
      </w:r>
      <w:r>
        <w:t>., Appellate Case: 19-3008, Doc. 010110819035, p.18 (Feb. 28, 2023) (Individually retained plaintiff lawyers were allocated only 10% because “[a]s the court saw it, the rub was that other counsel ‘relieved’ the IRPAs from ‘having to do any work to advance  their clients’ lawsuits or to add value to the claims.”).</w:t>
      </w:r>
    </w:p>
  </w:footnote>
  <w:footnote w:id="29">
    <w:p w14:paraId="44E7C5EF" w14:textId="77777777" w:rsidR="00FA6625" w:rsidRDefault="00FA6625" w:rsidP="00FA6625">
      <w:pPr>
        <w:pStyle w:val="FootnoteText"/>
        <w:jc w:val="both"/>
      </w:pPr>
      <w:r>
        <w:rPr>
          <w:rStyle w:val="FootnoteReference"/>
        </w:rPr>
        <w:footnoteRef/>
      </w:r>
      <w:r>
        <w:t xml:space="preserve"> </w:t>
      </w:r>
      <w:r w:rsidRPr="00427270">
        <w:rPr>
          <w:rFonts w:cs="Times New Roman"/>
          <w:color w:val="1F1F1F"/>
          <w:szCs w:val="24"/>
          <w:shd w:val="clear" w:color="auto" w:fill="FFFFFF"/>
        </w:rPr>
        <w:t>This approach mirrors the dynamics of individual civil litigation, in which plaintiffs' attorneys often choose to forgo specific tasks because the potential rewards do not justify the effort or money required.</w:t>
      </w:r>
    </w:p>
  </w:footnote>
  <w:footnote w:id="30">
    <w:p w14:paraId="0AA14E2D" w14:textId="77777777" w:rsidR="00FA6625" w:rsidRDefault="00FA6625" w:rsidP="00FA6625">
      <w:pPr>
        <w:pStyle w:val="FootnoteText"/>
        <w:jc w:val="both"/>
      </w:pPr>
      <w:r>
        <w:rPr>
          <w:rStyle w:val="FootnoteReference"/>
        </w:rPr>
        <w:footnoteRef/>
      </w:r>
      <w:r>
        <w:t xml:space="preserve"> The notion that limiting work to a select few law firms enhances efficiency is being increasingly challenged, particularly as the lengthening duration of mass-tort MDLs indicates otherwise.</w:t>
      </w:r>
    </w:p>
  </w:footnote>
  <w:footnote w:id="31">
    <w:p w14:paraId="6940BA7C" w14:textId="77777777" w:rsidR="00FA6625" w:rsidRDefault="00FA6625" w:rsidP="00B1562D">
      <w:pPr>
        <w:pStyle w:val="FootnoteText"/>
        <w:jc w:val="both"/>
      </w:pPr>
      <w:r>
        <w:rPr>
          <w:rStyle w:val="FootnoteReference"/>
        </w:rPr>
        <w:footnoteRef/>
      </w:r>
      <w:r>
        <w:t xml:space="preserve"> Fed. R. Civ. P. 23(g)(2) (“If more than one adequate applicant seeks appointment, the court must appoint the applicant best able to represent the interests of the class.).</w:t>
      </w:r>
    </w:p>
  </w:footnote>
  <w:footnote w:id="32">
    <w:p w14:paraId="733F1257" w14:textId="77777777" w:rsidR="00FA6625" w:rsidRDefault="00FA6625" w:rsidP="00B1562D">
      <w:pPr>
        <w:pStyle w:val="FootnoteText"/>
        <w:jc w:val="both"/>
      </w:pPr>
      <w:r>
        <w:rPr>
          <w:rStyle w:val="FootnoteReference"/>
        </w:rPr>
        <w:footnoteRef/>
      </w:r>
      <w:r>
        <w:t xml:space="preserve"> In mass-tort MDLs involving 40 or more firms, a 5% maximum allocation serves as a reasonable default. This threshold maintains high compensation for individual leadership counsel while significantly increasing the funds available to dozens of other participating firms. In cases where the work of lead counsel is exceptionally critical, the court retains the flexibility to increase the cap—for example, to 7.5%.</w:t>
      </w:r>
    </w:p>
  </w:footnote>
  <w:footnote w:id="33">
    <w:p w14:paraId="55AF9801" w14:textId="77777777" w:rsidR="00FA6625" w:rsidRDefault="00FA6625" w:rsidP="00B1562D">
      <w:pPr>
        <w:pStyle w:val="FootnoteText"/>
        <w:jc w:val="both"/>
      </w:pPr>
      <w:r>
        <w:rPr>
          <w:rStyle w:val="FootnoteReference"/>
        </w:rPr>
        <w:footnoteRef/>
      </w:r>
      <w:r>
        <w:t xml:space="preserve"> </w:t>
      </w:r>
      <w:r w:rsidRPr="00E31F8E">
        <w:rPr>
          <w:i/>
          <w:iCs/>
        </w:rPr>
        <w:t>See</w:t>
      </w:r>
      <w:r>
        <w:t xml:space="preserve"> Fallon, Eldon, Common Benefit Fees in Multidistrict Litigation, 74 Louisiana Law Review 371, No. 2, p. 387 (2014) (“But in the end, it is the transferee court’s responsibility to set the common benefit fee and determine how it is to be distributed.”)</w:t>
      </w:r>
    </w:p>
  </w:footnote>
  <w:footnote w:id="34">
    <w:p w14:paraId="4C6736B4" w14:textId="77777777" w:rsidR="00FA6625" w:rsidRDefault="00FA6625" w:rsidP="00B1562D">
      <w:pPr>
        <w:pStyle w:val="FootnoteText"/>
        <w:jc w:val="both"/>
      </w:pPr>
      <w:r>
        <w:rPr>
          <w:rStyle w:val="FootnoteReference"/>
        </w:rPr>
        <w:footnoteRef/>
      </w:r>
      <w:r>
        <w:t xml:space="preserve"> Courts are beginning to look closer at how the common-benefit fund is administered and which fees and expenses should be compensated, including particularly discovery. </w:t>
      </w:r>
      <w:r w:rsidRPr="00E31F8E">
        <w:rPr>
          <w:i/>
          <w:iCs/>
        </w:rPr>
        <w:t>See</w:t>
      </w:r>
      <w:r>
        <w:t xml:space="preserve">, for example, </w:t>
      </w:r>
      <w:r w:rsidRPr="00E31F8E">
        <w:rPr>
          <w:i/>
          <w:iCs/>
        </w:rPr>
        <w:t>In re Depo-Provera (Depot Medroxyprogesterone Acetate)</w:t>
      </w:r>
      <w:r>
        <w:t xml:space="preserve">, MDL No. 3140, Common Benefit Order No.1, Doc. No. 155, p. 9 (Mar. 11, 2025) (lead counsel to submit quarterly budget setting forth “reasonable estimates of anticipated costs and the anticipated timing of such costs to be paid from the Litigation Fund”); </w:t>
      </w:r>
      <w:r w:rsidRPr="009A731A">
        <w:rPr>
          <w:i/>
          <w:iCs/>
        </w:rPr>
        <w:t>see also</w:t>
      </w:r>
      <w:r w:rsidRPr="00D17C09">
        <w:rPr>
          <w:i/>
          <w:iCs/>
        </w:rPr>
        <w:t xml:space="preserve"> </w:t>
      </w:r>
      <w:r w:rsidRPr="0056298C">
        <w:rPr>
          <w:i/>
          <w:iCs/>
        </w:rPr>
        <w:t>In Re Bard Implanted Port Catheter</w:t>
      </w:r>
      <w:r>
        <w:t>, MDL No., 3081, CMO No. 4, Doc. 88, p.18 (Oct. 26, 2023) (Special master to provide quarterly report, which “shall be organized so the Court can review attorneys’ fees incurred for various categories of work in the case and the attorneys who incurred them...”).</w:t>
      </w:r>
    </w:p>
  </w:footnote>
  <w:footnote w:id="35">
    <w:p w14:paraId="2EAA7726" w14:textId="77777777" w:rsidR="00FA6625" w:rsidRDefault="00FA6625" w:rsidP="00FA6625">
      <w:pPr>
        <w:pStyle w:val="FootnoteText"/>
        <w:jc w:val="both"/>
      </w:pPr>
      <w:r>
        <w:rPr>
          <w:rStyle w:val="FootnoteReference"/>
        </w:rPr>
        <w:footnoteRef/>
      </w:r>
      <w:r>
        <w:t xml:space="preserve"> </w:t>
      </w:r>
      <w:r w:rsidRPr="005A3FE8">
        <w:rPr>
          <w:i/>
          <w:iCs/>
        </w:rPr>
        <w:t>In Re: American Medical Systems,</w:t>
      </w:r>
      <w:r>
        <w:t xml:space="preserve"> MDL No.2325, Doc. 7122 (January 30, 2019) (The Fee Committee recommended that approximately 25% of the 900,000 hours submitted by law firms, totaling 220,000 hours, were ineligible for compensation from the common-benefit fee fund.).  </w:t>
      </w:r>
    </w:p>
  </w:footnote>
  <w:footnote w:id="36">
    <w:p w14:paraId="5CA9CBE3" w14:textId="77777777" w:rsidR="00FA6625" w:rsidRDefault="00FA6625" w:rsidP="00FA6625">
      <w:pPr>
        <w:pStyle w:val="FootnoteText"/>
        <w:jc w:val="both"/>
      </w:pPr>
      <w:r>
        <w:rPr>
          <w:rStyle w:val="FootnoteReference"/>
        </w:rPr>
        <w:footnoteRef/>
      </w:r>
      <w:r>
        <w:t xml:space="preserve"> The contributions of a few lawyers may be especially exceptional, warranting significant compensation and adjustments. </w:t>
      </w:r>
      <w:r w:rsidRPr="005A3FE8">
        <w:rPr>
          <w:i/>
          <w:iCs/>
        </w:rPr>
        <w:t>See In re American Medical Systems, Inc., Pelvic Repair System</w:t>
      </w:r>
      <w:r>
        <w:t>, MDL No. 2325, Exhibit B, Doc. No. 57,178, p. 45 (Nov. 26, 2018) (Fee Committee’s final recommendation includes $7.2 million allocated to Anderson Law Office for 33,290 hours submitted for compensation for work performed by one attorney and two paralegals, which represented 2% of common-benefit fund).</w:t>
      </w:r>
    </w:p>
  </w:footnote>
  <w:footnote w:id="37">
    <w:p w14:paraId="00E821B2" w14:textId="77A6F4AA" w:rsidR="00FA6625" w:rsidRDefault="00FA6625" w:rsidP="005C0ECD">
      <w:pPr>
        <w:pStyle w:val="NormalWeb"/>
        <w:shd w:val="clear" w:color="auto" w:fill="FFFFFF"/>
        <w:spacing w:before="60" w:after="60"/>
        <w:jc w:val="both"/>
      </w:pPr>
      <w:r w:rsidRPr="005C0ECD">
        <w:rPr>
          <w:rStyle w:val="FootnoteReference"/>
          <w:sz w:val="20"/>
          <w:szCs w:val="20"/>
        </w:rPr>
        <w:footnoteRef/>
      </w:r>
      <w:r w:rsidRPr="005C0ECD">
        <w:rPr>
          <w:sz w:val="20"/>
          <w:szCs w:val="20"/>
        </w:rPr>
        <w:t xml:space="preserve"> </w:t>
      </w:r>
      <w:r w:rsidRPr="009A731A">
        <w:rPr>
          <w:color w:val="1F1F1F"/>
          <w:sz w:val="20"/>
          <w:szCs w:val="20"/>
          <w:shd w:val="clear" w:color="auto" w:fill="FFFFFF"/>
        </w:rPr>
        <w:t xml:space="preserve">This report is not designed to mandate a uniform workload across firms by imposing equal assignments; rather, it acknowledges that the specific nature of the claims and the total number of clients </w:t>
      </w:r>
      <w:r>
        <w:rPr>
          <w:color w:val="1F1F1F"/>
          <w:sz w:val="20"/>
          <w:szCs w:val="20"/>
          <w:shd w:val="clear" w:color="auto" w:fill="FFFFFF"/>
        </w:rPr>
        <w:t xml:space="preserve">represented the individual law firm </w:t>
      </w:r>
      <w:r w:rsidRPr="009A731A">
        <w:rPr>
          <w:color w:val="1F1F1F"/>
          <w:sz w:val="20"/>
          <w:szCs w:val="20"/>
          <w:shd w:val="clear" w:color="auto" w:fill="FFFFFF"/>
        </w:rPr>
        <w:t>must be considered.</w:t>
      </w:r>
      <w:r w:rsidRPr="009A731A">
        <w:rPr>
          <w:color w:val="1F1F1F"/>
          <w:sz w:val="20"/>
          <w:szCs w:val="20"/>
        </w:rPr>
        <w:t xml:space="preserve"> </w:t>
      </w:r>
    </w:p>
  </w:footnote>
  <w:footnote w:id="38">
    <w:p w14:paraId="698111A3" w14:textId="77777777" w:rsidR="00FA6625" w:rsidRPr="007867F0" w:rsidRDefault="00FA6625" w:rsidP="00FA6625">
      <w:pPr>
        <w:pStyle w:val="FootnoteText"/>
        <w:jc w:val="both"/>
        <w:rPr>
          <w:rFonts w:cs="Times New Roman"/>
        </w:rPr>
      </w:pPr>
      <w:r w:rsidRPr="007867F0">
        <w:rPr>
          <w:rStyle w:val="FootnoteReference"/>
        </w:rPr>
        <w:footnoteRef/>
      </w:r>
      <w:r w:rsidRPr="007867F0">
        <w:rPr>
          <w:i/>
          <w:iCs/>
        </w:rPr>
        <w:t xml:space="preserve"> </w:t>
      </w:r>
      <w:r w:rsidRPr="007867F0">
        <w:rPr>
          <w:rFonts w:cs="Times New Roman"/>
          <w:i/>
          <w:iCs/>
        </w:rPr>
        <w:t>See Harrington v. Purdue Pharma L.P.,</w:t>
      </w:r>
      <w:r>
        <w:rPr>
          <w:rFonts w:cs="Times New Roman"/>
        </w:rPr>
        <w:t xml:space="preserve"> 603 U.S. ____p. 49 (2024) (Kavanaugh, J., dissenting) (main components of risk analysis described in bankruptcy context “the settlement amount here reflected the parties’ assessments of their probabilities of success and the likely amount of possible recovery”). </w:t>
      </w:r>
    </w:p>
  </w:footnote>
  <w:footnote w:id="39">
    <w:p w14:paraId="502681D3" w14:textId="77777777" w:rsidR="00FA6625" w:rsidRDefault="00FA6625" w:rsidP="00FA6625">
      <w:pPr>
        <w:pStyle w:val="FootnoteText"/>
        <w:jc w:val="both"/>
      </w:pPr>
      <w:r>
        <w:rPr>
          <w:rStyle w:val="FootnoteReference"/>
        </w:rPr>
        <w:footnoteRef/>
      </w:r>
      <w:r>
        <w:t xml:space="preserve"> </w:t>
      </w:r>
      <w:r w:rsidRPr="007B2EDD">
        <w:rPr>
          <w:i/>
          <w:iCs/>
        </w:rPr>
        <w:t>See</w:t>
      </w:r>
      <w:r>
        <w:rPr>
          <w:i/>
          <w:iCs/>
        </w:rPr>
        <w:t>,</w:t>
      </w:r>
      <w:r>
        <w:t xml:space="preserve"> </w:t>
      </w:r>
      <w:r w:rsidRPr="007B2EDD">
        <w:t xml:space="preserve">Best Practice </w:t>
      </w:r>
      <w:r>
        <w:t xml:space="preserve">Permanent No. </w:t>
      </w:r>
      <w:r w:rsidRPr="007B2EDD">
        <w:rPr>
          <w:rFonts w:cs="Times New Roman"/>
          <w:szCs w:val="24"/>
        </w:rPr>
        <w:t>MDL-§1</w:t>
      </w:r>
      <w:r>
        <w:rPr>
          <w:rFonts w:cs="Times New Roman"/>
          <w:szCs w:val="24"/>
        </w:rPr>
        <w:t>5</w:t>
      </w:r>
      <w:r w:rsidRPr="007B2EDD">
        <w:rPr>
          <w:rFonts w:cs="Times New Roman"/>
          <w:szCs w:val="24"/>
        </w:rPr>
        <w:t>(</w:t>
      </w:r>
      <w:r>
        <w:rPr>
          <w:rFonts w:cs="Times New Roman"/>
          <w:szCs w:val="24"/>
        </w:rPr>
        <w:t>d</w:t>
      </w:r>
      <w:r w:rsidRPr="007B2EDD">
        <w:rPr>
          <w:rFonts w:cs="Times New Roman"/>
          <w:szCs w:val="24"/>
        </w:rPr>
        <w:t>)</w:t>
      </w:r>
      <w:r>
        <w:rPr>
          <w:rFonts w:cs="Times New Roman"/>
          <w:szCs w:val="24"/>
        </w:rPr>
        <w:t>(ii), Compendium of Mass-Tort MDL Guidelines and Best Practices, Rabiej Litigation Law Center (2025).</w:t>
      </w:r>
    </w:p>
  </w:footnote>
  <w:footnote w:id="40">
    <w:p w14:paraId="704F5EEE" w14:textId="77777777" w:rsidR="00FA6625" w:rsidRDefault="00FA6625" w:rsidP="00FA6625">
      <w:pPr>
        <w:pStyle w:val="FootnoteText"/>
      </w:pPr>
      <w:r>
        <w:rPr>
          <w:rStyle w:val="FootnoteReference"/>
        </w:rPr>
        <w:footnoteRef/>
      </w:r>
      <w:r>
        <w:t xml:space="preserve"> </w:t>
      </w:r>
      <w:r w:rsidRPr="00BB7768">
        <w:rPr>
          <w:i/>
          <w:iCs/>
        </w:rPr>
        <w:t>In re Depo-Provera (Depot Medroxyprogesterone Acetate),</w:t>
      </w:r>
      <w:r>
        <w:t xml:space="preserve"> MDL No. 3140, (Doc. 72), CMO No. 1, p. 3 (February 23, 2025) (“For effective management of this MDL, the Court has selected the following five pilot cases to proceed through discovery and trial....”)</w:t>
      </w:r>
    </w:p>
  </w:footnote>
  <w:footnote w:id="41">
    <w:p w14:paraId="2FF9C427" w14:textId="77777777" w:rsidR="00FA6625" w:rsidRDefault="00FA6625" w:rsidP="00FA6625">
      <w:pPr>
        <w:pStyle w:val="FootnoteText"/>
        <w:jc w:val="both"/>
      </w:pPr>
      <w:r>
        <w:rPr>
          <w:rStyle w:val="FootnoteReference"/>
        </w:rPr>
        <w:footnoteRef/>
      </w:r>
      <w:r>
        <w:t xml:space="preserve"> </w:t>
      </w:r>
      <w:r w:rsidRPr="00A630E5">
        <w:rPr>
          <w:rFonts w:cs="Times New Roman"/>
          <w:i/>
          <w:iCs/>
        </w:rPr>
        <w:t xml:space="preserve">See In Re: Bard Implanted </w:t>
      </w:r>
      <w:r>
        <w:rPr>
          <w:rFonts w:cs="Times New Roman"/>
          <w:i/>
          <w:iCs/>
        </w:rPr>
        <w:t>P</w:t>
      </w:r>
      <w:r w:rsidRPr="00A630E5">
        <w:rPr>
          <w:rFonts w:cs="Times New Roman"/>
          <w:i/>
          <w:iCs/>
        </w:rPr>
        <w:t>ort C</w:t>
      </w:r>
      <w:r>
        <w:rPr>
          <w:rFonts w:cs="Times New Roman"/>
          <w:i/>
          <w:iCs/>
        </w:rPr>
        <w:t>a</w:t>
      </w:r>
      <w:r w:rsidRPr="00A630E5">
        <w:rPr>
          <w:rFonts w:cs="Times New Roman"/>
          <w:i/>
          <w:iCs/>
        </w:rPr>
        <w:t xml:space="preserve">theter Prod. </w:t>
      </w:r>
      <w:proofErr w:type="spellStart"/>
      <w:r w:rsidRPr="00A630E5">
        <w:rPr>
          <w:rFonts w:cs="Times New Roman"/>
          <w:i/>
          <w:iCs/>
        </w:rPr>
        <w:t>Liab</w:t>
      </w:r>
      <w:proofErr w:type="spellEnd"/>
      <w:r w:rsidRPr="00A630E5">
        <w:rPr>
          <w:rFonts w:cs="Times New Roman"/>
          <w:i/>
          <w:iCs/>
        </w:rPr>
        <w:t>. Litig</w:t>
      </w:r>
      <w:r>
        <w:rPr>
          <w:rFonts w:cs="Times New Roman"/>
        </w:rPr>
        <w:t>. MDL No. 3081, Order Regarding Initial Case Management Conference, p. 4 (August 22, 2023) (court requested parties’ views on setting future deadline for conclusion of settlement negotiations).</w:t>
      </w:r>
    </w:p>
  </w:footnote>
  <w:footnote w:id="42">
    <w:p w14:paraId="7FB56079" w14:textId="77777777" w:rsidR="00FA6625" w:rsidRDefault="00FA6625" w:rsidP="00FA6625">
      <w:pPr>
        <w:pStyle w:val="FootnoteText"/>
        <w:jc w:val="both"/>
      </w:pPr>
      <w:r>
        <w:rPr>
          <w:rStyle w:val="FootnoteReference"/>
        </w:rPr>
        <w:footnoteRef/>
      </w:r>
      <w:r>
        <w:t xml:space="preserve"> </w:t>
      </w:r>
      <w:r>
        <w:rPr>
          <w:rFonts w:cs="Times New Roman"/>
          <w:szCs w:val="24"/>
        </w:rPr>
        <w:t>Permanent No. MDL-§ 15(b), Compendium of Mass-Tort MDL Guidelines and Best Practices, Rabiej Litigation Law Center.</w:t>
      </w:r>
    </w:p>
  </w:footnote>
  <w:footnote w:id="43">
    <w:p w14:paraId="6C42FB43" w14:textId="77777777" w:rsidR="00FA6625" w:rsidRDefault="00FA6625" w:rsidP="00FA6625">
      <w:pPr>
        <w:pStyle w:val="FootnoteText"/>
        <w:jc w:val="both"/>
      </w:pPr>
      <w:r>
        <w:rPr>
          <w:rStyle w:val="FootnoteReference"/>
        </w:rPr>
        <w:footnoteRef/>
      </w:r>
      <w:r>
        <w:t xml:space="preserve"> </w:t>
      </w:r>
      <w:r>
        <w:rPr>
          <w:rFonts w:cs="Times New Roman"/>
          <w:szCs w:val="24"/>
        </w:rPr>
        <w:t>Permanent No. MDL-§ 1 and § 15(b), Compendium of Mass-Tort MDL Guidelines and Best Practices, Rabiej Litigation Law Center.</w:t>
      </w:r>
    </w:p>
  </w:footnote>
  <w:footnote w:id="44">
    <w:p w14:paraId="60AE3C8A" w14:textId="77777777" w:rsidR="00FA6625" w:rsidRDefault="00FA6625" w:rsidP="00FA6625">
      <w:pPr>
        <w:pStyle w:val="FootnoteText"/>
        <w:jc w:val="both"/>
      </w:pPr>
      <w:r>
        <w:rPr>
          <w:rStyle w:val="FootnoteReference"/>
        </w:rPr>
        <w:footnoteRef/>
      </w:r>
      <w:r>
        <w:t xml:space="preserve"> </w:t>
      </w:r>
      <w:r w:rsidRPr="005853E9">
        <w:rPr>
          <w:i/>
          <w:iCs/>
        </w:rPr>
        <w:t>See In Re 3M Combat Arms Earplug</w:t>
      </w:r>
      <w:r>
        <w:t>, MDL No. 2885, CMO No. 57, Doc. 3811, p. 11 (August 29, 2023) (“[T]he Court finds it reasonable and imperative to require Litigating Plaintiffs to come forward and fulfill the stringent discovery obligations ... before both sides begin incurring the substantial costs involved with preparing a CAE Claim for trial.”)</w:t>
      </w:r>
    </w:p>
  </w:footnote>
  <w:footnote w:id="45">
    <w:p w14:paraId="17555613" w14:textId="77777777" w:rsidR="00FA6625" w:rsidRDefault="00FA6625" w:rsidP="00FA6625">
      <w:pPr>
        <w:pStyle w:val="FootnoteText"/>
        <w:jc w:val="both"/>
      </w:pPr>
      <w:r>
        <w:rPr>
          <w:rStyle w:val="FootnoteReference"/>
        </w:rPr>
        <w:footnoteRef/>
      </w:r>
      <w:r>
        <w:t xml:space="preserve"> </w:t>
      </w:r>
      <w:r w:rsidRPr="005853E9">
        <w:rPr>
          <w:i/>
          <w:iCs/>
        </w:rPr>
        <w:t>See In Re 3M Combat Arms Earplug</w:t>
      </w:r>
      <w:r>
        <w:t>, MDL No. 2885, CMO No. 57, Doc. 3811, p. 6 (August 29, 2023) (Court issued multiple notices directing parties to submit records before entering docket control order noting that it had broad authority “to enter rigorous case management orders after substantial discovery has taken place in a mature mass-tort MDL or multidistrict litigation when a defendant has taken steps to settle a significant portion of the claims pending against it.”).</w:t>
      </w:r>
    </w:p>
  </w:footnote>
  <w:footnote w:id="46">
    <w:p w14:paraId="3FD3C582" w14:textId="77777777" w:rsidR="00FA6625" w:rsidRDefault="00FA6625" w:rsidP="00FA6625">
      <w:pPr>
        <w:pStyle w:val="FootnoteText"/>
        <w:jc w:val="both"/>
      </w:pPr>
      <w:r>
        <w:rPr>
          <w:rStyle w:val="FootnoteReference"/>
        </w:rPr>
        <w:footnoteRef/>
      </w:r>
      <w:r>
        <w:t xml:space="preserve"> </w:t>
      </w:r>
      <w:r w:rsidRPr="00ED5179">
        <w:rPr>
          <w:i/>
          <w:iCs/>
        </w:rPr>
        <w:t>See In Re Philips Recalled CPAP, Bi-Level PAP, and Medical Ventilator</w:t>
      </w:r>
      <w:r>
        <w:t xml:space="preserve"> MDL No. 3014, Docket Management Order for Claims of Litigating Plaintiffs, Doc. No. 2769, p. 4 (May 9, 2024) (“The broad discretion afforded to the Court enables it to enter case management orders after substantial discovery has taken place in a mature mass tort or multidistrict litigation where, as here, a defendant has taken steps to settle a significant portion of the claims against it.”).</w:t>
      </w:r>
    </w:p>
  </w:footnote>
  <w:footnote w:id="47">
    <w:p w14:paraId="3A4CE551" w14:textId="77777777" w:rsidR="00FA6625" w:rsidRDefault="00FA6625" w:rsidP="00FA6625">
      <w:pPr>
        <w:pStyle w:val="FootnoteText"/>
        <w:jc w:val="both"/>
      </w:pPr>
      <w:r>
        <w:rPr>
          <w:rStyle w:val="FootnoteReference"/>
        </w:rPr>
        <w:footnoteRef/>
      </w:r>
      <w:r>
        <w:t xml:space="preserve"> </w:t>
      </w:r>
      <w:r w:rsidRPr="00113FDA">
        <w:rPr>
          <w:i/>
          <w:iCs/>
        </w:rPr>
        <w:t xml:space="preserve">But see </w:t>
      </w:r>
      <w:r w:rsidRPr="005853E9">
        <w:rPr>
          <w:i/>
          <w:iCs/>
        </w:rPr>
        <w:t>In Re 3M Combat Arms Earplug</w:t>
      </w:r>
      <w:r>
        <w:t>, MDL No. 2885, CMO No. 57, Doc. 3811, p. 30 (August 29, 2023) (court required plaintiffs to submit documents no later than 30 days after declining settlement offer and 60 days to submit expert reports).</w:t>
      </w:r>
    </w:p>
  </w:footnote>
  <w:footnote w:id="48">
    <w:p w14:paraId="33062D24" w14:textId="77777777" w:rsidR="00FA6625" w:rsidRDefault="00FA6625" w:rsidP="00FA6625">
      <w:pPr>
        <w:pStyle w:val="FootnoteText"/>
        <w:jc w:val="both"/>
      </w:pPr>
      <w:r>
        <w:rPr>
          <w:rStyle w:val="FootnoteReference"/>
        </w:rPr>
        <w:footnoteRef/>
      </w:r>
      <w:r>
        <w:t xml:space="preserve"> S</w:t>
      </w:r>
      <w:r w:rsidRPr="00113FDA">
        <w:rPr>
          <w:i/>
          <w:iCs/>
        </w:rPr>
        <w:t xml:space="preserve">ee </w:t>
      </w:r>
      <w:r w:rsidRPr="005853E9">
        <w:rPr>
          <w:i/>
          <w:iCs/>
        </w:rPr>
        <w:t>In Re 3M Combat Arms Earplug</w:t>
      </w:r>
      <w:r>
        <w:t xml:space="preserve">, MDL No. 2885, CMO No. 57, Doc. 3811, p. 2 (August 29, 2023) (“This Order requires all Litigating Plaintiffs to produce certain specified information regarding their claim(s) and provides deadlines to meet certain requirements relating to product use, alleged injury, causation, time-based defenses, and related dispositive motion practice, prior to any further supplemental discovery.”); </w:t>
      </w:r>
      <w:r w:rsidRPr="00474FAB">
        <w:rPr>
          <w:i/>
          <w:iCs/>
        </w:rPr>
        <w:t>see</w:t>
      </w:r>
      <w:r>
        <w:t xml:space="preserve"> </w:t>
      </w:r>
      <w:r w:rsidRPr="006678E2">
        <w:rPr>
          <w:i/>
          <w:iCs/>
        </w:rPr>
        <w:t>also In Re American Medical Systems, Inc., Pelvic Repair Systems</w:t>
      </w:r>
      <w:r>
        <w:t xml:space="preserve">, MDL No. 2325, Pretrial Order No. 239 (Docket Control Order), p. 1 (June 7, 2017); </w:t>
      </w:r>
      <w:r w:rsidRPr="00307D4C">
        <w:rPr>
          <w:i/>
          <w:iCs/>
        </w:rPr>
        <w:t>see also</w:t>
      </w:r>
      <w:r w:rsidRPr="001B50E7">
        <w:rPr>
          <w:i/>
          <w:iCs/>
        </w:rPr>
        <w:t xml:space="preserve"> </w:t>
      </w:r>
      <w:r w:rsidRPr="00A93FBC">
        <w:rPr>
          <w:i/>
          <w:iCs/>
        </w:rPr>
        <w:t>In Re Testosterone Replacement Therapy</w:t>
      </w:r>
      <w:r>
        <w:t xml:space="preserve">, MDL No. 2545, CMO No. 126, p. 1 (June 11, 2018) (Docket Control Order for Future Cases Against Eli Lilly, Endo, Auxilium &amp; GSK); </w:t>
      </w:r>
      <w:r w:rsidRPr="00FC7CEE">
        <w:rPr>
          <w:i/>
          <w:iCs/>
        </w:rPr>
        <w:t>see</w:t>
      </w:r>
      <w:r>
        <w:t xml:space="preserve"> </w:t>
      </w:r>
      <w:r w:rsidRPr="00FE14F7">
        <w:rPr>
          <w:i/>
          <w:iCs/>
        </w:rPr>
        <w:t>In Re Proton-Pump Inhibitor</w:t>
      </w:r>
      <w:r>
        <w:t>, MDL No. 2789, CMO No. 109, Docket Control Order, p. 5, fn. 2 (October 2, 2023) (</w:t>
      </w:r>
      <w:r w:rsidRPr="00B248B7">
        <w:rPr>
          <w:i/>
          <w:iCs/>
        </w:rPr>
        <w:t>see</w:t>
      </w:r>
      <w:r>
        <w:t xml:space="preserve"> comprehensive list of mass-tort MDLs entering docket control orders). </w:t>
      </w:r>
    </w:p>
  </w:footnote>
  <w:footnote w:id="49">
    <w:p w14:paraId="0EFE9A51" w14:textId="77777777" w:rsidR="00FA6625" w:rsidRDefault="00FA6625" w:rsidP="00FA6625">
      <w:pPr>
        <w:pStyle w:val="FootnoteText"/>
        <w:jc w:val="both"/>
      </w:pPr>
      <w:r>
        <w:rPr>
          <w:rStyle w:val="FootnoteReference"/>
        </w:rPr>
        <w:footnoteRef/>
      </w:r>
      <w:r>
        <w:t xml:space="preserve"> </w:t>
      </w:r>
      <w:bookmarkStart w:id="5" w:name="_Hlk217150597"/>
      <w:r w:rsidRPr="005853E9">
        <w:rPr>
          <w:i/>
          <w:iCs/>
        </w:rPr>
        <w:t>See In Re 3M Combat Arms Earplug</w:t>
      </w:r>
      <w:r>
        <w:t>, MDL No. 2885, CMO No. 60 (Identification Order) Doc. 3814, pp. 3-4 (August 8, 2023).</w:t>
      </w:r>
      <w:bookmarkEnd w:id="5"/>
    </w:p>
  </w:footnote>
  <w:footnote w:id="50">
    <w:p w14:paraId="5872DFE7" w14:textId="77777777" w:rsidR="00FA6625" w:rsidRDefault="00FA6625" w:rsidP="00FA6625">
      <w:pPr>
        <w:pStyle w:val="FootnoteText"/>
        <w:jc w:val="both"/>
      </w:pPr>
      <w:r>
        <w:rPr>
          <w:rStyle w:val="FootnoteReference"/>
        </w:rPr>
        <w:footnoteRef/>
      </w:r>
      <w:r>
        <w:t xml:space="preserve"> </w:t>
      </w:r>
      <w:r w:rsidRPr="005853E9">
        <w:rPr>
          <w:i/>
          <w:iCs/>
        </w:rPr>
        <w:t>See In Re 3M Combat Arms Earplug</w:t>
      </w:r>
      <w:r>
        <w:t xml:space="preserve">, MDL No. 2885, CMO No. 57, Doc. 3811, pp. 16-25 (August 29, 2023); </w:t>
      </w:r>
      <w:r w:rsidRPr="00ED5179">
        <w:rPr>
          <w:i/>
          <w:iCs/>
        </w:rPr>
        <w:t>In Re Philips Recalled CPAP, Bi-Level PAP, and Medical Ventilator</w:t>
      </w:r>
      <w:r>
        <w:t xml:space="preserve"> MDL No. 3014, Docket Management Order for Claims of Litigating Plaintiffs, Doc. No. 2769, pp. 8-11 (May 9, 2024); </w:t>
      </w:r>
      <w:r w:rsidRPr="00FE14F7">
        <w:rPr>
          <w:i/>
          <w:iCs/>
        </w:rPr>
        <w:t>In Re Proton-Pump Inhibitor</w:t>
      </w:r>
      <w:r>
        <w:t xml:space="preserve">, MDL No. 2789, CMO No. 109, pp. 8-10 (October 2, 2023); </w:t>
      </w:r>
      <w:r w:rsidRPr="00A93FBC">
        <w:rPr>
          <w:i/>
          <w:iCs/>
        </w:rPr>
        <w:t>In Re Testosterone Replacement Therapy</w:t>
      </w:r>
      <w:r>
        <w:t xml:space="preserve">, MDL No. 2545, CMO No. 126, pp. 6-8 (June 11, 2018); </w:t>
      </w:r>
      <w:r w:rsidRPr="006678E2">
        <w:rPr>
          <w:i/>
          <w:iCs/>
        </w:rPr>
        <w:t>see also In Re American Medical Systems, Inc., Pelvic Repair Systems</w:t>
      </w:r>
      <w:r>
        <w:t>, MDL No. 2325, Pretrial Order No. 239 (Docket Control Order), pp. 4-6 (June 7, 2017).</w:t>
      </w:r>
    </w:p>
  </w:footnote>
  <w:footnote w:id="51">
    <w:p w14:paraId="4A048FE3" w14:textId="77777777" w:rsidR="00FA6625" w:rsidRDefault="00FA6625" w:rsidP="00FA6625">
      <w:pPr>
        <w:pStyle w:val="FootnoteText"/>
        <w:jc w:val="both"/>
      </w:pPr>
      <w:r>
        <w:rPr>
          <w:rStyle w:val="FootnoteReference"/>
        </w:rPr>
        <w:footnoteRef/>
      </w:r>
      <w:r>
        <w:t xml:space="preserve"> </w:t>
      </w:r>
      <w:r>
        <w:rPr>
          <w:i/>
          <w:iCs/>
        </w:rPr>
        <w:t>See</w:t>
      </w:r>
      <w:r w:rsidRPr="001B50E7">
        <w:rPr>
          <w:i/>
          <w:iCs/>
        </w:rPr>
        <w:t xml:space="preserve"> </w:t>
      </w:r>
      <w:r w:rsidRPr="00A93FBC">
        <w:rPr>
          <w:i/>
          <w:iCs/>
        </w:rPr>
        <w:t>In Re Testosterone Replacement Therapy</w:t>
      </w:r>
      <w:r>
        <w:t>, MDL No. 2545, CMO No. 126, Doc. No. 2716, p. 8 (June 11, 2018) (Docket Control Order for Future Cases Against Eli Lilly, Endo, Auxilium &amp; GSK) (describes protracted procedures for noncompliance, including scheduling show-cause hearing after 90 days from deadline expiration on defendant’s motion; 21 days for plaintiff to respond; 21 days for plaintiff to show cause).</w:t>
      </w:r>
    </w:p>
  </w:footnote>
  <w:footnote w:id="52">
    <w:p w14:paraId="2C10D1AE" w14:textId="1403602E" w:rsidR="00FA6625" w:rsidRDefault="00FA6625" w:rsidP="00FA6625">
      <w:pPr>
        <w:pStyle w:val="FootnoteText"/>
        <w:jc w:val="both"/>
      </w:pPr>
      <w:r>
        <w:rPr>
          <w:rStyle w:val="FootnoteReference"/>
        </w:rPr>
        <w:footnoteRef/>
      </w:r>
      <w:r>
        <w:t xml:space="preserve"> </w:t>
      </w:r>
      <w:r w:rsidRPr="00B01F1E">
        <w:rPr>
          <w:i/>
          <w:iCs/>
        </w:rPr>
        <w:t>In Re 3M Combat Arms Earplug</w:t>
      </w:r>
      <w:r>
        <w:t>, MDL No. 2885, Doc. 4020, Order, p.3 (February 24, 2024);</w:t>
      </w:r>
      <w:r w:rsidR="00B510FB">
        <w:t xml:space="preserve"> </w:t>
      </w:r>
      <w:r w:rsidR="00B510FB" w:rsidRPr="006C62DE">
        <w:rPr>
          <w:i/>
          <w:iCs/>
        </w:rPr>
        <w:t xml:space="preserve">see In Re </w:t>
      </w:r>
      <w:proofErr w:type="spellStart"/>
      <w:r w:rsidR="00B510FB" w:rsidRPr="006C62DE">
        <w:rPr>
          <w:i/>
          <w:iCs/>
        </w:rPr>
        <w:t>Fo</w:t>
      </w:r>
      <w:r w:rsidR="006C62DE" w:rsidRPr="006C62DE">
        <w:rPr>
          <w:i/>
          <w:iCs/>
        </w:rPr>
        <w:t>so</w:t>
      </w:r>
      <w:r w:rsidR="00B510FB" w:rsidRPr="006C62DE">
        <w:rPr>
          <w:i/>
          <w:iCs/>
        </w:rPr>
        <w:t>max</w:t>
      </w:r>
      <w:proofErr w:type="spellEnd"/>
      <w:r w:rsidR="00B510FB" w:rsidRPr="006C62DE">
        <w:rPr>
          <w:i/>
          <w:iCs/>
        </w:rPr>
        <w:t xml:space="preserve"> Prod. </w:t>
      </w:r>
      <w:proofErr w:type="spellStart"/>
      <w:r w:rsidR="00B510FB" w:rsidRPr="006C62DE">
        <w:rPr>
          <w:i/>
          <w:iCs/>
        </w:rPr>
        <w:t>Liab</w:t>
      </w:r>
      <w:proofErr w:type="spellEnd"/>
      <w:r w:rsidR="00B510FB" w:rsidRPr="006C62DE">
        <w:rPr>
          <w:i/>
          <w:iCs/>
        </w:rPr>
        <w:t>. Litig</w:t>
      </w:r>
      <w:r w:rsidR="00B510FB">
        <w:t xml:space="preserve">., </w:t>
      </w:r>
      <w:r w:rsidR="00552F0F">
        <w:t xml:space="preserve">Memorandum Opinion Order, </w:t>
      </w:r>
      <w:r w:rsidR="00B17B0B">
        <w:t>1:07-cv-03652-JFK</w:t>
      </w:r>
      <w:r w:rsidR="006C62DE">
        <w:t>, (S.D.N.Y. 2010)</w:t>
      </w:r>
      <w:r>
        <w:t xml:space="preserve"> </w:t>
      </w:r>
      <w:r w:rsidR="00552F0F">
        <w:t>(</w:t>
      </w:r>
      <w:r w:rsidR="00A15347">
        <w:t>dismissing case with prejudice for failure to comply with</w:t>
      </w:r>
      <w:r w:rsidR="00B6329E">
        <w:t xml:space="preserve"> </w:t>
      </w:r>
      <w:r w:rsidR="005F492D">
        <w:t>multiple requests</w:t>
      </w:r>
      <w:r w:rsidR="00E16134">
        <w:t xml:space="preserve"> to submit </w:t>
      </w:r>
      <w:r w:rsidR="00B6329E">
        <w:t>plaintiff</w:t>
      </w:r>
      <w:r w:rsidR="00E16134">
        <w:t xml:space="preserve"> fact sheet, </w:t>
      </w:r>
      <w:r w:rsidR="00EA5ABF">
        <w:t>acknowledging</w:t>
      </w:r>
      <w:r w:rsidR="00E16134">
        <w:t xml:space="preserve"> that “the harsh penalty of dismissal </w:t>
      </w:r>
      <w:r w:rsidR="005C73EF">
        <w:t>... is ‘necessary to achieve the purpose of Rule 37 as a credible deterrent rather than a paper t</w:t>
      </w:r>
      <w:r w:rsidR="00EA5ABF">
        <w:t>i</w:t>
      </w:r>
      <w:r w:rsidR="005C73EF">
        <w:t>ger</w:t>
      </w:r>
      <w:r w:rsidR="00B6329E">
        <w:t>’”);</w:t>
      </w:r>
      <w:r w:rsidR="00EA5ABF">
        <w:t xml:space="preserve"> </w:t>
      </w:r>
      <w:r w:rsidRPr="00C94B61">
        <w:rPr>
          <w:i/>
          <w:iCs/>
        </w:rPr>
        <w:t>see</w:t>
      </w:r>
      <w:r>
        <w:t xml:space="preserve"> </w:t>
      </w:r>
      <w:r w:rsidR="006B1491">
        <w:t xml:space="preserve">also </w:t>
      </w:r>
      <w:r>
        <w:t>Fed. R. Civ. P. 37(b)(2)(A)(v) (“If a party ... fails to obey an order to provide or permit discovery, the court where the action is pending may issue further just orders</w:t>
      </w:r>
      <w:r w:rsidR="00001E24">
        <w:t xml:space="preserve"> </w:t>
      </w:r>
      <w:r>
        <w:t xml:space="preserve">...[including] dismissing the action or proceeding in whole or in part.” </w:t>
      </w:r>
      <w:r w:rsidRPr="00FC7CEE">
        <w:rPr>
          <w:i/>
          <w:iCs/>
        </w:rPr>
        <w:t>Compare with</w:t>
      </w:r>
      <w:r>
        <w:t xml:space="preserve"> Fed. R. Civ. P. 37(b)(1), which provides an alternative enforcement means and authorizes a court to hold a party in contempt of court for failing to comply with its order, which usually requires a show-cause hearing.) </w:t>
      </w:r>
    </w:p>
  </w:footnote>
  <w:footnote w:id="53">
    <w:p w14:paraId="1C48CE5D" w14:textId="77777777" w:rsidR="00FA6625" w:rsidRDefault="00FA6625" w:rsidP="00FA6625">
      <w:pPr>
        <w:pStyle w:val="FootnoteText"/>
        <w:jc w:val="both"/>
      </w:pPr>
      <w:r>
        <w:rPr>
          <w:rStyle w:val="FootnoteReference"/>
        </w:rPr>
        <w:footnoteRef/>
      </w:r>
      <w:r>
        <w:t xml:space="preserve"> S</w:t>
      </w:r>
      <w:r w:rsidRPr="00113FDA">
        <w:rPr>
          <w:i/>
          <w:iCs/>
        </w:rPr>
        <w:t xml:space="preserve">ee </w:t>
      </w:r>
      <w:r w:rsidRPr="005853E9">
        <w:rPr>
          <w:i/>
          <w:iCs/>
        </w:rPr>
        <w:t>In Re 3M Combat Arms Earplug</w:t>
      </w:r>
      <w:r>
        <w:t>, MDL No. 2885, Order, Doc. 4089, p. 1 (August 20, 2024) (the 20,000 dismissed claims represented about 8% of the then pending actions, which may have been a significant factor in meeting the 98% walk-away condition).</w:t>
      </w:r>
    </w:p>
  </w:footnote>
  <w:footnote w:id="54">
    <w:p w14:paraId="30218A92" w14:textId="77777777" w:rsidR="00FA6625" w:rsidRDefault="00FA6625" w:rsidP="00FA6625">
      <w:pPr>
        <w:pStyle w:val="FootnoteText"/>
        <w:jc w:val="both"/>
      </w:pPr>
      <w:r>
        <w:rPr>
          <w:rStyle w:val="FootnoteReference"/>
        </w:rPr>
        <w:footnoteRef/>
      </w:r>
      <w:r>
        <w:t xml:space="preserve"> </w:t>
      </w:r>
      <w:r w:rsidRPr="005853E9">
        <w:rPr>
          <w:i/>
          <w:iCs/>
        </w:rPr>
        <w:t>See In Re 3M Combat Arms Earplug</w:t>
      </w:r>
      <w:r>
        <w:t>, MDL No. 2885, CMO No. 57, Doc. 3811, pp. 31-32 (August 29, 2023) (court delegated authority to process deficiencies using MDL Centrality to the Data Administrator).</w:t>
      </w:r>
    </w:p>
  </w:footnote>
  <w:footnote w:id="55">
    <w:p w14:paraId="11CDD324" w14:textId="77777777" w:rsidR="00FA6625" w:rsidRDefault="00FA6625" w:rsidP="00FA6625">
      <w:pPr>
        <w:pStyle w:val="FootnoteText"/>
        <w:jc w:val="both"/>
      </w:pPr>
      <w:r>
        <w:rPr>
          <w:rStyle w:val="FootnoteReference"/>
        </w:rPr>
        <w:footnoteRef/>
      </w:r>
      <w:r>
        <w:t xml:space="preserve"> </w:t>
      </w:r>
      <w:r w:rsidRPr="00FC7CEE">
        <w:rPr>
          <w:i/>
          <w:iCs/>
        </w:rPr>
        <w:t>See</w:t>
      </w:r>
      <w:r>
        <w:t xml:space="preserve"> chart, T</w:t>
      </w:r>
      <w:r w:rsidRPr="00891B35">
        <w:t xml:space="preserve">hree effective mass-tort </w:t>
      </w:r>
      <w:r>
        <w:t>MDL re</w:t>
      </w:r>
      <w:r w:rsidRPr="00891B35">
        <w:t>solution models</w:t>
      </w:r>
      <w:r>
        <w:t xml:space="preserve">: </w:t>
      </w:r>
      <w:r w:rsidRPr="00891B35">
        <w:t>Campbell Remand Resolution Model</w:t>
      </w:r>
      <w:r>
        <w:t xml:space="preserve"> -- </w:t>
      </w:r>
      <w:r w:rsidRPr="00891B35">
        <w:t xml:space="preserve">Hon. David Campbell - </w:t>
      </w:r>
      <w:r w:rsidRPr="00FC7CEE">
        <w:rPr>
          <w:i/>
          <w:iCs/>
        </w:rPr>
        <w:t>Bard IVC Filter</w:t>
      </w:r>
      <w:r w:rsidRPr="00891B35">
        <w:t xml:space="preserve"> MDL No. 2641 (6 years)</w:t>
      </w:r>
      <w:r>
        <w:t xml:space="preserve">; </w:t>
      </w:r>
      <w:proofErr w:type="spellStart"/>
      <w:r w:rsidRPr="00891B35">
        <w:t>Robreno</w:t>
      </w:r>
      <w:proofErr w:type="spellEnd"/>
      <w:r w:rsidRPr="00891B35">
        <w:t xml:space="preserve"> “Rocket Docket” Trial Following Lone-Pine Order Model</w:t>
      </w:r>
      <w:r>
        <w:t xml:space="preserve"> -- </w:t>
      </w:r>
      <w:r w:rsidRPr="00891B35">
        <w:t xml:space="preserve">Hon. Eduardo Robreno -- </w:t>
      </w:r>
      <w:r w:rsidRPr="00FC7CEE">
        <w:rPr>
          <w:i/>
          <w:iCs/>
        </w:rPr>
        <w:t>Asbestos</w:t>
      </w:r>
      <w:r w:rsidRPr="00891B35">
        <w:t>, MDL No. 875 (5 years)</w:t>
      </w:r>
      <w:r>
        <w:t xml:space="preserve">; </w:t>
      </w:r>
      <w:r w:rsidRPr="00891B35">
        <w:t xml:space="preserve"> Rodgers Self-Executing “Lone-Pine” Order Followed by Mandatory Mediation and “Rocket Docket” Trial Model</w:t>
      </w:r>
      <w:r>
        <w:t xml:space="preserve"> -- </w:t>
      </w:r>
      <w:r w:rsidRPr="00891B35">
        <w:t xml:space="preserve">Hon. Casey Rodgers -- </w:t>
      </w:r>
      <w:r w:rsidRPr="00FC7CEE">
        <w:rPr>
          <w:i/>
          <w:iCs/>
        </w:rPr>
        <w:t>3M Combat Arms Earplug</w:t>
      </w:r>
      <w:r w:rsidRPr="00891B35">
        <w:t>, MDL No. 2885 (5 years</w:t>
      </w:r>
      <w:r>
        <w:t xml:space="preserve">); and Research at </w:t>
      </w:r>
      <w:hyperlink r:id="rId1" w:history="1">
        <w:r w:rsidRPr="00646AC5">
          <w:rPr>
            <w:rStyle w:val="Hyperlink"/>
          </w:rPr>
          <w:t>https://rabiejcenter.org/research/mass-tort-mdl/</w:t>
        </w:r>
      </w:hyperlink>
      <w:r>
        <w:t xml:space="preserve">, Rabiej Litigation Law Center (2025).  </w:t>
      </w:r>
    </w:p>
  </w:footnote>
  <w:footnote w:id="56">
    <w:p w14:paraId="2029C63A" w14:textId="77777777" w:rsidR="00FA6625" w:rsidRDefault="00FA6625" w:rsidP="00FA6625">
      <w:pPr>
        <w:pStyle w:val="FootnoteText"/>
        <w:jc w:val="both"/>
      </w:pPr>
      <w:r>
        <w:rPr>
          <w:rStyle w:val="FootnoteReference"/>
        </w:rPr>
        <w:footnoteRef/>
      </w:r>
      <w:r>
        <w:t xml:space="preserve"> </w:t>
      </w:r>
      <w:r w:rsidRPr="005853E9">
        <w:rPr>
          <w:i/>
          <w:iCs/>
        </w:rPr>
        <w:t>See In Re 3M Combat Arms Earplug</w:t>
      </w:r>
      <w:r>
        <w:t>, MDL No. 2885, CMO No. 57, Doc. 3811, p. 30 (August 29, 2023) (mandatory mediation within 90 days of submission of documents with costs of mediation split equally between parties).</w:t>
      </w:r>
    </w:p>
  </w:footnote>
  <w:footnote w:id="57">
    <w:p w14:paraId="7DA650BF" w14:textId="77777777" w:rsidR="00FA6625" w:rsidRDefault="00FA6625" w:rsidP="00FA6625">
      <w:pPr>
        <w:pStyle w:val="FootnoteText"/>
        <w:jc w:val="both"/>
      </w:pPr>
      <w:r>
        <w:rPr>
          <w:rStyle w:val="FootnoteReference"/>
        </w:rPr>
        <w:footnoteRef/>
      </w:r>
      <w:r>
        <w:t xml:space="preserve"> See </w:t>
      </w:r>
      <w:r w:rsidRPr="00FE14F7">
        <w:rPr>
          <w:i/>
          <w:iCs/>
        </w:rPr>
        <w:t>In Re Proton-Pump Inhibitor</w:t>
      </w:r>
      <w:r>
        <w:t xml:space="preserve">, MDL No. 2789, CMO No. 109, p. 11 (October 2, 2023) (expedited case-specific bifurcated discovery on statute of limitations; other time-based defenses, and causation issues and related dispositive motion practices); </w:t>
      </w:r>
      <w:r w:rsidRPr="004E1123">
        <w:rPr>
          <w:i/>
          <w:iCs/>
        </w:rPr>
        <w:t>see also</w:t>
      </w:r>
      <w:r>
        <w:t xml:space="preserve"> </w:t>
      </w:r>
      <w:r w:rsidRPr="00A93FBC">
        <w:rPr>
          <w:i/>
          <w:iCs/>
        </w:rPr>
        <w:t>In Re Testosterone Replacement Therapy</w:t>
      </w:r>
      <w:r>
        <w:t>, MDL No. 2545, CMO No. 126, p. 10 (June 11, 2018) (same).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1A4"/>
    <w:multiLevelType w:val="hybridMultilevel"/>
    <w:tmpl w:val="0A2A724A"/>
    <w:lvl w:ilvl="0" w:tplc="0CF0A61C">
      <w:start w:val="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3B2D40"/>
    <w:multiLevelType w:val="hybridMultilevel"/>
    <w:tmpl w:val="6A3C12C0"/>
    <w:lvl w:ilvl="0" w:tplc="56AA1BF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A1037"/>
    <w:multiLevelType w:val="hybridMultilevel"/>
    <w:tmpl w:val="6CE89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0926DE3"/>
    <w:multiLevelType w:val="hybridMultilevel"/>
    <w:tmpl w:val="FDD8D0A4"/>
    <w:lvl w:ilvl="0" w:tplc="FDB801D8">
      <w:start w:val="4"/>
      <w:numFmt w:val="bullet"/>
      <w:lvlText w:val=""/>
      <w:lvlJc w:val="left"/>
      <w:pPr>
        <w:ind w:left="1080" w:hanging="360"/>
      </w:pPr>
      <w:rPr>
        <w:rFonts w:ascii="Symbol" w:eastAsiaTheme="minorHAnsi" w:hAnsi="Symbol" w:cstheme="minorBid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0CE5C61"/>
    <w:multiLevelType w:val="hybridMultilevel"/>
    <w:tmpl w:val="A11A02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4C91008"/>
    <w:multiLevelType w:val="hybridMultilevel"/>
    <w:tmpl w:val="8DE05CAA"/>
    <w:lvl w:ilvl="0" w:tplc="8AB6D002">
      <w:numFmt w:val="bullet"/>
      <w:lvlText w:val=""/>
      <w:lvlJc w:val="left"/>
      <w:pPr>
        <w:ind w:left="720" w:hanging="360"/>
      </w:pPr>
      <w:rPr>
        <w:rFonts w:ascii="Symbol" w:eastAsiaTheme="minorHAnsi" w:hAnsi="Symbol" w:cs="Times New Roman" w:hint="default"/>
        <w:color w:val="1F1F1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763506">
    <w:abstractNumId w:val="5"/>
  </w:num>
  <w:num w:numId="2" w16cid:durableId="901066033">
    <w:abstractNumId w:val="4"/>
  </w:num>
  <w:num w:numId="3" w16cid:durableId="889850814">
    <w:abstractNumId w:val="1"/>
  </w:num>
  <w:num w:numId="4" w16cid:durableId="912811675">
    <w:abstractNumId w:val="0"/>
  </w:num>
  <w:num w:numId="5" w16cid:durableId="579557581">
    <w:abstractNumId w:val="3"/>
  </w:num>
  <w:num w:numId="6" w16cid:durableId="1149902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25"/>
    <w:rsid w:val="00001E24"/>
    <w:rsid w:val="00210990"/>
    <w:rsid w:val="002C14E9"/>
    <w:rsid w:val="003279B8"/>
    <w:rsid w:val="004856DE"/>
    <w:rsid w:val="004A6FA6"/>
    <w:rsid w:val="004A7425"/>
    <w:rsid w:val="004F4D82"/>
    <w:rsid w:val="00552F0F"/>
    <w:rsid w:val="005C0ECD"/>
    <w:rsid w:val="005C5007"/>
    <w:rsid w:val="005C73EF"/>
    <w:rsid w:val="005F492D"/>
    <w:rsid w:val="006B1491"/>
    <w:rsid w:val="006C277F"/>
    <w:rsid w:val="006C62DE"/>
    <w:rsid w:val="007213F0"/>
    <w:rsid w:val="00724FB4"/>
    <w:rsid w:val="00733684"/>
    <w:rsid w:val="007947C5"/>
    <w:rsid w:val="007C3B02"/>
    <w:rsid w:val="007F4AE4"/>
    <w:rsid w:val="008769BE"/>
    <w:rsid w:val="00A15347"/>
    <w:rsid w:val="00B1562D"/>
    <w:rsid w:val="00B17B0B"/>
    <w:rsid w:val="00B510FB"/>
    <w:rsid w:val="00B6329E"/>
    <w:rsid w:val="00C624D6"/>
    <w:rsid w:val="00C654FF"/>
    <w:rsid w:val="00C95781"/>
    <w:rsid w:val="00C971A6"/>
    <w:rsid w:val="00E16134"/>
    <w:rsid w:val="00EA5ABF"/>
    <w:rsid w:val="00F527AD"/>
    <w:rsid w:val="00F709A6"/>
    <w:rsid w:val="00F80290"/>
    <w:rsid w:val="00F9707E"/>
    <w:rsid w:val="00FA6625"/>
    <w:rsid w:val="00FD2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CD018"/>
  <w15:chartTrackingRefBased/>
  <w15:docId w15:val="{0B9BC1CF-D051-46B6-BD4D-A080D64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625"/>
  </w:style>
  <w:style w:type="paragraph" w:styleId="Heading1">
    <w:name w:val="heading 1"/>
    <w:basedOn w:val="Normal"/>
    <w:next w:val="Normal"/>
    <w:link w:val="Heading1Char"/>
    <w:uiPriority w:val="9"/>
    <w:qFormat/>
    <w:rsid w:val="00FA6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62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6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A662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A662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A662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A662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A662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6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6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62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62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A662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A662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A662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A662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A662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A6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6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62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62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A6625"/>
    <w:pPr>
      <w:spacing w:before="160"/>
      <w:jc w:val="center"/>
    </w:pPr>
    <w:rPr>
      <w:i/>
      <w:iCs/>
      <w:color w:val="404040" w:themeColor="text1" w:themeTint="BF"/>
    </w:rPr>
  </w:style>
  <w:style w:type="character" w:customStyle="1" w:styleId="QuoteChar">
    <w:name w:val="Quote Char"/>
    <w:basedOn w:val="DefaultParagraphFont"/>
    <w:link w:val="Quote"/>
    <w:uiPriority w:val="29"/>
    <w:rsid w:val="00FA6625"/>
    <w:rPr>
      <w:i/>
      <w:iCs/>
      <w:color w:val="404040" w:themeColor="text1" w:themeTint="BF"/>
    </w:rPr>
  </w:style>
  <w:style w:type="paragraph" w:styleId="ListParagraph">
    <w:name w:val="List Paragraph"/>
    <w:basedOn w:val="Normal"/>
    <w:uiPriority w:val="34"/>
    <w:qFormat/>
    <w:rsid w:val="00FA6625"/>
    <w:pPr>
      <w:ind w:left="720"/>
      <w:contextualSpacing/>
    </w:pPr>
  </w:style>
  <w:style w:type="character" w:styleId="IntenseEmphasis">
    <w:name w:val="Intense Emphasis"/>
    <w:basedOn w:val="DefaultParagraphFont"/>
    <w:uiPriority w:val="21"/>
    <w:qFormat/>
    <w:rsid w:val="00FA6625"/>
    <w:rPr>
      <w:i/>
      <w:iCs/>
      <w:color w:val="0F4761" w:themeColor="accent1" w:themeShade="BF"/>
    </w:rPr>
  </w:style>
  <w:style w:type="paragraph" w:styleId="IntenseQuote">
    <w:name w:val="Intense Quote"/>
    <w:basedOn w:val="Normal"/>
    <w:next w:val="Normal"/>
    <w:link w:val="IntenseQuoteChar"/>
    <w:uiPriority w:val="30"/>
    <w:qFormat/>
    <w:rsid w:val="00FA6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625"/>
    <w:rPr>
      <w:i/>
      <w:iCs/>
      <w:color w:val="0F4761" w:themeColor="accent1" w:themeShade="BF"/>
    </w:rPr>
  </w:style>
  <w:style w:type="character" w:styleId="IntenseReference">
    <w:name w:val="Intense Reference"/>
    <w:basedOn w:val="DefaultParagraphFont"/>
    <w:uiPriority w:val="32"/>
    <w:qFormat/>
    <w:rsid w:val="00FA6625"/>
    <w:rPr>
      <w:b/>
      <w:bCs/>
      <w:smallCaps/>
      <w:color w:val="0F4761" w:themeColor="accent1" w:themeShade="BF"/>
      <w:spacing w:val="5"/>
    </w:rPr>
  </w:style>
  <w:style w:type="paragraph" w:styleId="NoSpacing">
    <w:name w:val="No Spacing"/>
    <w:uiPriority w:val="1"/>
    <w:qFormat/>
    <w:rsid w:val="00FA6625"/>
    <w:pPr>
      <w:spacing w:after="0" w:line="240" w:lineRule="auto"/>
    </w:pPr>
  </w:style>
  <w:style w:type="paragraph" w:styleId="FootnoteText">
    <w:name w:val="footnote text"/>
    <w:aliases w:val="fn Text"/>
    <w:basedOn w:val="Normal"/>
    <w:link w:val="FootnoteTextChar"/>
    <w:uiPriority w:val="99"/>
    <w:unhideWhenUsed/>
    <w:qFormat/>
    <w:rsid w:val="00FA6625"/>
    <w:pPr>
      <w:spacing w:after="0" w:line="240" w:lineRule="auto"/>
    </w:pPr>
    <w:rPr>
      <w:color w:val="000000" w:themeColor="text1"/>
      <w:kern w:val="0"/>
      <w:sz w:val="20"/>
      <w:szCs w:val="20"/>
      <w14:ligatures w14:val="none"/>
    </w:rPr>
  </w:style>
  <w:style w:type="character" w:customStyle="1" w:styleId="FootnoteTextChar">
    <w:name w:val="Footnote Text Char"/>
    <w:aliases w:val="fn Text Char"/>
    <w:basedOn w:val="DefaultParagraphFont"/>
    <w:link w:val="FootnoteText"/>
    <w:uiPriority w:val="99"/>
    <w:rsid w:val="00FA6625"/>
    <w:rPr>
      <w:color w:val="000000" w:themeColor="text1"/>
      <w:kern w:val="0"/>
      <w:sz w:val="20"/>
      <w:szCs w:val="20"/>
      <w14:ligatures w14:val="none"/>
    </w:rPr>
  </w:style>
  <w:style w:type="character" w:styleId="FootnoteReference">
    <w:name w:val="footnote reference"/>
    <w:aliases w:val="fn Reference"/>
    <w:basedOn w:val="DefaultParagraphFont"/>
    <w:uiPriority w:val="99"/>
    <w:unhideWhenUsed/>
    <w:qFormat/>
    <w:rsid w:val="00FA6625"/>
    <w:rPr>
      <w:vertAlign w:val="superscript"/>
    </w:rPr>
  </w:style>
  <w:style w:type="paragraph" w:styleId="NormalWeb">
    <w:name w:val="Normal (Web)"/>
    <w:basedOn w:val="Normal"/>
    <w:uiPriority w:val="99"/>
    <w:unhideWhenUsed/>
    <w:rsid w:val="00FA6625"/>
    <w:rPr>
      <w:rFonts w:cs="Times New Roman"/>
      <w:szCs w:val="24"/>
    </w:rPr>
  </w:style>
  <w:style w:type="character" w:styleId="Hyperlink">
    <w:name w:val="Hyperlink"/>
    <w:basedOn w:val="DefaultParagraphFont"/>
    <w:uiPriority w:val="99"/>
    <w:unhideWhenUsed/>
    <w:rsid w:val="00FA6625"/>
    <w:rPr>
      <w:color w:val="467886" w:themeColor="hyperlink"/>
      <w:u w:val="single"/>
    </w:rPr>
  </w:style>
  <w:style w:type="character" w:styleId="Emphasis">
    <w:name w:val="Emphasis"/>
    <w:basedOn w:val="DefaultParagraphFont"/>
    <w:uiPriority w:val="20"/>
    <w:qFormat/>
    <w:rsid w:val="00FA6625"/>
    <w:rPr>
      <w:i/>
      <w:iCs/>
    </w:rPr>
  </w:style>
  <w:style w:type="paragraph" w:styleId="Header">
    <w:name w:val="header"/>
    <w:basedOn w:val="Normal"/>
    <w:link w:val="HeaderChar"/>
    <w:uiPriority w:val="99"/>
    <w:unhideWhenUsed/>
    <w:rsid w:val="00FA6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625"/>
  </w:style>
  <w:style w:type="paragraph" w:styleId="Footer">
    <w:name w:val="footer"/>
    <w:basedOn w:val="Normal"/>
    <w:link w:val="FooterChar"/>
    <w:uiPriority w:val="99"/>
    <w:unhideWhenUsed/>
    <w:rsid w:val="00FA6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biejcenter.org/events/mass-tort-mdl-leadership-bench-bar-leadership-summit-202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rabiejcenter.org/research/mass-tort-md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18</Pages>
  <Words>4535</Words>
  <Characters>26579</Characters>
  <Application>Microsoft Office Word</Application>
  <DocSecurity>0</DocSecurity>
  <Lines>415</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23</cp:revision>
  <dcterms:created xsi:type="dcterms:W3CDTF">2026-04-04T10:49:00Z</dcterms:created>
  <dcterms:modified xsi:type="dcterms:W3CDTF">2026-04-11T11:01:00Z</dcterms:modified>
</cp:coreProperties>
</file>