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F68F8" w14:textId="7CE3C875" w:rsidR="00B60B0B" w:rsidRDefault="00B60B0B" w:rsidP="00410309">
      <w:pPr>
        <w:spacing w:before="100" w:beforeAutospacing="1" w:after="100" w:afterAutospacing="1" w:line="240" w:lineRule="auto"/>
        <w:rPr>
          <w:rFonts w:eastAsia="Times New Roman" w:cs="Times New Roman"/>
          <w:kern w:val="0"/>
          <w:szCs w:val="24"/>
          <w:highlight w:val="yellow"/>
          <w14:ligatures w14:val="none"/>
        </w:rPr>
      </w:pPr>
      <w:r>
        <w:rPr>
          <w:noProof/>
        </w:rPr>
        <w:drawing>
          <wp:inline distT="0" distB="0" distL="0" distR="0" wp14:anchorId="498E1A3A" wp14:editId="39FD5C25">
            <wp:extent cx="5943600" cy="828675"/>
            <wp:effectExtent l="0" t="0" r="0" b="9525"/>
            <wp:docPr id="5" name="Picture 5" descr="Graphical user interface, 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imeline&#10;&#10;Description automatically generated with medium confidence"/>
                    <pic:cNvPicPr>
                      <a:picLocks noChangeAspect="1" noChangeArrowheads="1"/>
                    </pic:cNvPicPr>
                  </pic:nvPicPr>
                  <pic:blipFill rotWithShape="1">
                    <a:blip r:embed="rId7">
                      <a:extLst>
                        <a:ext uri="{28A0092B-C50C-407E-A947-70E740481C1C}">
                          <a14:useLocalDpi xmlns:a14="http://schemas.microsoft.com/office/drawing/2010/main" val="0"/>
                        </a:ext>
                      </a:extLst>
                    </a:blip>
                    <a:srcRect l="-481" t="18882" r="481" b="63826"/>
                    <a:stretch/>
                  </pic:blipFill>
                  <pic:spPr bwMode="auto">
                    <a:xfrm>
                      <a:off x="0" y="0"/>
                      <a:ext cx="5943600" cy="828675"/>
                    </a:xfrm>
                    <a:prstGeom prst="rect">
                      <a:avLst/>
                    </a:prstGeom>
                    <a:noFill/>
                    <a:ln>
                      <a:noFill/>
                    </a:ln>
                    <a:extLst>
                      <a:ext uri="{53640926-AAD7-44D8-BBD7-CCE9431645EC}">
                        <a14:shadowObscured xmlns:a14="http://schemas.microsoft.com/office/drawing/2010/main"/>
                      </a:ext>
                    </a:extLst>
                  </pic:spPr>
                </pic:pic>
              </a:graphicData>
            </a:graphic>
          </wp:inline>
        </w:drawing>
      </w:r>
    </w:p>
    <w:p w14:paraId="03D8975B" w14:textId="77777777" w:rsidR="00B60B0B" w:rsidRDefault="00B60B0B" w:rsidP="00410309">
      <w:pPr>
        <w:spacing w:before="100" w:beforeAutospacing="1" w:after="100" w:afterAutospacing="1" w:line="240" w:lineRule="auto"/>
        <w:rPr>
          <w:rFonts w:eastAsia="Times New Roman" w:cs="Times New Roman"/>
          <w:kern w:val="0"/>
          <w:szCs w:val="24"/>
          <w:highlight w:val="yellow"/>
          <w14:ligatures w14:val="none"/>
        </w:rPr>
      </w:pPr>
    </w:p>
    <w:p w14:paraId="72D1FCFF" w14:textId="3775565C" w:rsidR="00B60B0B" w:rsidRDefault="00CF6B83" w:rsidP="00CF6B83">
      <w:pPr>
        <w:spacing w:before="100" w:beforeAutospacing="1" w:after="100" w:afterAutospacing="1" w:line="240" w:lineRule="auto"/>
        <w:jc w:val="center"/>
        <w:rPr>
          <w:rFonts w:eastAsia="Times New Roman" w:cs="Times New Roman"/>
          <w:kern w:val="0"/>
          <w:szCs w:val="24"/>
          <w14:ligatures w14:val="none"/>
        </w:rPr>
      </w:pPr>
      <w:r w:rsidRPr="00CF6B83">
        <w:rPr>
          <w:rFonts w:eastAsia="Times New Roman" w:cs="Times New Roman"/>
          <w:kern w:val="0"/>
          <w:szCs w:val="24"/>
          <w14:ligatures w14:val="none"/>
        </w:rPr>
        <w:t>August 1, 2026</w:t>
      </w:r>
    </w:p>
    <w:p w14:paraId="312AC7B9" w14:textId="4BC7C22D" w:rsidR="00CF6B83" w:rsidRPr="003C6BC9" w:rsidRDefault="003C6BC9" w:rsidP="00CF6B83">
      <w:pPr>
        <w:spacing w:before="100" w:beforeAutospacing="1" w:after="100" w:afterAutospacing="1" w:line="240" w:lineRule="auto"/>
        <w:jc w:val="center"/>
        <w:rPr>
          <w:rFonts w:eastAsia="Times New Roman" w:cs="Times New Roman"/>
          <w:b/>
          <w:bCs/>
          <w:kern w:val="0"/>
          <w:szCs w:val="24"/>
          <w14:ligatures w14:val="none"/>
        </w:rPr>
      </w:pPr>
      <w:r w:rsidRPr="003C6BC9">
        <w:rPr>
          <w:rFonts w:eastAsia="Times New Roman" w:cs="Times New Roman"/>
          <w:b/>
          <w:bCs/>
          <w:kern w:val="0"/>
          <w:szCs w:val="24"/>
          <w14:ligatures w14:val="none"/>
        </w:rPr>
        <w:t xml:space="preserve">AI GEMINI </w:t>
      </w:r>
      <w:r w:rsidR="00014EB8" w:rsidRPr="003C6BC9">
        <w:rPr>
          <w:rFonts w:eastAsia="Times New Roman" w:cs="Times New Roman"/>
          <w:b/>
          <w:bCs/>
          <w:kern w:val="0"/>
          <w:szCs w:val="24"/>
          <w14:ligatures w14:val="none"/>
        </w:rPr>
        <w:t xml:space="preserve">RESPONSES </w:t>
      </w:r>
      <w:r w:rsidRPr="003C6BC9">
        <w:rPr>
          <w:rFonts w:eastAsia="Times New Roman" w:cs="Times New Roman"/>
          <w:b/>
          <w:bCs/>
          <w:kern w:val="0"/>
          <w:szCs w:val="24"/>
          <w14:ligatures w14:val="none"/>
        </w:rPr>
        <w:t>TO QUESTIONS ABOUT WHITAKER &amp; DANIELS</w:t>
      </w:r>
    </w:p>
    <w:p w14:paraId="0E09DDA4" w14:textId="27333702"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91D7D">
        <w:rPr>
          <w:rFonts w:eastAsia="Times New Roman" w:cs="Times New Roman"/>
          <w:kern w:val="0"/>
          <w:szCs w:val="24"/>
          <w:highlight w:val="yellow"/>
          <w14:ligatures w14:val="none"/>
        </w:rPr>
        <w:t xml:space="preserve">The </w:t>
      </w:r>
      <w:r w:rsidRPr="00491D7D">
        <w:rPr>
          <w:rFonts w:eastAsia="Times New Roman" w:cs="Times New Roman"/>
          <w:b/>
          <w:bCs/>
          <w:kern w:val="0"/>
          <w:szCs w:val="24"/>
          <w:highlight w:val="yellow"/>
          <w14:ligatures w14:val="none"/>
        </w:rPr>
        <w:t>product line exception</w:t>
      </w:r>
      <w:r w:rsidRPr="00491D7D">
        <w:rPr>
          <w:rFonts w:eastAsia="Times New Roman" w:cs="Times New Roman"/>
          <w:kern w:val="0"/>
          <w:szCs w:val="24"/>
          <w:highlight w:val="yellow"/>
          <w14:ligatures w14:val="none"/>
        </w:rPr>
        <w:t xml:space="preserve"> is an equitable doctrine in corporate tort law, and its interplay with </w:t>
      </w:r>
      <w:r w:rsidRPr="00491D7D">
        <w:rPr>
          <w:rFonts w:eastAsia="Times New Roman" w:cs="Times New Roman"/>
          <w:b/>
          <w:bCs/>
          <w:kern w:val="0"/>
          <w:szCs w:val="24"/>
          <w:highlight w:val="yellow"/>
          <w14:ligatures w14:val="none"/>
        </w:rPr>
        <w:t>federal bankruptcy law</w:t>
      </w:r>
      <w:r w:rsidRPr="00491D7D">
        <w:rPr>
          <w:rFonts w:eastAsia="Times New Roman" w:cs="Times New Roman"/>
          <w:kern w:val="0"/>
          <w:szCs w:val="24"/>
          <w:highlight w:val="yellow"/>
          <w14:ligatures w14:val="none"/>
        </w:rPr>
        <w:t xml:space="preserve"> sits at the intersection of state-level tort remedies and federal debtor protections.</w:t>
      </w:r>
    </w:p>
    <w:p w14:paraId="2B888B56" w14:textId="77777777" w:rsidR="00410309" w:rsidRPr="00410309" w:rsidRDefault="00000000" w:rsidP="00410309">
      <w:pPr>
        <w:spacing w:before="100" w:beforeAutospacing="1" w:after="100" w:afterAutospacing="1" w:line="240" w:lineRule="auto"/>
        <w:rPr>
          <w:rFonts w:eastAsia="Times New Roman" w:cs="Times New Roman"/>
          <w:kern w:val="0"/>
          <w:szCs w:val="24"/>
          <w14:ligatures w14:val="none"/>
        </w:rPr>
      </w:pPr>
      <w:r>
        <w:rPr>
          <w:rFonts w:eastAsia="Times New Roman" w:cs="Times New Roman"/>
          <w:kern w:val="0"/>
          <w:szCs w:val="24"/>
          <w14:ligatures w14:val="none"/>
        </w:rPr>
        <w:pict w14:anchorId="054BB3C2">
          <v:rect id="_x0000_i1025" style="width:0;height:1.5pt" o:hralign="center" o:hrstd="t" o:hr="t" fillcolor="#a0a0a0" stroked="f"/>
        </w:pict>
      </w:r>
    </w:p>
    <w:p w14:paraId="305622E8" w14:textId="77777777" w:rsidR="00410309" w:rsidRPr="00410309" w:rsidRDefault="00410309" w:rsidP="00410309">
      <w:pPr>
        <w:spacing w:before="100" w:beforeAutospacing="1" w:after="100" w:afterAutospacing="1" w:line="240" w:lineRule="auto"/>
        <w:rPr>
          <w:rFonts w:eastAsia="Times New Roman" w:cs="Times New Roman"/>
          <w:b/>
          <w:bCs/>
          <w:kern w:val="0"/>
          <w:szCs w:val="24"/>
          <w14:ligatures w14:val="none"/>
        </w:rPr>
      </w:pPr>
      <w:r w:rsidRPr="00410309">
        <w:rPr>
          <w:rFonts w:eastAsia="Times New Roman" w:cs="Times New Roman"/>
          <w:b/>
          <w:bCs/>
          <w:kern w:val="0"/>
          <w:szCs w:val="24"/>
          <w14:ligatures w14:val="none"/>
        </w:rPr>
        <w:t>1. What is the Product Line Exception?</w:t>
      </w:r>
    </w:p>
    <w:p w14:paraId="7385EEC0"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91D7D">
        <w:rPr>
          <w:rFonts w:eastAsia="Times New Roman" w:cs="Times New Roman"/>
          <w:kern w:val="0"/>
          <w:szCs w:val="24"/>
          <w:highlight w:val="yellow"/>
          <w14:ligatures w14:val="none"/>
        </w:rPr>
        <w:t xml:space="preserve">Under general state corporate law, a company that merely buys the assets of another company is </w:t>
      </w:r>
      <w:r w:rsidRPr="00491D7D">
        <w:rPr>
          <w:rFonts w:eastAsia="Times New Roman" w:cs="Times New Roman"/>
          <w:b/>
          <w:bCs/>
          <w:kern w:val="0"/>
          <w:szCs w:val="24"/>
          <w:highlight w:val="yellow"/>
          <w14:ligatures w14:val="none"/>
        </w:rPr>
        <w:t>not</w:t>
      </w:r>
      <w:r w:rsidRPr="00491D7D">
        <w:rPr>
          <w:rFonts w:eastAsia="Times New Roman" w:cs="Times New Roman"/>
          <w:kern w:val="0"/>
          <w:szCs w:val="24"/>
          <w:highlight w:val="yellow"/>
          <w14:ligatures w14:val="none"/>
        </w:rPr>
        <w:t xml:space="preserve"> responsible for the predecessor’s debts or liabilities (the general rule of successor non-liability).</w:t>
      </w:r>
    </w:p>
    <w:p w14:paraId="74253F19"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 xml:space="preserve">The </w:t>
      </w:r>
      <w:r w:rsidRPr="00410309">
        <w:rPr>
          <w:rFonts w:eastAsia="Times New Roman" w:cs="Times New Roman"/>
          <w:b/>
          <w:bCs/>
          <w:kern w:val="0"/>
          <w:szCs w:val="24"/>
          <w14:ligatures w14:val="none"/>
        </w:rPr>
        <w:t>product line exception</w:t>
      </w:r>
      <w:r w:rsidRPr="00410309">
        <w:rPr>
          <w:rFonts w:eastAsia="Times New Roman" w:cs="Times New Roman"/>
          <w:kern w:val="0"/>
          <w:szCs w:val="24"/>
          <w14:ligatures w14:val="none"/>
        </w:rPr>
        <w:t xml:space="preserve">—first created by the California Supreme Court in </w:t>
      </w:r>
      <w:r w:rsidRPr="00410309">
        <w:rPr>
          <w:rFonts w:eastAsia="Times New Roman" w:cs="Times New Roman"/>
          <w:i/>
          <w:iCs/>
          <w:kern w:val="0"/>
          <w:szCs w:val="24"/>
          <w14:ligatures w14:val="none"/>
        </w:rPr>
        <w:t>Ray v. Alad Corp.</w:t>
      </w:r>
      <w:r w:rsidRPr="00410309">
        <w:rPr>
          <w:rFonts w:eastAsia="Times New Roman" w:cs="Times New Roman"/>
          <w:kern w:val="0"/>
          <w:szCs w:val="24"/>
          <w14:ligatures w14:val="none"/>
        </w:rPr>
        <w:t xml:space="preserve"> (1977)—</w:t>
      </w:r>
      <w:r w:rsidRPr="00491D7D">
        <w:rPr>
          <w:rFonts w:eastAsia="Times New Roman" w:cs="Times New Roman"/>
          <w:kern w:val="0"/>
          <w:szCs w:val="24"/>
          <w:highlight w:val="yellow"/>
          <w14:ligatures w14:val="none"/>
        </w:rPr>
        <w:t>is a narrow state-law exception followed by a minority of jurisdictions (e.g., California, New Jersey, Pennsylvania, New Mexico).</w:t>
      </w:r>
      <w:r w:rsidRPr="00410309">
        <w:rPr>
          <w:rFonts w:eastAsia="Times New Roman" w:cs="Times New Roman"/>
          <w:kern w:val="0"/>
          <w:szCs w:val="24"/>
          <w14:ligatures w14:val="none"/>
        </w:rPr>
        <w:t xml:space="preserve"> Under this theory, a buyer who acquires a manufacturing business and continues producing the same line of products assumes strict liability for injuries caused by defective units made by the </w:t>
      </w:r>
      <w:r w:rsidRPr="00410309">
        <w:rPr>
          <w:rFonts w:eastAsia="Times New Roman" w:cs="Times New Roman"/>
          <w:i/>
          <w:iCs/>
          <w:kern w:val="0"/>
          <w:szCs w:val="24"/>
          <w14:ligatures w14:val="none"/>
        </w:rPr>
        <w:t>predecessor</w:t>
      </w:r>
      <w:r w:rsidRPr="00410309">
        <w:rPr>
          <w:rFonts w:eastAsia="Times New Roman" w:cs="Times New Roman"/>
          <w:kern w:val="0"/>
          <w:szCs w:val="24"/>
          <w14:ligatures w14:val="none"/>
        </w:rPr>
        <w:t xml:space="preserve"> if:</w:t>
      </w:r>
    </w:p>
    <w:p w14:paraId="53F28BF4" w14:textId="77777777" w:rsidR="00410309" w:rsidRPr="00410309" w:rsidRDefault="00410309" w:rsidP="00410309">
      <w:pPr>
        <w:numPr>
          <w:ilvl w:val="0"/>
          <w:numId w:val="3"/>
        </w:num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The transaction virtually destroyed the plaintiff's remedies against the original manufacturer (usually because the seller dissolved).</w:t>
      </w:r>
    </w:p>
    <w:p w14:paraId="1AF002CF" w14:textId="77777777" w:rsidR="00410309" w:rsidRPr="00410309" w:rsidRDefault="00410309" w:rsidP="00410309">
      <w:pPr>
        <w:numPr>
          <w:ilvl w:val="0"/>
          <w:numId w:val="3"/>
        </w:num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The buyer has the capacity to estimate and spread the risk/cost of injury.</w:t>
      </w:r>
    </w:p>
    <w:p w14:paraId="04A879A6" w14:textId="77777777" w:rsidR="00410309" w:rsidRPr="00410309" w:rsidRDefault="00410309" w:rsidP="00410309">
      <w:pPr>
        <w:numPr>
          <w:ilvl w:val="0"/>
          <w:numId w:val="3"/>
        </w:num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The buyer enjoys the goodwill built up by the predecessor's product line.</w:t>
      </w:r>
    </w:p>
    <w:p w14:paraId="4E4F7C7E" w14:textId="77777777" w:rsidR="00410309" w:rsidRPr="00410309" w:rsidRDefault="00000000" w:rsidP="00410309">
      <w:pPr>
        <w:spacing w:before="100" w:beforeAutospacing="1" w:after="100" w:afterAutospacing="1" w:line="240" w:lineRule="auto"/>
        <w:rPr>
          <w:rFonts w:eastAsia="Times New Roman" w:cs="Times New Roman"/>
          <w:kern w:val="0"/>
          <w:szCs w:val="24"/>
          <w14:ligatures w14:val="none"/>
        </w:rPr>
      </w:pPr>
      <w:r>
        <w:rPr>
          <w:rFonts w:eastAsia="Times New Roman" w:cs="Times New Roman"/>
          <w:kern w:val="0"/>
          <w:szCs w:val="24"/>
          <w14:ligatures w14:val="none"/>
        </w:rPr>
        <w:pict w14:anchorId="443BC6A9">
          <v:rect id="_x0000_i1026" style="width:0;height:1.5pt" o:hralign="center" o:hrstd="t" o:hr="t" fillcolor="#a0a0a0" stroked="f"/>
        </w:pict>
      </w:r>
    </w:p>
    <w:p w14:paraId="5A67C789" w14:textId="77777777" w:rsidR="00410309" w:rsidRPr="00410309" w:rsidRDefault="00410309" w:rsidP="00410309">
      <w:pPr>
        <w:spacing w:before="100" w:beforeAutospacing="1" w:after="100" w:afterAutospacing="1" w:line="240" w:lineRule="auto"/>
        <w:rPr>
          <w:rFonts w:eastAsia="Times New Roman" w:cs="Times New Roman"/>
          <w:b/>
          <w:bCs/>
          <w:kern w:val="0"/>
          <w:szCs w:val="24"/>
          <w14:ligatures w14:val="none"/>
        </w:rPr>
      </w:pPr>
      <w:r w:rsidRPr="00410309">
        <w:rPr>
          <w:rFonts w:eastAsia="Times New Roman" w:cs="Times New Roman"/>
          <w:b/>
          <w:bCs/>
          <w:kern w:val="0"/>
          <w:szCs w:val="24"/>
          <w14:ligatures w14:val="none"/>
        </w:rPr>
        <w:t xml:space="preserve">2. How it </w:t>
      </w:r>
      <w:proofErr w:type="gramStart"/>
      <w:r w:rsidRPr="00410309">
        <w:rPr>
          <w:rFonts w:eastAsia="Times New Roman" w:cs="Times New Roman"/>
          <w:b/>
          <w:bCs/>
          <w:kern w:val="0"/>
          <w:szCs w:val="24"/>
          <w14:ligatures w14:val="none"/>
        </w:rPr>
        <w:t>Intersects with</w:t>
      </w:r>
      <w:proofErr w:type="gramEnd"/>
      <w:r w:rsidRPr="00410309">
        <w:rPr>
          <w:rFonts w:eastAsia="Times New Roman" w:cs="Times New Roman"/>
          <w:b/>
          <w:bCs/>
          <w:kern w:val="0"/>
          <w:szCs w:val="24"/>
          <w14:ligatures w14:val="none"/>
        </w:rPr>
        <w:t xml:space="preserve"> Bankruptcy Law</w:t>
      </w:r>
    </w:p>
    <w:p w14:paraId="5A5EC3D6"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 xml:space="preserve">When a distressed company enters bankruptcy (or has sold its assets prior to bankruptcy), plaintiffs often attempt to invoke the product line exception to sue the buyer for pre-bankruptcy </w:t>
      </w:r>
      <w:r w:rsidRPr="00491D7D">
        <w:rPr>
          <w:rFonts w:eastAsia="Times New Roman" w:cs="Times New Roman"/>
          <w:kern w:val="0"/>
          <w:szCs w:val="24"/>
          <w:highlight w:val="yellow"/>
          <w14:ligatures w14:val="none"/>
        </w:rPr>
        <w:t>torts (such as asbestos, toxic tort</w:t>
      </w:r>
      <w:r w:rsidRPr="00410309">
        <w:rPr>
          <w:rFonts w:eastAsia="Times New Roman" w:cs="Times New Roman"/>
          <w:kern w:val="0"/>
          <w:szCs w:val="24"/>
          <w14:ligatures w14:val="none"/>
        </w:rPr>
        <w:t>, or defective machinery claims).</w:t>
      </w:r>
    </w:p>
    <w:p w14:paraId="008BC642"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 xml:space="preserve">However, two major mechanisms under the Bankruptcy Code generally </w:t>
      </w:r>
      <w:r w:rsidRPr="00410309">
        <w:rPr>
          <w:rFonts w:eastAsia="Times New Roman" w:cs="Times New Roman"/>
          <w:b/>
          <w:bCs/>
          <w:kern w:val="0"/>
          <w:szCs w:val="24"/>
          <w14:ligatures w14:val="none"/>
        </w:rPr>
        <w:t>block or channel</w:t>
      </w:r>
      <w:r w:rsidRPr="00410309">
        <w:rPr>
          <w:rFonts w:eastAsia="Times New Roman" w:cs="Times New Roman"/>
          <w:kern w:val="0"/>
          <w:szCs w:val="24"/>
          <w14:ligatures w14:val="none"/>
        </w:rPr>
        <w:t xml:space="preserve"> these product-line successor liability claims:</w:t>
      </w:r>
    </w:p>
    <w:p w14:paraId="0D417978" w14:textId="77777777" w:rsidR="00410309" w:rsidRPr="00410309" w:rsidRDefault="00410309" w:rsidP="00410309">
      <w:pPr>
        <w:spacing w:before="100" w:beforeAutospacing="1" w:after="100" w:afterAutospacing="1" w:line="240" w:lineRule="auto"/>
        <w:rPr>
          <w:rFonts w:eastAsia="Times New Roman" w:cs="Times New Roman"/>
          <w:b/>
          <w:bCs/>
          <w:kern w:val="0"/>
          <w:szCs w:val="24"/>
          <w14:ligatures w14:val="none"/>
        </w:rPr>
      </w:pPr>
      <w:r w:rsidRPr="00410309">
        <w:rPr>
          <w:rFonts w:eastAsia="Times New Roman" w:cs="Times New Roman"/>
          <w:b/>
          <w:bCs/>
          <w:kern w:val="0"/>
          <w:szCs w:val="24"/>
          <w14:ligatures w14:val="none"/>
        </w:rPr>
        <w:lastRenderedPageBreak/>
        <w:t>A. Section 363(f) "Free and Clear" Sales</w:t>
      </w:r>
    </w:p>
    <w:p w14:paraId="23DD9982"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 xml:space="preserve">When assets are sold </w:t>
      </w:r>
      <w:r w:rsidRPr="00410309">
        <w:rPr>
          <w:rFonts w:eastAsia="Times New Roman" w:cs="Times New Roman"/>
          <w:i/>
          <w:iCs/>
          <w:kern w:val="0"/>
          <w:szCs w:val="24"/>
          <w14:ligatures w14:val="none"/>
        </w:rPr>
        <w:t>inside</w:t>
      </w:r>
      <w:r w:rsidRPr="00410309">
        <w:rPr>
          <w:rFonts w:eastAsia="Times New Roman" w:cs="Times New Roman"/>
          <w:kern w:val="0"/>
          <w:szCs w:val="24"/>
          <w14:ligatures w14:val="none"/>
        </w:rPr>
        <w:t xml:space="preserve"> a bankruptcy case pursuant to 11 U.S.C. § 363(f), courts typically allow the buyer to take the assets </w:t>
      </w:r>
      <w:r w:rsidRPr="00410309">
        <w:rPr>
          <w:rFonts w:eastAsia="Times New Roman" w:cs="Times New Roman"/>
          <w:b/>
          <w:bCs/>
          <w:kern w:val="0"/>
          <w:szCs w:val="24"/>
          <w14:ligatures w14:val="none"/>
        </w:rPr>
        <w:t>"free and clear of any interest in such property."</w:t>
      </w:r>
    </w:p>
    <w:p w14:paraId="0756D5F3" w14:textId="77777777" w:rsidR="00410309" w:rsidRPr="00410309" w:rsidRDefault="00410309" w:rsidP="00410309">
      <w:pPr>
        <w:numPr>
          <w:ilvl w:val="0"/>
          <w:numId w:val="4"/>
        </w:num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t>The "Interest" Rule:</w:t>
      </w:r>
      <w:r w:rsidRPr="00410309">
        <w:rPr>
          <w:rFonts w:eastAsia="Times New Roman" w:cs="Times New Roman"/>
          <w:kern w:val="0"/>
          <w:szCs w:val="24"/>
          <w14:ligatures w14:val="none"/>
        </w:rPr>
        <w:t xml:space="preserve"> Most federal courts interpret "interest" broadly to include unliquidated, contingent, or future tort claims.</w:t>
      </w:r>
    </w:p>
    <w:p w14:paraId="295A9293" w14:textId="77777777" w:rsidR="00410309" w:rsidRPr="00410309" w:rsidRDefault="00410309" w:rsidP="00410309">
      <w:pPr>
        <w:numPr>
          <w:ilvl w:val="0"/>
          <w:numId w:val="4"/>
        </w:num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t>The Result:</w:t>
      </w:r>
      <w:r w:rsidRPr="00410309">
        <w:rPr>
          <w:rFonts w:eastAsia="Times New Roman" w:cs="Times New Roman"/>
          <w:kern w:val="0"/>
          <w:szCs w:val="24"/>
          <w14:ligatures w14:val="none"/>
        </w:rPr>
        <w:t xml:space="preserve"> The Bankruptcy Court's sale order enjoins plaintiffs from suing the asset purchaser under </w:t>
      </w:r>
      <w:proofErr w:type="gramStart"/>
      <w:r w:rsidRPr="00410309">
        <w:rPr>
          <w:rFonts w:eastAsia="Times New Roman" w:cs="Times New Roman"/>
          <w:kern w:val="0"/>
          <w:szCs w:val="24"/>
          <w14:ligatures w14:val="none"/>
        </w:rPr>
        <w:t>product-line</w:t>
      </w:r>
      <w:proofErr w:type="gramEnd"/>
      <w:r w:rsidRPr="00410309">
        <w:rPr>
          <w:rFonts w:eastAsia="Times New Roman" w:cs="Times New Roman"/>
          <w:kern w:val="0"/>
          <w:szCs w:val="24"/>
          <w14:ligatures w14:val="none"/>
        </w:rPr>
        <w:t xml:space="preserve"> or other successor liability theories. The claims are "cleansed," and the buyer takes the business without the legacy liability attaching.</w:t>
      </w:r>
    </w:p>
    <w:p w14:paraId="12B5D195" w14:textId="77777777" w:rsidR="00410309" w:rsidRPr="00410309" w:rsidRDefault="00410309" w:rsidP="00410309">
      <w:pPr>
        <w:spacing w:before="100" w:beforeAutospacing="1" w:after="100" w:afterAutospacing="1" w:line="240" w:lineRule="auto"/>
        <w:rPr>
          <w:rFonts w:eastAsia="Times New Roman" w:cs="Times New Roman"/>
          <w:b/>
          <w:bCs/>
          <w:kern w:val="0"/>
          <w:szCs w:val="24"/>
          <w14:ligatures w14:val="none"/>
        </w:rPr>
      </w:pPr>
      <w:r w:rsidRPr="00410309">
        <w:rPr>
          <w:rFonts w:eastAsia="Times New Roman" w:cs="Times New Roman"/>
          <w:b/>
          <w:bCs/>
          <w:kern w:val="0"/>
          <w:szCs w:val="24"/>
          <w14:ligatures w14:val="none"/>
        </w:rPr>
        <w:t xml:space="preserve">B. </w:t>
      </w:r>
      <w:r w:rsidRPr="00491D7D">
        <w:rPr>
          <w:rFonts w:eastAsia="Times New Roman" w:cs="Times New Roman"/>
          <w:b/>
          <w:bCs/>
          <w:kern w:val="0"/>
          <w:szCs w:val="24"/>
          <w:highlight w:val="yellow"/>
          <w14:ligatures w14:val="none"/>
        </w:rPr>
        <w:t>Estate Property &amp; Channeling Injunctions (</w:t>
      </w:r>
      <w:r w:rsidRPr="00491D7D">
        <w:rPr>
          <w:rFonts w:eastAsia="Times New Roman" w:cs="Times New Roman"/>
          <w:b/>
          <w:bCs/>
          <w:i/>
          <w:iCs/>
          <w:kern w:val="0"/>
          <w:szCs w:val="24"/>
          <w:highlight w:val="yellow"/>
          <w14:ligatures w14:val="none"/>
        </w:rPr>
        <w:t>In re Whittaker Clark &amp; Daniels</w:t>
      </w:r>
      <w:r w:rsidRPr="00491D7D">
        <w:rPr>
          <w:rFonts w:eastAsia="Times New Roman" w:cs="Times New Roman"/>
          <w:b/>
          <w:bCs/>
          <w:kern w:val="0"/>
          <w:szCs w:val="24"/>
          <w:highlight w:val="yellow"/>
          <w14:ligatures w14:val="none"/>
        </w:rPr>
        <w:t>)</w:t>
      </w:r>
    </w:p>
    <w:p w14:paraId="6435F77D"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 xml:space="preserve">Even if the asset sale occurred </w:t>
      </w:r>
      <w:r w:rsidRPr="00410309">
        <w:rPr>
          <w:rFonts w:eastAsia="Times New Roman" w:cs="Times New Roman"/>
          <w:i/>
          <w:iCs/>
          <w:kern w:val="0"/>
          <w:szCs w:val="24"/>
          <w14:ligatures w14:val="none"/>
        </w:rPr>
        <w:t>before</w:t>
      </w:r>
      <w:r w:rsidRPr="00410309">
        <w:rPr>
          <w:rFonts w:eastAsia="Times New Roman" w:cs="Times New Roman"/>
          <w:kern w:val="0"/>
          <w:szCs w:val="24"/>
          <w14:ligatures w14:val="none"/>
        </w:rPr>
        <w:t xml:space="preserve"> bankruptcy or outside a Section 363 order, federal bankruptcy law places significant hurdles in front of individual tort plaintiffs:</w:t>
      </w:r>
    </w:p>
    <w:p w14:paraId="05645B01" w14:textId="77777777" w:rsidR="00410309" w:rsidRPr="00491D7D" w:rsidRDefault="00410309" w:rsidP="00410309">
      <w:pPr>
        <w:numPr>
          <w:ilvl w:val="0"/>
          <w:numId w:val="5"/>
        </w:numPr>
        <w:spacing w:before="100" w:beforeAutospacing="1" w:after="100" w:afterAutospacing="1" w:line="240" w:lineRule="auto"/>
        <w:rPr>
          <w:rFonts w:eastAsia="Times New Roman" w:cs="Times New Roman"/>
          <w:kern w:val="0"/>
          <w:szCs w:val="24"/>
          <w:highlight w:val="yellow"/>
          <w14:ligatures w14:val="none"/>
        </w:rPr>
      </w:pPr>
      <w:r w:rsidRPr="00410309">
        <w:rPr>
          <w:rFonts w:eastAsia="Times New Roman" w:cs="Times New Roman"/>
          <w:b/>
          <w:bCs/>
          <w:kern w:val="0"/>
          <w:szCs w:val="24"/>
          <w14:ligatures w14:val="none"/>
        </w:rPr>
        <w:t>Property of the Estate:</w:t>
      </w:r>
      <w:r w:rsidRPr="00410309">
        <w:rPr>
          <w:rFonts w:eastAsia="Times New Roman" w:cs="Times New Roman"/>
          <w:kern w:val="0"/>
          <w:szCs w:val="24"/>
          <w14:ligatures w14:val="none"/>
        </w:rPr>
        <w:t xml:space="preserve"> </w:t>
      </w:r>
      <w:r w:rsidRPr="00491D7D">
        <w:rPr>
          <w:rFonts w:eastAsia="Times New Roman" w:cs="Times New Roman"/>
          <w:kern w:val="0"/>
          <w:szCs w:val="24"/>
          <w:highlight w:val="yellow"/>
          <w14:ligatures w14:val="none"/>
        </w:rPr>
        <w:t xml:space="preserve">Circuit courts (most notably the Third Circuit Court of Appeals in </w:t>
      </w:r>
      <w:hyperlink r:id="rId8" w:tgtFrame="_blank" w:history="1">
        <w:r w:rsidRPr="00491D7D">
          <w:rPr>
            <w:rStyle w:val="Hyperlink"/>
            <w:rFonts w:eastAsia="Times New Roman" w:cs="Times New Roman"/>
            <w:i/>
            <w:iCs/>
            <w:kern w:val="0"/>
            <w:szCs w:val="24"/>
            <w:highlight w:val="yellow"/>
            <w14:ligatures w14:val="none"/>
          </w:rPr>
          <w:t>In re Whittaker, Clark &amp; Daniels Inc.</w:t>
        </w:r>
      </w:hyperlink>
      <w:r w:rsidRPr="00491D7D">
        <w:rPr>
          <w:rFonts w:eastAsia="Times New Roman" w:cs="Times New Roman"/>
          <w:kern w:val="0"/>
          <w:szCs w:val="24"/>
          <w:highlight w:val="yellow"/>
          <w14:ligatures w14:val="none"/>
        </w:rPr>
        <w:t xml:space="preserve">) have established that product-line successor liability claims are </w:t>
      </w:r>
      <w:r w:rsidRPr="00491D7D">
        <w:rPr>
          <w:rFonts w:eastAsia="Times New Roman" w:cs="Times New Roman"/>
          <w:b/>
          <w:bCs/>
          <w:kern w:val="0"/>
          <w:szCs w:val="24"/>
          <w:highlight w:val="yellow"/>
          <w14:ligatures w14:val="none"/>
        </w:rPr>
        <w:t>generalized, derivative injuries</w:t>
      </w:r>
      <w:r w:rsidRPr="00491D7D">
        <w:rPr>
          <w:rFonts w:eastAsia="Times New Roman" w:cs="Times New Roman"/>
          <w:kern w:val="0"/>
          <w:szCs w:val="24"/>
          <w:highlight w:val="yellow"/>
          <w14:ligatures w14:val="none"/>
        </w:rPr>
        <w:t xml:space="preserve"> that belong to the debtor's bankruptcy estate, rather than direct, personal claims belonging exclusively to individual plaintiffs.</w:t>
      </w:r>
    </w:p>
    <w:p w14:paraId="7603F666" w14:textId="77777777" w:rsidR="00410309" w:rsidRPr="00410309" w:rsidRDefault="00410309" w:rsidP="00410309">
      <w:pPr>
        <w:numPr>
          <w:ilvl w:val="0"/>
          <w:numId w:val="5"/>
        </w:num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t>Centralized Administration:</w:t>
      </w:r>
      <w:r w:rsidRPr="00410309">
        <w:rPr>
          <w:rFonts w:eastAsia="Times New Roman" w:cs="Times New Roman"/>
          <w:kern w:val="0"/>
          <w:szCs w:val="24"/>
          <w14:ligatures w14:val="none"/>
        </w:rPr>
        <w:t xml:space="preserve"> Because the claim is property of the bankruptcy estate under Section 541, only the trustee or debtor-in-possession has standing to assert, settle, or release successor liability claims against the buyer.</w:t>
      </w:r>
    </w:p>
    <w:p w14:paraId="11109A5F" w14:textId="77777777" w:rsidR="00410309" w:rsidRPr="00410309" w:rsidRDefault="00410309" w:rsidP="00410309">
      <w:pPr>
        <w:numPr>
          <w:ilvl w:val="0"/>
          <w:numId w:val="5"/>
        </w:num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t>Channeling Injunctions / Trusts:</w:t>
      </w:r>
      <w:r w:rsidRPr="00410309">
        <w:rPr>
          <w:rFonts w:eastAsia="Times New Roman" w:cs="Times New Roman"/>
          <w:kern w:val="0"/>
          <w:szCs w:val="24"/>
          <w14:ligatures w14:val="none"/>
        </w:rPr>
        <w:t xml:space="preserve"> Instead of suing the buyer under state-law product line exceptions, injured claimants must seek recovery through a trust, settlement pool, or distribution created by the bankruptcy estate.</w:t>
      </w:r>
    </w:p>
    <w:p w14:paraId="44FEF6F8" w14:textId="77777777" w:rsidR="00410309" w:rsidRPr="00410309" w:rsidRDefault="00000000" w:rsidP="00410309">
      <w:pPr>
        <w:spacing w:before="100" w:beforeAutospacing="1" w:after="100" w:afterAutospacing="1" w:line="240" w:lineRule="auto"/>
        <w:rPr>
          <w:rFonts w:eastAsia="Times New Roman" w:cs="Times New Roman"/>
          <w:kern w:val="0"/>
          <w:szCs w:val="24"/>
          <w14:ligatures w14:val="none"/>
        </w:rPr>
      </w:pPr>
      <w:r>
        <w:rPr>
          <w:rFonts w:eastAsia="Times New Roman" w:cs="Times New Roman"/>
          <w:kern w:val="0"/>
          <w:szCs w:val="24"/>
          <w14:ligatures w14:val="none"/>
        </w:rPr>
        <w:pict w14:anchorId="4441092D">
          <v:rect id="_x0000_i1027" style="width:0;height:1.5pt" o:hralign="center" o:hrstd="t" o:hr="t" fillcolor="#a0a0a0" stroked="f"/>
        </w:pict>
      </w:r>
    </w:p>
    <w:p w14:paraId="04555460" w14:textId="77777777" w:rsidR="00410309" w:rsidRPr="00410309" w:rsidRDefault="00410309" w:rsidP="00410309">
      <w:pPr>
        <w:spacing w:before="100" w:beforeAutospacing="1" w:after="100" w:afterAutospacing="1" w:line="240" w:lineRule="auto"/>
        <w:rPr>
          <w:rFonts w:eastAsia="Times New Roman" w:cs="Times New Roman"/>
          <w:b/>
          <w:bCs/>
          <w:kern w:val="0"/>
          <w:szCs w:val="24"/>
          <w14:ligatures w14:val="none"/>
        </w:rPr>
      </w:pPr>
      <w:r w:rsidRPr="00410309">
        <w:rPr>
          <w:rFonts w:eastAsia="Times New Roman" w:cs="Times New Roman"/>
          <w:b/>
          <w:bCs/>
          <w:kern w:val="0"/>
          <w:szCs w:val="24"/>
          <w14:ligatures w14:val="none"/>
        </w:rPr>
        <w:t>Summary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13"/>
        <w:gridCol w:w="3842"/>
        <w:gridCol w:w="3589"/>
      </w:tblGrid>
      <w:tr w:rsidR="00410309" w:rsidRPr="00410309" w14:paraId="72182607"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9296E7"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t>Legal Issue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B40652"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t>Traditional State Tort Law</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632891"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t>Federal Bankruptcy Law Treatment</w:t>
            </w:r>
          </w:p>
        </w:tc>
      </w:tr>
      <w:tr w:rsidR="00410309" w:rsidRPr="00410309" w14:paraId="640DF43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77D534"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t>Asset Buyer Liability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3AECB4"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Liable if continuing the product line and predecessor dissolved (in minority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9793CD"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Protected if purchased via a Section 363 "free and clear" sale order.</w:t>
            </w:r>
          </w:p>
        </w:tc>
      </w:tr>
      <w:tr w:rsidR="00410309" w:rsidRPr="00410309" w14:paraId="7E52D3E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5ECC88"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t>Claim Ownership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D93C1E"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Belongs to individual tort victims.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E44C61"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Deemed property of the bankruptcy estate; individual suits enjoined.</w:t>
            </w:r>
          </w:p>
        </w:tc>
      </w:tr>
      <w:tr w:rsidR="00410309" w:rsidRPr="00410309" w14:paraId="65DFD94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98BE6E"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lastRenderedPageBreak/>
              <w:t>Plaintiff Remedy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CE56B4"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Sue the asset purchaser directly.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E121F0"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File a proof of claim or seek distribution from the bankruptcy estate/trust.</w:t>
            </w:r>
          </w:p>
        </w:tc>
      </w:tr>
    </w:tbl>
    <w:p w14:paraId="1D682D34"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 xml:space="preserve">In </w:t>
      </w:r>
      <w:r w:rsidRPr="00410309">
        <w:rPr>
          <w:rFonts w:eastAsia="Times New Roman" w:cs="Times New Roman"/>
          <w:b/>
          <w:bCs/>
          <w:i/>
          <w:iCs/>
          <w:kern w:val="0"/>
          <w:szCs w:val="24"/>
          <w14:ligatures w14:val="none"/>
        </w:rPr>
        <w:t>In re Whittaker, Clark &amp; Daniels, Inc.</w:t>
      </w:r>
      <w:r w:rsidRPr="00410309">
        <w:rPr>
          <w:rFonts w:eastAsia="Times New Roman" w:cs="Times New Roman"/>
          <w:kern w:val="0"/>
          <w:szCs w:val="24"/>
          <w14:ligatures w14:val="none"/>
        </w:rPr>
        <w:t xml:space="preserve">, the underlying corporate asset </w:t>
      </w:r>
      <w:proofErr w:type="gramStart"/>
      <w:r w:rsidRPr="00410309">
        <w:rPr>
          <w:rFonts w:eastAsia="Times New Roman" w:cs="Times New Roman"/>
          <w:kern w:val="0"/>
          <w:szCs w:val="24"/>
          <w14:ligatures w14:val="none"/>
        </w:rPr>
        <w:t>sale was</w:t>
      </w:r>
      <w:proofErr w:type="gramEnd"/>
      <w:r w:rsidRPr="00410309">
        <w:rPr>
          <w:rFonts w:eastAsia="Times New Roman" w:cs="Times New Roman"/>
          <w:kern w:val="0"/>
          <w:szCs w:val="24"/>
          <w14:ligatures w14:val="none"/>
        </w:rPr>
        <w:t xml:space="preserve"> structured specifically so that the buyer (</w:t>
      </w:r>
      <w:r w:rsidRPr="00410309">
        <w:rPr>
          <w:rFonts w:eastAsia="Times New Roman" w:cs="Times New Roman"/>
          <w:b/>
          <w:bCs/>
          <w:kern w:val="0"/>
          <w:szCs w:val="24"/>
          <w14:ligatures w14:val="none"/>
        </w:rPr>
        <w:t>Brenntag</w:t>
      </w:r>
      <w:r w:rsidRPr="00410309">
        <w:rPr>
          <w:rFonts w:eastAsia="Times New Roman" w:cs="Times New Roman"/>
          <w:kern w:val="0"/>
          <w:szCs w:val="24"/>
          <w14:ligatures w14:val="none"/>
        </w:rPr>
        <w:t xml:space="preserve">) purchased the operating assets while leaving all existing and future asbestos liabilities behind with </w:t>
      </w:r>
      <w:r w:rsidRPr="00410309">
        <w:rPr>
          <w:rFonts w:eastAsia="Times New Roman" w:cs="Times New Roman"/>
          <w:b/>
          <w:bCs/>
          <w:kern w:val="0"/>
          <w:szCs w:val="24"/>
          <w14:ligatures w14:val="none"/>
        </w:rPr>
        <w:t>Whittaker</w:t>
      </w:r>
      <w:r w:rsidRPr="00410309">
        <w:rPr>
          <w:rFonts w:eastAsia="Times New Roman" w:cs="Times New Roman"/>
          <w:kern w:val="0"/>
          <w:szCs w:val="24"/>
          <w14:ligatures w14:val="none"/>
        </w:rPr>
        <w:t xml:space="preserve"> (which became a shell company backed by indemnity obligations).   </w:t>
      </w:r>
    </w:p>
    <w:p w14:paraId="409AE72D"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91D7D">
        <w:rPr>
          <w:rFonts w:eastAsia="Times New Roman" w:cs="Times New Roman"/>
          <w:kern w:val="0"/>
          <w:szCs w:val="24"/>
          <w:highlight w:val="yellow"/>
          <w14:ligatures w14:val="none"/>
        </w:rPr>
        <w:t xml:space="preserve">When Whittaker entered Chapter 11 bankruptcy, the </w:t>
      </w:r>
      <w:r w:rsidRPr="00491D7D">
        <w:rPr>
          <w:rFonts w:eastAsia="Times New Roman" w:cs="Times New Roman"/>
          <w:b/>
          <w:bCs/>
          <w:kern w:val="0"/>
          <w:szCs w:val="24"/>
          <w:highlight w:val="yellow"/>
          <w14:ligatures w14:val="none"/>
        </w:rPr>
        <w:t>Official Committee of Talc Claimants (the plaintiffs)</w:t>
      </w:r>
      <w:r w:rsidRPr="00491D7D">
        <w:rPr>
          <w:rFonts w:eastAsia="Times New Roman" w:cs="Times New Roman"/>
          <w:kern w:val="0"/>
          <w:szCs w:val="24"/>
          <w:highlight w:val="yellow"/>
          <w14:ligatures w14:val="none"/>
        </w:rPr>
        <w:t xml:space="preserve"> argued that Brenntag was nonetheless liable under the </w:t>
      </w:r>
      <w:r w:rsidRPr="00491D7D">
        <w:rPr>
          <w:rFonts w:eastAsia="Times New Roman" w:cs="Times New Roman"/>
          <w:b/>
          <w:bCs/>
          <w:kern w:val="0"/>
          <w:szCs w:val="24"/>
          <w:highlight w:val="yellow"/>
          <w14:ligatures w14:val="none"/>
        </w:rPr>
        <w:t>product-line exception</w:t>
      </w:r>
      <w:r w:rsidRPr="00491D7D">
        <w:rPr>
          <w:rFonts w:eastAsia="Times New Roman" w:cs="Times New Roman"/>
          <w:kern w:val="0"/>
          <w:szCs w:val="24"/>
          <w:highlight w:val="yellow"/>
          <w14:ligatures w14:val="none"/>
        </w:rPr>
        <w:t xml:space="preserve"> to successor liability.</w:t>
      </w:r>
      <w:r w:rsidRPr="00410309">
        <w:rPr>
          <w:rFonts w:eastAsia="Times New Roman" w:cs="Times New Roman"/>
          <w:kern w:val="0"/>
          <w:szCs w:val="24"/>
          <w14:ligatures w14:val="none"/>
        </w:rPr>
        <w:t xml:space="preserve">   </w:t>
      </w:r>
    </w:p>
    <w:p w14:paraId="11A38789"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Their main legal arguments were:</w:t>
      </w:r>
    </w:p>
    <w:p w14:paraId="4993529C" w14:textId="77777777" w:rsidR="00410309" w:rsidRPr="00410309" w:rsidRDefault="00000000" w:rsidP="00410309">
      <w:pPr>
        <w:spacing w:after="0" w:line="240" w:lineRule="auto"/>
        <w:rPr>
          <w:rFonts w:eastAsia="Times New Roman" w:cs="Times New Roman"/>
          <w:kern w:val="0"/>
          <w:szCs w:val="24"/>
          <w14:ligatures w14:val="none"/>
        </w:rPr>
      </w:pPr>
      <w:r>
        <w:rPr>
          <w:rFonts w:eastAsia="Times New Roman" w:cs="Times New Roman"/>
          <w:kern w:val="0"/>
          <w:szCs w:val="24"/>
          <w14:ligatures w14:val="none"/>
        </w:rPr>
        <w:pict w14:anchorId="452ADC63">
          <v:rect id="_x0000_i1028" style="width:0;height:1.5pt" o:hralign="center" o:hrstd="t" o:hr="t" fillcolor="#a0a0a0" stroked="f"/>
        </w:pict>
      </w:r>
    </w:p>
    <w:p w14:paraId="33D4FB39" w14:textId="77777777" w:rsidR="00410309" w:rsidRPr="00410309" w:rsidRDefault="00410309" w:rsidP="00410309">
      <w:pPr>
        <w:spacing w:before="100" w:beforeAutospacing="1" w:after="100" w:afterAutospacing="1" w:line="240" w:lineRule="auto"/>
        <w:outlineLvl w:val="1"/>
        <w:rPr>
          <w:rFonts w:eastAsia="Times New Roman" w:cs="Times New Roman"/>
          <w:b/>
          <w:bCs/>
          <w:kern w:val="0"/>
          <w:sz w:val="36"/>
          <w:szCs w:val="36"/>
          <w14:ligatures w14:val="none"/>
        </w:rPr>
      </w:pPr>
      <w:r w:rsidRPr="00410309">
        <w:rPr>
          <w:rFonts w:eastAsia="Times New Roman" w:cs="Times New Roman"/>
          <w:b/>
          <w:bCs/>
          <w:kern w:val="0"/>
          <w:sz w:val="36"/>
          <w:szCs w:val="36"/>
          <w14:ligatures w14:val="none"/>
        </w:rPr>
        <w:t>1. Contractual Liability Exclusions Cannot Bypass State Tort Policy</w:t>
      </w:r>
    </w:p>
    <w:p w14:paraId="0CB6774D" w14:textId="77777777" w:rsidR="00410309" w:rsidRPr="00410309" w:rsidRDefault="00410309" w:rsidP="00410309">
      <w:pPr>
        <w:numPr>
          <w:ilvl w:val="0"/>
          <w:numId w:val="1"/>
        </w:num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t>The Core Argument:</w:t>
      </w:r>
      <w:r w:rsidRPr="00410309">
        <w:rPr>
          <w:rFonts w:eastAsia="Times New Roman" w:cs="Times New Roman"/>
          <w:kern w:val="0"/>
          <w:szCs w:val="24"/>
          <w14:ligatures w14:val="none"/>
        </w:rPr>
        <w:t xml:space="preserve"> The plaintiffs argued that </w:t>
      </w:r>
      <w:r w:rsidRPr="00491D7D">
        <w:rPr>
          <w:rFonts w:eastAsia="Times New Roman" w:cs="Times New Roman"/>
          <w:kern w:val="0"/>
          <w:szCs w:val="24"/>
          <w:highlight w:val="yellow"/>
          <w14:ligatures w14:val="none"/>
        </w:rPr>
        <w:t>private contract terms</w:t>
      </w:r>
      <w:r w:rsidRPr="00410309">
        <w:rPr>
          <w:rFonts w:eastAsia="Times New Roman" w:cs="Times New Roman"/>
          <w:kern w:val="0"/>
          <w:szCs w:val="24"/>
          <w14:ligatures w14:val="none"/>
        </w:rPr>
        <w:t>—such as "free and clear" asset sales or explicit indemnity/liability-exclusion clauses where the seller purports to retain all asbestos claims—</w:t>
      </w:r>
      <w:r w:rsidRPr="00491D7D">
        <w:rPr>
          <w:rFonts w:eastAsia="Times New Roman" w:cs="Times New Roman"/>
          <w:kern w:val="0"/>
          <w:szCs w:val="24"/>
          <w:highlight w:val="yellow"/>
          <w14:ligatures w14:val="none"/>
        </w:rPr>
        <w:t>cannot override non-waivable state tort policy.</w:t>
      </w:r>
    </w:p>
    <w:p w14:paraId="4F0B8449" w14:textId="77777777" w:rsidR="00410309" w:rsidRPr="00491D7D" w:rsidRDefault="00410309" w:rsidP="00410309">
      <w:pPr>
        <w:numPr>
          <w:ilvl w:val="0"/>
          <w:numId w:val="1"/>
        </w:numPr>
        <w:spacing w:before="100" w:beforeAutospacing="1" w:after="100" w:afterAutospacing="1" w:line="240" w:lineRule="auto"/>
        <w:rPr>
          <w:rFonts w:eastAsia="Times New Roman" w:cs="Times New Roman"/>
          <w:kern w:val="0"/>
          <w:szCs w:val="24"/>
          <w:highlight w:val="yellow"/>
          <w14:ligatures w14:val="none"/>
        </w:rPr>
      </w:pPr>
      <w:r w:rsidRPr="00410309">
        <w:rPr>
          <w:rFonts w:eastAsia="Times New Roman" w:cs="Times New Roman"/>
          <w:b/>
          <w:bCs/>
          <w:kern w:val="0"/>
          <w:szCs w:val="24"/>
          <w14:ligatures w14:val="none"/>
        </w:rPr>
        <w:t>Destruction of Remedy:</w:t>
      </w:r>
      <w:r w:rsidRPr="00410309">
        <w:rPr>
          <w:rFonts w:eastAsia="Times New Roman" w:cs="Times New Roman"/>
          <w:kern w:val="0"/>
          <w:szCs w:val="24"/>
          <w14:ligatures w14:val="none"/>
        </w:rPr>
        <w:t xml:space="preserve"> Under the classic </w:t>
      </w:r>
      <w:r w:rsidRPr="00410309">
        <w:rPr>
          <w:rFonts w:eastAsia="Times New Roman" w:cs="Times New Roman"/>
          <w:i/>
          <w:iCs/>
          <w:kern w:val="0"/>
          <w:szCs w:val="24"/>
          <w14:ligatures w14:val="none"/>
        </w:rPr>
        <w:t>Ray v. Alad</w:t>
      </w:r>
      <w:r w:rsidRPr="00410309">
        <w:rPr>
          <w:rFonts w:eastAsia="Times New Roman" w:cs="Times New Roman"/>
          <w:kern w:val="0"/>
          <w:szCs w:val="24"/>
          <w14:ligatures w14:val="none"/>
        </w:rPr>
        <w:t xml:space="preserve"> product-line exception, strict liability attaches to an asset buyer when the </w:t>
      </w:r>
      <w:r w:rsidRPr="00491D7D">
        <w:rPr>
          <w:rFonts w:eastAsia="Times New Roman" w:cs="Times New Roman"/>
          <w:kern w:val="0"/>
          <w:szCs w:val="24"/>
          <w:highlight w:val="yellow"/>
          <w14:ligatures w14:val="none"/>
        </w:rPr>
        <w:t>acquisition transaction effectively destroys the injured plaintiffs' remedies against the original manufacturer (by stripping the original company of its productive assets and leaving it an insolvent shell unable to satisfy future claims).</w:t>
      </w:r>
    </w:p>
    <w:p w14:paraId="07DED105" w14:textId="77777777" w:rsidR="00410309" w:rsidRPr="00410309" w:rsidRDefault="00410309" w:rsidP="00410309">
      <w:pPr>
        <w:numPr>
          <w:ilvl w:val="0"/>
          <w:numId w:val="1"/>
        </w:num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t>Public Policy:</w:t>
      </w:r>
      <w:r w:rsidRPr="00410309">
        <w:rPr>
          <w:rFonts w:eastAsia="Times New Roman" w:cs="Times New Roman"/>
          <w:kern w:val="0"/>
          <w:szCs w:val="24"/>
          <w14:ligatures w14:val="none"/>
        </w:rPr>
        <w:t xml:space="preserve"> The plaintiffs asserted that letting corporations evade tort liability simply by inserting an "asbestos exclusion clause" into an asset purchase agreement would allow corporate buyers to enjoy the goodwill and revenue of an acquired product line while dumping the toxic liabilities onto a shell company, frustrating the equitable purpose of the product-line exception.</w:t>
      </w:r>
    </w:p>
    <w:p w14:paraId="0A0560E5" w14:textId="77777777" w:rsidR="00410309" w:rsidRPr="00410309" w:rsidRDefault="00000000" w:rsidP="00410309">
      <w:pPr>
        <w:spacing w:after="0" w:line="240" w:lineRule="auto"/>
        <w:rPr>
          <w:rFonts w:eastAsia="Times New Roman" w:cs="Times New Roman"/>
          <w:kern w:val="0"/>
          <w:szCs w:val="24"/>
          <w14:ligatures w14:val="none"/>
        </w:rPr>
      </w:pPr>
      <w:r>
        <w:rPr>
          <w:rFonts w:eastAsia="Times New Roman" w:cs="Times New Roman"/>
          <w:kern w:val="0"/>
          <w:szCs w:val="24"/>
          <w14:ligatures w14:val="none"/>
        </w:rPr>
        <w:pict w14:anchorId="18558A46">
          <v:rect id="_x0000_i1029" style="width:0;height:1.5pt" o:hralign="center" o:hrstd="t" o:hr="t" fillcolor="#a0a0a0" stroked="f"/>
        </w:pict>
      </w:r>
    </w:p>
    <w:p w14:paraId="0B62EDE3" w14:textId="77777777" w:rsidR="00410309" w:rsidRPr="00410309" w:rsidRDefault="00410309" w:rsidP="00410309">
      <w:pPr>
        <w:spacing w:before="100" w:beforeAutospacing="1" w:after="100" w:afterAutospacing="1" w:line="240" w:lineRule="auto"/>
        <w:outlineLvl w:val="1"/>
        <w:rPr>
          <w:rFonts w:eastAsia="Times New Roman" w:cs="Times New Roman"/>
          <w:b/>
          <w:bCs/>
          <w:kern w:val="0"/>
          <w:sz w:val="36"/>
          <w:szCs w:val="36"/>
          <w14:ligatures w14:val="none"/>
        </w:rPr>
      </w:pPr>
      <w:r w:rsidRPr="00410309">
        <w:rPr>
          <w:rFonts w:eastAsia="Times New Roman" w:cs="Times New Roman"/>
          <w:b/>
          <w:bCs/>
          <w:kern w:val="0"/>
          <w:sz w:val="36"/>
          <w:szCs w:val="36"/>
          <w14:ligatures w14:val="none"/>
        </w:rPr>
        <w:t>2. Product-Line Claims belong to Individual Victims, Not the Bankruptcy Estate</w:t>
      </w:r>
    </w:p>
    <w:p w14:paraId="6D4CD5E2" w14:textId="77777777" w:rsidR="00410309" w:rsidRPr="00410309" w:rsidRDefault="00410309" w:rsidP="00410309">
      <w:pPr>
        <w:numPr>
          <w:ilvl w:val="0"/>
          <w:numId w:val="2"/>
        </w:num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lastRenderedPageBreak/>
        <w:t>Direct vs. Derivative Harm:</w:t>
      </w:r>
      <w:r w:rsidRPr="00410309">
        <w:rPr>
          <w:rFonts w:eastAsia="Times New Roman" w:cs="Times New Roman"/>
          <w:kern w:val="0"/>
          <w:szCs w:val="24"/>
          <w14:ligatures w14:val="none"/>
        </w:rPr>
        <w:t xml:space="preserve"> To establish that </w:t>
      </w:r>
      <w:r w:rsidRPr="00491D7D">
        <w:rPr>
          <w:rFonts w:eastAsia="Times New Roman" w:cs="Times New Roman"/>
          <w:kern w:val="0"/>
          <w:szCs w:val="24"/>
          <w:highlight w:val="yellow"/>
          <w14:ligatures w14:val="none"/>
        </w:rPr>
        <w:t>individual tort victims</w:t>
      </w:r>
      <w:r w:rsidRPr="00410309">
        <w:rPr>
          <w:rFonts w:eastAsia="Times New Roman" w:cs="Times New Roman"/>
          <w:kern w:val="0"/>
          <w:szCs w:val="24"/>
          <w14:ligatures w14:val="none"/>
        </w:rPr>
        <w:t xml:space="preserve"> (rather than the debtor's bankruptcy estate) </w:t>
      </w:r>
      <w:r w:rsidRPr="00491D7D">
        <w:rPr>
          <w:rFonts w:eastAsia="Times New Roman" w:cs="Times New Roman"/>
          <w:kern w:val="0"/>
          <w:szCs w:val="24"/>
          <w:highlight w:val="yellow"/>
          <w14:ligatures w14:val="none"/>
        </w:rPr>
        <w:t>had the legal standing to sue Brenntag</w:t>
      </w:r>
      <w:r w:rsidRPr="00410309">
        <w:rPr>
          <w:rFonts w:eastAsia="Times New Roman" w:cs="Times New Roman"/>
          <w:kern w:val="0"/>
          <w:szCs w:val="24"/>
          <w14:ligatures w14:val="none"/>
        </w:rPr>
        <w:t xml:space="preserve">, the plaintiffs argued that </w:t>
      </w:r>
      <w:r w:rsidRPr="00491D7D">
        <w:rPr>
          <w:rFonts w:eastAsia="Times New Roman" w:cs="Times New Roman"/>
          <w:kern w:val="0"/>
          <w:szCs w:val="24"/>
          <w:highlight w:val="yellow"/>
          <w14:ligatures w14:val="none"/>
        </w:rPr>
        <w:t xml:space="preserve">product-line successor liability claims are </w:t>
      </w:r>
      <w:r w:rsidRPr="00491D7D">
        <w:rPr>
          <w:rFonts w:eastAsia="Times New Roman" w:cs="Times New Roman"/>
          <w:b/>
          <w:bCs/>
          <w:kern w:val="0"/>
          <w:szCs w:val="24"/>
          <w:highlight w:val="yellow"/>
          <w14:ligatures w14:val="none"/>
        </w:rPr>
        <w:t>particularized, direct claims</w:t>
      </w:r>
      <w:r w:rsidRPr="00410309">
        <w:rPr>
          <w:rFonts w:eastAsia="Times New Roman" w:cs="Times New Roman"/>
          <w:kern w:val="0"/>
          <w:szCs w:val="24"/>
          <w14:ligatures w14:val="none"/>
        </w:rPr>
        <w:t xml:space="preserve">.   </w:t>
      </w:r>
    </w:p>
    <w:p w14:paraId="37B636B0" w14:textId="77777777" w:rsidR="00410309" w:rsidRPr="00410309" w:rsidRDefault="00410309" w:rsidP="00410309">
      <w:pPr>
        <w:numPr>
          <w:ilvl w:val="0"/>
          <w:numId w:val="2"/>
        </w:num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b/>
          <w:bCs/>
          <w:kern w:val="0"/>
          <w:szCs w:val="24"/>
          <w14:ligatures w14:val="none"/>
        </w:rPr>
        <w:t>Harm Arising from the Successor's Conduct:</w:t>
      </w:r>
      <w:r w:rsidRPr="00410309">
        <w:rPr>
          <w:rFonts w:eastAsia="Times New Roman" w:cs="Times New Roman"/>
          <w:kern w:val="0"/>
          <w:szCs w:val="24"/>
          <w14:ligatures w14:val="none"/>
        </w:rPr>
        <w:t xml:space="preserve"> The plaintiffs contended that product-line claims do not belong to all creditors generally. Instead, they argued that these claims arise from unique personal injuries (such as mesothelioma caused by asbestos-tainted talc) and stem from the successor entity's decision to continue manufacturing/distributing the specific product line.   </w:t>
      </w:r>
    </w:p>
    <w:p w14:paraId="645CD3E1" w14:textId="77777777" w:rsidR="00410309" w:rsidRPr="00491D7D" w:rsidRDefault="00410309" w:rsidP="00410309">
      <w:pPr>
        <w:numPr>
          <w:ilvl w:val="0"/>
          <w:numId w:val="2"/>
        </w:numPr>
        <w:spacing w:before="100" w:beforeAutospacing="1" w:after="100" w:afterAutospacing="1" w:line="240" w:lineRule="auto"/>
        <w:rPr>
          <w:rFonts w:eastAsia="Times New Roman" w:cs="Times New Roman"/>
          <w:kern w:val="0"/>
          <w:szCs w:val="24"/>
          <w:highlight w:val="yellow"/>
          <w14:ligatures w14:val="none"/>
        </w:rPr>
      </w:pPr>
      <w:r w:rsidRPr="00410309">
        <w:rPr>
          <w:rFonts w:eastAsia="Times New Roman" w:cs="Times New Roman"/>
          <w:b/>
          <w:bCs/>
          <w:kern w:val="0"/>
          <w:szCs w:val="24"/>
          <w14:ligatures w14:val="none"/>
        </w:rPr>
        <w:t>Exclusion from Estate Property:</w:t>
      </w:r>
      <w:r w:rsidRPr="00410309">
        <w:rPr>
          <w:rFonts w:eastAsia="Times New Roman" w:cs="Times New Roman"/>
          <w:kern w:val="0"/>
          <w:szCs w:val="24"/>
          <w14:ligatures w14:val="none"/>
        </w:rPr>
        <w:t xml:space="preserve"> Under 11 U.S.C. § 541(a), only general claims belonging to the debtor become property of the bankruptcy estate. </w:t>
      </w:r>
      <w:r w:rsidRPr="00491D7D">
        <w:rPr>
          <w:rFonts w:eastAsia="Times New Roman" w:cs="Times New Roman"/>
          <w:kern w:val="0"/>
          <w:szCs w:val="24"/>
          <w:highlight w:val="yellow"/>
          <w14:ligatures w14:val="none"/>
        </w:rPr>
        <w:t xml:space="preserve">Plaintiffs argued that because Whittaker itself could never assert a product-line claim against Brenntag, the claim belonged exclusively to the individual talc victims, meaning the debtor could not settle or release those claims in bankruptcy.   </w:t>
      </w:r>
    </w:p>
    <w:p w14:paraId="583945B0" w14:textId="77777777" w:rsidR="00410309" w:rsidRPr="00410309" w:rsidRDefault="00000000" w:rsidP="00410309">
      <w:pPr>
        <w:spacing w:after="0" w:line="240" w:lineRule="auto"/>
        <w:rPr>
          <w:rFonts w:eastAsia="Times New Roman" w:cs="Times New Roman"/>
          <w:kern w:val="0"/>
          <w:szCs w:val="24"/>
          <w14:ligatures w14:val="none"/>
        </w:rPr>
      </w:pPr>
      <w:r>
        <w:rPr>
          <w:rFonts w:eastAsia="Times New Roman" w:cs="Times New Roman"/>
          <w:kern w:val="0"/>
          <w:szCs w:val="24"/>
          <w14:ligatures w14:val="none"/>
        </w:rPr>
        <w:pict w14:anchorId="24A65DC6">
          <v:rect id="_x0000_i1030" style="width:0;height:1.5pt" o:hralign="center" o:hrstd="t" o:hr="t" fillcolor="#a0a0a0" stroked="f"/>
        </w:pict>
      </w:r>
    </w:p>
    <w:p w14:paraId="283360CF" w14:textId="77777777" w:rsidR="00410309" w:rsidRPr="00410309" w:rsidRDefault="00410309" w:rsidP="00410309">
      <w:pPr>
        <w:spacing w:before="100" w:beforeAutospacing="1" w:after="100" w:afterAutospacing="1" w:line="240" w:lineRule="auto"/>
        <w:outlineLvl w:val="1"/>
        <w:rPr>
          <w:rFonts w:eastAsia="Times New Roman" w:cs="Times New Roman"/>
          <w:b/>
          <w:bCs/>
          <w:kern w:val="0"/>
          <w:sz w:val="36"/>
          <w:szCs w:val="36"/>
          <w14:ligatures w14:val="none"/>
        </w:rPr>
      </w:pPr>
      <w:r w:rsidRPr="00410309">
        <w:rPr>
          <w:rFonts w:eastAsia="Times New Roman" w:cs="Times New Roman"/>
          <w:b/>
          <w:bCs/>
          <w:kern w:val="0"/>
          <w:sz w:val="36"/>
          <w:szCs w:val="36"/>
          <w14:ligatures w14:val="none"/>
        </w:rPr>
        <w:t>The Third Circuit's Ruling</w:t>
      </w:r>
    </w:p>
    <w:p w14:paraId="56159FF1"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 xml:space="preserve">The Third Circuit </w:t>
      </w:r>
      <w:r w:rsidRPr="00410309">
        <w:rPr>
          <w:rFonts w:eastAsia="Times New Roman" w:cs="Times New Roman"/>
          <w:b/>
          <w:bCs/>
          <w:kern w:val="0"/>
          <w:szCs w:val="24"/>
          <w14:ligatures w14:val="none"/>
        </w:rPr>
        <w:t>rejected</w:t>
      </w:r>
      <w:r w:rsidRPr="00410309">
        <w:rPr>
          <w:rFonts w:eastAsia="Times New Roman" w:cs="Times New Roman"/>
          <w:kern w:val="0"/>
          <w:szCs w:val="24"/>
          <w14:ligatures w14:val="none"/>
        </w:rPr>
        <w:t xml:space="preserve"> the plaintiffs' arguments.   </w:t>
      </w:r>
    </w:p>
    <w:p w14:paraId="16A5C9FA"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 xml:space="preserve">The court held </w:t>
      </w:r>
      <w:r w:rsidRPr="00491D7D">
        <w:rPr>
          <w:rFonts w:eastAsia="Times New Roman" w:cs="Times New Roman"/>
          <w:kern w:val="0"/>
          <w:szCs w:val="24"/>
          <w:highlight w:val="yellow"/>
          <w14:ligatures w14:val="none"/>
        </w:rPr>
        <w:t xml:space="preserve">that product-line successor liability claims are essentially </w:t>
      </w:r>
      <w:r w:rsidRPr="00491D7D">
        <w:rPr>
          <w:rFonts w:eastAsia="Times New Roman" w:cs="Times New Roman"/>
          <w:b/>
          <w:bCs/>
          <w:kern w:val="0"/>
          <w:szCs w:val="24"/>
          <w:highlight w:val="yellow"/>
          <w14:ligatures w14:val="none"/>
        </w:rPr>
        <w:t>derivative</w:t>
      </w:r>
      <w:r w:rsidRPr="00491D7D">
        <w:rPr>
          <w:rFonts w:eastAsia="Times New Roman" w:cs="Times New Roman"/>
          <w:kern w:val="0"/>
          <w:szCs w:val="24"/>
          <w:highlight w:val="yellow"/>
          <w14:ligatures w14:val="none"/>
        </w:rPr>
        <w:t xml:space="preserve"> in nature</w:t>
      </w:r>
      <w:r w:rsidRPr="00410309">
        <w:rPr>
          <w:rFonts w:eastAsia="Times New Roman" w:cs="Times New Roman"/>
          <w:kern w:val="0"/>
          <w:szCs w:val="24"/>
          <w14:ligatures w14:val="none"/>
        </w:rPr>
        <w:t xml:space="preserve">. </w:t>
      </w:r>
      <w:r w:rsidRPr="00491D7D">
        <w:rPr>
          <w:rFonts w:eastAsia="Times New Roman" w:cs="Times New Roman"/>
          <w:kern w:val="0"/>
          <w:szCs w:val="24"/>
          <w:highlight w:val="yellow"/>
          <w14:ligatures w14:val="none"/>
        </w:rPr>
        <w:t xml:space="preserve">Because the theory seeks to make a third party (Brenntag) liable for </w:t>
      </w:r>
      <w:r w:rsidRPr="00491D7D">
        <w:rPr>
          <w:rFonts w:eastAsia="Times New Roman" w:cs="Times New Roman"/>
          <w:i/>
          <w:iCs/>
          <w:kern w:val="0"/>
          <w:szCs w:val="24"/>
          <w:highlight w:val="yellow"/>
          <w14:ligatures w14:val="none"/>
        </w:rPr>
        <w:t>Whittaker’s</w:t>
      </w:r>
      <w:r w:rsidRPr="00491D7D">
        <w:rPr>
          <w:rFonts w:eastAsia="Times New Roman" w:cs="Times New Roman"/>
          <w:kern w:val="0"/>
          <w:szCs w:val="24"/>
          <w:highlight w:val="yellow"/>
          <w14:ligatures w14:val="none"/>
        </w:rPr>
        <w:t xml:space="preserve"> underlying tort obligations rather than for independent wrongful conduct by Brenntag toward a specific plaintiff, the claim is a general one.</w:t>
      </w:r>
      <w:r w:rsidRPr="00410309">
        <w:rPr>
          <w:rFonts w:eastAsia="Times New Roman" w:cs="Times New Roman"/>
          <w:kern w:val="0"/>
          <w:szCs w:val="24"/>
          <w14:ligatures w14:val="none"/>
        </w:rPr>
        <w:t xml:space="preserve">   </w:t>
      </w:r>
    </w:p>
    <w:p w14:paraId="71424519" w14:textId="77777777" w:rsidR="00410309" w:rsidRDefault="00410309" w:rsidP="00410309">
      <w:pPr>
        <w:spacing w:before="100" w:beforeAutospacing="1" w:after="100" w:afterAutospacing="1" w:line="240" w:lineRule="auto"/>
        <w:rPr>
          <w:rFonts w:eastAsia="Times New Roman" w:cs="Times New Roman"/>
          <w:kern w:val="0"/>
          <w:szCs w:val="24"/>
          <w14:ligatures w14:val="none"/>
        </w:rPr>
      </w:pPr>
      <w:r w:rsidRPr="00410309">
        <w:rPr>
          <w:rFonts w:eastAsia="Times New Roman" w:cs="Times New Roman"/>
          <w:kern w:val="0"/>
          <w:szCs w:val="24"/>
          <w14:ligatures w14:val="none"/>
        </w:rPr>
        <w:t xml:space="preserve">Consequently, the court ruled that the product-line claims </w:t>
      </w:r>
      <w:r w:rsidRPr="00410309">
        <w:rPr>
          <w:rFonts w:eastAsia="Times New Roman" w:cs="Times New Roman"/>
          <w:b/>
          <w:bCs/>
          <w:kern w:val="0"/>
          <w:szCs w:val="24"/>
          <w14:ligatures w14:val="none"/>
        </w:rPr>
        <w:t>became property of the bankruptcy estate</w:t>
      </w:r>
      <w:r w:rsidRPr="00410309">
        <w:rPr>
          <w:rFonts w:eastAsia="Times New Roman" w:cs="Times New Roman"/>
          <w:kern w:val="0"/>
          <w:szCs w:val="24"/>
          <w14:ligatures w14:val="none"/>
        </w:rPr>
        <w:t xml:space="preserve"> under § 541(a)(1), empowering the </w:t>
      </w:r>
      <w:r w:rsidRPr="00491D7D">
        <w:rPr>
          <w:rFonts w:eastAsia="Times New Roman" w:cs="Times New Roman"/>
          <w:kern w:val="0"/>
          <w:szCs w:val="24"/>
          <w:highlight w:val="yellow"/>
          <w14:ligatures w14:val="none"/>
        </w:rPr>
        <w:t>debtor-in-possession</w:t>
      </w:r>
      <w:r w:rsidRPr="00410309">
        <w:rPr>
          <w:rFonts w:eastAsia="Times New Roman" w:cs="Times New Roman"/>
          <w:kern w:val="0"/>
          <w:szCs w:val="24"/>
          <w14:ligatures w14:val="none"/>
        </w:rPr>
        <w:t xml:space="preserve"> (and not individual plaintiffs) to </w:t>
      </w:r>
      <w:r w:rsidRPr="00491D7D">
        <w:rPr>
          <w:rFonts w:eastAsia="Times New Roman" w:cs="Times New Roman"/>
          <w:kern w:val="0"/>
          <w:szCs w:val="24"/>
          <w:highlight w:val="yellow"/>
          <w14:ligatures w14:val="none"/>
        </w:rPr>
        <w:t>pursue or settle those claims for the collective benefit of all creditors</w:t>
      </w:r>
      <w:r w:rsidRPr="00410309">
        <w:rPr>
          <w:rFonts w:eastAsia="Times New Roman" w:cs="Times New Roman"/>
          <w:kern w:val="0"/>
          <w:szCs w:val="24"/>
          <w14:ligatures w14:val="none"/>
        </w:rPr>
        <w:t xml:space="preserve">.   </w:t>
      </w:r>
    </w:p>
    <w:p w14:paraId="6113A525" w14:textId="77777777" w:rsidR="00410309" w:rsidRPr="00410309" w:rsidRDefault="00410309" w:rsidP="00410309">
      <w:pPr>
        <w:spacing w:before="100" w:beforeAutospacing="1" w:after="100" w:afterAutospacing="1" w:line="240" w:lineRule="auto"/>
        <w:rPr>
          <w:rFonts w:eastAsia="Times New Roman" w:cs="Times New Roman"/>
          <w:kern w:val="0"/>
          <w:szCs w:val="24"/>
          <w14:ligatures w14:val="none"/>
        </w:rPr>
      </w:pPr>
    </w:p>
    <w:p w14:paraId="1C3D65F0" w14:textId="77777777" w:rsidR="00410309" w:rsidRPr="00410309" w:rsidRDefault="00410309" w:rsidP="00410309">
      <w:pPr>
        <w:spacing w:after="0" w:line="240" w:lineRule="auto"/>
        <w:rPr>
          <w:rFonts w:eastAsia="Times New Roman" w:cs="Times New Roman"/>
          <w:kern w:val="0"/>
          <w:szCs w:val="24"/>
          <w14:ligatures w14:val="none"/>
        </w:rPr>
      </w:pPr>
      <w:r w:rsidRPr="00410309">
        <w:rPr>
          <w:rFonts w:eastAsia="Times New Roman" w:cs="Times New Roman"/>
          <w:kern w:val="0"/>
          <w:szCs w:val="24"/>
          <w14:ligatures w14:val="none"/>
        </w:rPr>
        <w:t xml:space="preserve">Did the third circuit's holding in </w:t>
      </w:r>
      <w:proofErr w:type="spellStart"/>
      <w:r w:rsidRPr="00410309">
        <w:rPr>
          <w:rFonts w:eastAsia="Times New Roman" w:cs="Times New Roman"/>
          <w:kern w:val="0"/>
          <w:szCs w:val="24"/>
          <w14:ligatures w14:val="none"/>
        </w:rPr>
        <w:t>whitaker</w:t>
      </w:r>
      <w:proofErr w:type="spellEnd"/>
      <w:r w:rsidRPr="00410309">
        <w:rPr>
          <w:rFonts w:eastAsia="Times New Roman" w:cs="Times New Roman"/>
          <w:kern w:val="0"/>
          <w:szCs w:val="24"/>
          <w14:ligatures w14:val="none"/>
        </w:rPr>
        <w:t xml:space="preserve"> &amp; Daniels mean that the </w:t>
      </w:r>
      <w:proofErr w:type="spellStart"/>
      <w:r w:rsidRPr="00410309">
        <w:rPr>
          <w:rFonts w:eastAsia="Times New Roman" w:cs="Times New Roman"/>
          <w:kern w:val="0"/>
          <w:szCs w:val="24"/>
          <w14:ligatures w14:val="none"/>
        </w:rPr>
        <w:t>productline</w:t>
      </w:r>
      <w:proofErr w:type="spellEnd"/>
      <w:r w:rsidRPr="00410309">
        <w:rPr>
          <w:rFonts w:eastAsia="Times New Roman" w:cs="Times New Roman"/>
          <w:kern w:val="0"/>
          <w:szCs w:val="24"/>
          <w14:ligatures w14:val="none"/>
        </w:rPr>
        <w:t xml:space="preserve"> exception is no longer followed in the third circuit?</w:t>
      </w:r>
    </w:p>
    <w:p w14:paraId="7A7C743D" w14:textId="77777777" w:rsidR="00410309" w:rsidRPr="00410309" w:rsidRDefault="00410309" w:rsidP="00410309">
      <w:pPr>
        <w:numPr>
          <w:ilvl w:val="0"/>
          <w:numId w:val="6"/>
        </w:numPr>
        <w:spacing w:before="100" w:beforeAutospacing="1" w:after="100" w:afterAutospacing="1" w:line="240" w:lineRule="auto"/>
        <w:ind w:left="840" w:right="120"/>
        <w:rPr>
          <w:rFonts w:eastAsia="Times New Roman" w:cs="Times New Roman"/>
          <w:color w:val="444746"/>
          <w:kern w:val="0"/>
          <w:szCs w:val="24"/>
          <w14:ligatures w14:val="none"/>
        </w:rPr>
      </w:pPr>
    </w:p>
    <w:p w14:paraId="13843004" w14:textId="77777777" w:rsidR="00410309" w:rsidRPr="00410309" w:rsidRDefault="00410309" w:rsidP="00410309">
      <w:p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b/>
          <w:bCs/>
          <w:color w:val="1F1F1F"/>
          <w:kern w:val="0"/>
          <w:sz w:val="21"/>
          <w:szCs w:val="21"/>
          <w14:ligatures w14:val="none"/>
        </w:rPr>
        <w:t>No</w:t>
      </w:r>
      <w:r w:rsidRPr="00410309">
        <w:rPr>
          <w:rFonts w:ascii="Arial" w:eastAsia="Times New Roman" w:hAnsi="Arial" w:cs="Arial"/>
          <w:color w:val="1F1F1F"/>
          <w:kern w:val="0"/>
          <w:sz w:val="21"/>
          <w:szCs w:val="21"/>
          <w14:ligatures w14:val="none"/>
        </w:rPr>
        <w:t xml:space="preserve">, the Third Circuit’s holding in </w:t>
      </w:r>
      <w:hyperlink r:id="rId9" w:tgtFrame="_blank" w:history="1">
        <w:r w:rsidRPr="00410309">
          <w:rPr>
            <w:rFonts w:ascii="Arial" w:eastAsia="Times New Roman" w:hAnsi="Arial" w:cs="Arial"/>
            <w:i/>
            <w:iCs/>
            <w:color w:val="0000FF"/>
            <w:kern w:val="0"/>
            <w:sz w:val="21"/>
            <w:szCs w:val="21"/>
            <w:u w:val="single"/>
            <w14:ligatures w14:val="none"/>
          </w:rPr>
          <w:t>In re Whittaker Clark &amp; Daniels Inc.</w:t>
        </w:r>
      </w:hyperlink>
      <w:r w:rsidRPr="00410309">
        <w:rPr>
          <w:rFonts w:ascii="Arial" w:eastAsia="Times New Roman" w:hAnsi="Arial" w:cs="Arial"/>
          <w:color w:val="1F1F1F"/>
          <w:kern w:val="0"/>
          <w:sz w:val="21"/>
          <w:szCs w:val="21"/>
          <w14:ligatures w14:val="none"/>
        </w:rPr>
        <w:t xml:space="preserve"> does </w:t>
      </w:r>
      <w:r w:rsidRPr="00410309">
        <w:rPr>
          <w:rFonts w:ascii="Arial" w:eastAsia="Times New Roman" w:hAnsi="Arial" w:cs="Arial"/>
          <w:b/>
          <w:bCs/>
          <w:color w:val="1F1F1F"/>
          <w:kern w:val="0"/>
          <w:sz w:val="21"/>
          <w:szCs w:val="21"/>
          <w14:ligatures w14:val="none"/>
        </w:rPr>
        <w:t>not</w:t>
      </w:r>
      <w:r w:rsidRPr="00410309">
        <w:rPr>
          <w:rFonts w:ascii="Arial" w:eastAsia="Times New Roman" w:hAnsi="Arial" w:cs="Arial"/>
          <w:color w:val="1F1F1F"/>
          <w:kern w:val="0"/>
          <w:sz w:val="21"/>
          <w:szCs w:val="21"/>
          <w14:ligatures w14:val="none"/>
        </w:rPr>
        <w:t xml:space="preserve"> mean that the product-line exception is no longer followed or has been abolished in the Third Circuit.   </w:t>
      </w:r>
    </w:p>
    <w:p w14:paraId="5132B3A3" w14:textId="77777777" w:rsidR="00410309" w:rsidRPr="00410309" w:rsidRDefault="00410309" w:rsidP="00410309">
      <w:p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 xml:space="preserve">The court did not strike down or invalidate state-law product line doctrines. Instead, the ruling addressed </w:t>
      </w:r>
      <w:r w:rsidRPr="00491D7D">
        <w:rPr>
          <w:rFonts w:ascii="Arial" w:eastAsia="Times New Roman" w:hAnsi="Arial" w:cs="Arial"/>
          <w:b/>
          <w:bCs/>
          <w:color w:val="1F1F1F"/>
          <w:kern w:val="0"/>
          <w:sz w:val="21"/>
          <w:szCs w:val="21"/>
          <w:highlight w:val="yellow"/>
          <w14:ligatures w14:val="none"/>
        </w:rPr>
        <w:t>standing and claim ownership within a federal bankruptcy framework</w:t>
      </w:r>
      <w:r w:rsidRPr="00410309">
        <w:rPr>
          <w:rFonts w:ascii="Arial" w:eastAsia="Times New Roman" w:hAnsi="Arial" w:cs="Arial"/>
          <w:color w:val="1F1F1F"/>
          <w:kern w:val="0"/>
          <w:sz w:val="21"/>
          <w:szCs w:val="21"/>
          <w14:ligatures w14:val="none"/>
        </w:rPr>
        <w:t>.   </w:t>
      </w:r>
    </w:p>
    <w:p w14:paraId="2122582C" w14:textId="77777777" w:rsidR="00410309" w:rsidRPr="00410309" w:rsidRDefault="00000000" w:rsidP="00410309">
      <w:pPr>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7C1712E9">
          <v:rect id="_x0000_i1031" style="width:0;height:1.5pt" o:hralign="center" o:hrstd="t" o:hr="t" fillcolor="#a0a0a0" stroked="f"/>
        </w:pict>
      </w:r>
    </w:p>
    <w:p w14:paraId="3D9D4F4D" w14:textId="77777777" w:rsidR="00410309" w:rsidRPr="00410309" w:rsidRDefault="00410309" w:rsidP="00410309">
      <w:pPr>
        <w:spacing w:before="420" w:after="60" w:line="330" w:lineRule="atLeast"/>
        <w:outlineLvl w:val="2"/>
        <w:rPr>
          <w:rFonts w:ascii="Arial" w:eastAsia="Times New Roman" w:hAnsi="Arial" w:cs="Arial"/>
          <w:b/>
          <w:bCs/>
          <w:color w:val="1F1F1F"/>
          <w:kern w:val="0"/>
          <w:sz w:val="21"/>
          <w:szCs w:val="21"/>
          <w14:ligatures w14:val="none"/>
        </w:rPr>
      </w:pPr>
      <w:r w:rsidRPr="00410309">
        <w:rPr>
          <w:rFonts w:ascii="Arial" w:eastAsia="Times New Roman" w:hAnsi="Arial" w:cs="Arial"/>
          <w:b/>
          <w:bCs/>
          <w:color w:val="1F1F1F"/>
          <w:kern w:val="0"/>
          <w:sz w:val="21"/>
          <w:szCs w:val="21"/>
          <w14:ligatures w14:val="none"/>
        </w:rPr>
        <w:t>Key Distinctions of the Ruling</w:t>
      </w:r>
    </w:p>
    <w:p w14:paraId="56F8031B" w14:textId="77777777" w:rsidR="00410309" w:rsidRPr="00410309" w:rsidRDefault="00410309" w:rsidP="00410309">
      <w:pPr>
        <w:spacing w:before="420" w:after="60" w:line="330" w:lineRule="atLeast"/>
        <w:outlineLvl w:val="3"/>
        <w:rPr>
          <w:rFonts w:ascii="Arial" w:eastAsia="Times New Roman" w:hAnsi="Arial" w:cs="Arial"/>
          <w:b/>
          <w:bCs/>
          <w:color w:val="1F1F1F"/>
          <w:kern w:val="0"/>
          <w:sz w:val="21"/>
          <w:szCs w:val="21"/>
          <w14:ligatures w14:val="none"/>
        </w:rPr>
      </w:pPr>
      <w:r w:rsidRPr="00410309">
        <w:rPr>
          <w:rFonts w:ascii="Arial" w:eastAsia="Times New Roman" w:hAnsi="Arial" w:cs="Arial"/>
          <w:b/>
          <w:bCs/>
          <w:color w:val="1F1F1F"/>
          <w:kern w:val="0"/>
          <w:sz w:val="21"/>
          <w:szCs w:val="21"/>
          <w14:ligatures w14:val="none"/>
        </w:rPr>
        <w:lastRenderedPageBreak/>
        <w:t>1. State Law vs. Federal Bankruptcy Procedure</w:t>
      </w:r>
    </w:p>
    <w:p w14:paraId="039BFD40" w14:textId="77777777" w:rsidR="00410309" w:rsidRPr="00410309" w:rsidRDefault="00410309" w:rsidP="00410309">
      <w:p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 xml:space="preserve">The product-line exception remains valid </w:t>
      </w:r>
      <w:r w:rsidRPr="00410309">
        <w:rPr>
          <w:rFonts w:ascii="Arial" w:eastAsia="Times New Roman" w:hAnsi="Arial" w:cs="Arial"/>
          <w:b/>
          <w:bCs/>
          <w:color w:val="1F1F1F"/>
          <w:kern w:val="0"/>
          <w:sz w:val="21"/>
          <w:szCs w:val="21"/>
          <w14:ligatures w14:val="none"/>
        </w:rPr>
        <w:t>substantive state tort law</w:t>
      </w:r>
      <w:r w:rsidRPr="00410309">
        <w:rPr>
          <w:rFonts w:ascii="Arial" w:eastAsia="Times New Roman" w:hAnsi="Arial" w:cs="Arial"/>
          <w:color w:val="1F1F1F"/>
          <w:kern w:val="0"/>
          <w:sz w:val="21"/>
          <w:szCs w:val="21"/>
          <w14:ligatures w14:val="none"/>
        </w:rPr>
        <w:t xml:space="preserve"> in jurisdictions within the Third Circuit that recognize it (such as New Jersey and Pennsylvania). The Third Circuit's decision did not alter whether a corporate transaction could trigger product-line successor liability under state common law.   </w:t>
      </w:r>
    </w:p>
    <w:p w14:paraId="124F3CF2" w14:textId="77777777" w:rsidR="00410309" w:rsidRPr="00410309" w:rsidRDefault="00410309" w:rsidP="00410309">
      <w:pPr>
        <w:spacing w:before="420" w:after="60" w:line="330" w:lineRule="atLeast"/>
        <w:outlineLvl w:val="3"/>
        <w:rPr>
          <w:rFonts w:ascii="Arial" w:eastAsia="Times New Roman" w:hAnsi="Arial" w:cs="Arial"/>
          <w:b/>
          <w:bCs/>
          <w:color w:val="1F1F1F"/>
          <w:kern w:val="0"/>
          <w:sz w:val="21"/>
          <w:szCs w:val="21"/>
          <w14:ligatures w14:val="none"/>
        </w:rPr>
      </w:pPr>
      <w:r w:rsidRPr="00410309">
        <w:rPr>
          <w:rFonts w:ascii="Arial" w:eastAsia="Times New Roman" w:hAnsi="Arial" w:cs="Arial"/>
          <w:b/>
          <w:bCs/>
          <w:color w:val="1F1F1F"/>
          <w:kern w:val="0"/>
          <w:sz w:val="21"/>
          <w:szCs w:val="21"/>
          <w14:ligatures w14:val="none"/>
        </w:rPr>
        <w:t>2. Who Owns the Claim (</w:t>
      </w:r>
      <w:r w:rsidRPr="00410309">
        <w:rPr>
          <w:rFonts w:ascii="Arial" w:eastAsia="Times New Roman" w:hAnsi="Arial" w:cs="Arial"/>
          <w:b/>
          <w:bCs/>
          <w:i/>
          <w:iCs/>
          <w:color w:val="1F1F1F"/>
          <w:kern w:val="0"/>
          <w:sz w:val="21"/>
          <w:szCs w:val="21"/>
          <w14:ligatures w14:val="none"/>
        </w:rPr>
        <w:t>Standing</w:t>
      </w:r>
      <w:r w:rsidRPr="00410309">
        <w:rPr>
          <w:rFonts w:ascii="Arial" w:eastAsia="Times New Roman" w:hAnsi="Arial" w:cs="Arial"/>
          <w:b/>
          <w:bCs/>
          <w:color w:val="1F1F1F"/>
          <w:kern w:val="0"/>
          <w:sz w:val="21"/>
          <w:szCs w:val="21"/>
          <w14:ligatures w14:val="none"/>
        </w:rPr>
        <w:t>)</w:t>
      </w:r>
    </w:p>
    <w:p w14:paraId="04E1C857" w14:textId="77777777" w:rsidR="00410309" w:rsidRPr="00410309" w:rsidRDefault="00410309" w:rsidP="00410309">
      <w:pPr>
        <w:spacing w:after="6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 xml:space="preserve">What the Third Circuit held (reaffirming its earlier precedent in </w:t>
      </w:r>
      <w:proofErr w:type="gramStart"/>
      <w:r w:rsidRPr="00410309">
        <w:rPr>
          <w:rFonts w:ascii="Arial" w:eastAsia="Times New Roman" w:hAnsi="Arial" w:cs="Arial"/>
          <w:i/>
          <w:iCs/>
          <w:color w:val="1F1F1F"/>
          <w:kern w:val="0"/>
          <w:sz w:val="21"/>
          <w:szCs w:val="21"/>
          <w14:ligatures w14:val="none"/>
        </w:rPr>
        <w:t>In</w:t>
      </w:r>
      <w:proofErr w:type="gramEnd"/>
      <w:r w:rsidRPr="00410309">
        <w:rPr>
          <w:rFonts w:ascii="Arial" w:eastAsia="Times New Roman" w:hAnsi="Arial" w:cs="Arial"/>
          <w:i/>
          <w:iCs/>
          <w:color w:val="1F1F1F"/>
          <w:kern w:val="0"/>
          <w:sz w:val="21"/>
          <w:szCs w:val="21"/>
          <w14:ligatures w14:val="none"/>
        </w:rPr>
        <w:t xml:space="preserve"> re Emoral, Inc.</w:t>
      </w:r>
      <w:r w:rsidRPr="00410309">
        <w:rPr>
          <w:rFonts w:ascii="Arial" w:eastAsia="Times New Roman" w:hAnsi="Arial" w:cs="Arial"/>
          <w:color w:val="1F1F1F"/>
          <w:kern w:val="0"/>
          <w:sz w:val="21"/>
          <w:szCs w:val="21"/>
          <w14:ligatures w14:val="none"/>
        </w:rPr>
        <w:t xml:space="preserve">) is that once a debtor enters Chapter 11 bankruptcy, </w:t>
      </w:r>
      <w:r w:rsidRPr="00491D7D">
        <w:rPr>
          <w:rFonts w:ascii="Arial" w:eastAsia="Times New Roman" w:hAnsi="Arial" w:cs="Arial"/>
          <w:color w:val="1F1F1F"/>
          <w:kern w:val="0"/>
          <w:sz w:val="21"/>
          <w:szCs w:val="21"/>
          <w:highlight w:val="yellow"/>
          <w14:ligatures w14:val="none"/>
        </w:rPr>
        <w:t xml:space="preserve">product-line successor liability claims are </w:t>
      </w:r>
      <w:r w:rsidRPr="00491D7D">
        <w:rPr>
          <w:rFonts w:ascii="Arial" w:eastAsia="Times New Roman" w:hAnsi="Arial" w:cs="Arial"/>
          <w:b/>
          <w:bCs/>
          <w:color w:val="1F1F1F"/>
          <w:kern w:val="0"/>
          <w:sz w:val="21"/>
          <w:szCs w:val="21"/>
          <w:highlight w:val="yellow"/>
          <w14:ligatures w14:val="none"/>
        </w:rPr>
        <w:t>"general" claims that become property of the bankruptcy estate</w:t>
      </w:r>
      <w:r w:rsidRPr="00491D7D">
        <w:rPr>
          <w:rFonts w:ascii="Arial" w:eastAsia="Times New Roman" w:hAnsi="Arial" w:cs="Arial"/>
          <w:color w:val="1F1F1F"/>
          <w:kern w:val="0"/>
          <w:sz w:val="21"/>
          <w:szCs w:val="21"/>
          <w:highlight w:val="yellow"/>
          <w14:ligatures w14:val="none"/>
        </w:rPr>
        <w:t xml:space="preserve"> under Section 541 of the Bankruptcy Code:</w:t>
      </w:r>
    </w:p>
    <w:p w14:paraId="64CF5C76" w14:textId="77777777" w:rsidR="00410309" w:rsidRPr="00410309" w:rsidRDefault="00410309" w:rsidP="00410309">
      <w:pPr>
        <w:numPr>
          <w:ilvl w:val="0"/>
          <w:numId w:val="7"/>
        </w:numPr>
        <w:spacing w:before="60" w:after="6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 xml:space="preserve">Because the claim depends entirely on the buyer's acquisition of the debtor's business rather than a direct, distinct injury inflicted independently by the buyer on a specific victim, </w:t>
      </w:r>
      <w:r w:rsidRPr="00491D7D">
        <w:rPr>
          <w:rFonts w:ascii="Arial" w:eastAsia="Times New Roman" w:hAnsi="Arial" w:cs="Arial"/>
          <w:color w:val="1F1F1F"/>
          <w:kern w:val="0"/>
          <w:sz w:val="21"/>
          <w:szCs w:val="21"/>
          <w:highlight w:val="yellow"/>
          <w14:ligatures w14:val="none"/>
        </w:rPr>
        <w:t>the court classified the harm as derivative.</w:t>
      </w:r>
      <w:r w:rsidRPr="00410309">
        <w:rPr>
          <w:rFonts w:ascii="Arial" w:eastAsia="Times New Roman" w:hAnsi="Arial" w:cs="Arial"/>
          <w:color w:val="1F1F1F"/>
          <w:kern w:val="0"/>
          <w:sz w:val="21"/>
          <w:szCs w:val="21"/>
          <w14:ligatures w14:val="none"/>
        </w:rPr>
        <w:t>   </w:t>
      </w:r>
    </w:p>
    <w:p w14:paraId="021B172D" w14:textId="77777777" w:rsidR="00410309" w:rsidRPr="00410309" w:rsidRDefault="00410309" w:rsidP="00410309">
      <w:pPr>
        <w:numPr>
          <w:ilvl w:val="0"/>
          <w:numId w:val="7"/>
        </w:numPr>
        <w:spacing w:before="60" w:after="6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 xml:space="preserve">Therefore, </w:t>
      </w:r>
      <w:r w:rsidRPr="00410309">
        <w:rPr>
          <w:rFonts w:ascii="Arial" w:eastAsia="Times New Roman" w:hAnsi="Arial" w:cs="Arial"/>
          <w:b/>
          <w:bCs/>
          <w:color w:val="1F1F1F"/>
          <w:kern w:val="0"/>
          <w:sz w:val="21"/>
          <w:szCs w:val="21"/>
          <w14:ligatures w14:val="none"/>
        </w:rPr>
        <w:t>individual tort claimants are blocked from bringing standalone product-line suits</w:t>
      </w:r>
      <w:r w:rsidRPr="00410309">
        <w:rPr>
          <w:rFonts w:ascii="Arial" w:eastAsia="Times New Roman" w:hAnsi="Arial" w:cs="Arial"/>
          <w:color w:val="1F1F1F"/>
          <w:kern w:val="0"/>
          <w:sz w:val="21"/>
          <w:szCs w:val="21"/>
          <w14:ligatures w14:val="none"/>
        </w:rPr>
        <w:t xml:space="preserve"> against the asset purchaser while the debtor is in bankruptcy.   </w:t>
      </w:r>
    </w:p>
    <w:p w14:paraId="6454D9EF" w14:textId="77777777" w:rsidR="00410309" w:rsidRPr="00410309" w:rsidRDefault="00410309" w:rsidP="00410309">
      <w:pPr>
        <w:spacing w:before="420" w:after="60" w:line="330" w:lineRule="atLeast"/>
        <w:outlineLvl w:val="3"/>
        <w:rPr>
          <w:rFonts w:ascii="Arial" w:eastAsia="Times New Roman" w:hAnsi="Arial" w:cs="Arial"/>
          <w:b/>
          <w:bCs/>
          <w:color w:val="1F1F1F"/>
          <w:kern w:val="0"/>
          <w:sz w:val="21"/>
          <w:szCs w:val="21"/>
          <w14:ligatures w14:val="none"/>
        </w:rPr>
      </w:pPr>
      <w:r w:rsidRPr="00410309">
        <w:rPr>
          <w:rFonts w:ascii="Arial" w:eastAsia="Times New Roman" w:hAnsi="Arial" w:cs="Arial"/>
          <w:b/>
          <w:bCs/>
          <w:color w:val="1F1F1F"/>
          <w:kern w:val="0"/>
          <w:sz w:val="21"/>
          <w:szCs w:val="21"/>
          <w14:ligatures w14:val="none"/>
        </w:rPr>
        <w:t>3. Centralization, Not Elimination</w:t>
      </w:r>
    </w:p>
    <w:p w14:paraId="263995B2" w14:textId="77777777" w:rsidR="00410309" w:rsidRDefault="00410309" w:rsidP="00410309">
      <w:p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 xml:space="preserve">Instead of eliminating product-line claims, the ruling centralizes them. </w:t>
      </w:r>
      <w:r w:rsidRPr="00B84220">
        <w:rPr>
          <w:rFonts w:ascii="Arial" w:eastAsia="Times New Roman" w:hAnsi="Arial" w:cs="Arial"/>
          <w:color w:val="1F1F1F"/>
          <w:kern w:val="0"/>
          <w:sz w:val="21"/>
          <w:szCs w:val="21"/>
          <w:highlight w:val="yellow"/>
          <w14:ligatures w14:val="none"/>
        </w:rPr>
        <w:t xml:space="preserve">The claim still exists, but </w:t>
      </w:r>
      <w:r w:rsidRPr="00B84220">
        <w:rPr>
          <w:rFonts w:ascii="Arial" w:eastAsia="Times New Roman" w:hAnsi="Arial" w:cs="Arial"/>
          <w:b/>
          <w:bCs/>
          <w:color w:val="1F1F1F"/>
          <w:kern w:val="0"/>
          <w:sz w:val="21"/>
          <w:szCs w:val="21"/>
          <w:highlight w:val="yellow"/>
          <w14:ligatures w14:val="none"/>
        </w:rPr>
        <w:t>only the bankruptcy trustee or debtor-in-possession has the exclusive right to assert, litigate, or settle</w:t>
      </w:r>
      <w:r w:rsidRPr="00B84220">
        <w:rPr>
          <w:rFonts w:ascii="Arial" w:eastAsia="Times New Roman" w:hAnsi="Arial" w:cs="Arial"/>
          <w:color w:val="1F1F1F"/>
          <w:kern w:val="0"/>
          <w:sz w:val="21"/>
          <w:szCs w:val="21"/>
          <w:highlight w:val="yellow"/>
          <w14:ligatures w14:val="none"/>
        </w:rPr>
        <w:t xml:space="preserve"> the product-line successor liability claim against the non-debtor buyer for the collective benefit of all creditors</w:t>
      </w:r>
    </w:p>
    <w:p w14:paraId="2E8100CB" w14:textId="77777777" w:rsidR="00410309" w:rsidRDefault="00410309" w:rsidP="00410309">
      <w:pPr>
        <w:spacing w:after="120" w:line="330" w:lineRule="atLeast"/>
        <w:rPr>
          <w:rFonts w:ascii="Arial" w:eastAsia="Times New Roman" w:hAnsi="Arial" w:cs="Arial"/>
          <w:color w:val="1F1F1F"/>
          <w:kern w:val="0"/>
          <w:sz w:val="21"/>
          <w:szCs w:val="21"/>
          <w14:ligatures w14:val="none"/>
        </w:rPr>
      </w:pPr>
    </w:p>
    <w:p w14:paraId="7F32B32F" w14:textId="77777777" w:rsidR="00410309" w:rsidRPr="00410309" w:rsidRDefault="00410309" w:rsidP="00410309">
      <w:p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 xml:space="preserve">In </w:t>
      </w:r>
      <w:r w:rsidRPr="00410309">
        <w:rPr>
          <w:rFonts w:ascii="Arial" w:eastAsia="Times New Roman" w:hAnsi="Arial" w:cs="Arial"/>
          <w:b/>
          <w:bCs/>
          <w:i/>
          <w:iCs/>
          <w:color w:val="1F1F1F"/>
          <w:kern w:val="0"/>
          <w:sz w:val="21"/>
          <w:szCs w:val="21"/>
          <w14:ligatures w14:val="none"/>
        </w:rPr>
        <w:t>In re Whittaker, Clark &amp; Daniels, Inc.</w:t>
      </w:r>
      <w:r w:rsidRPr="00410309">
        <w:rPr>
          <w:rFonts w:ascii="Arial" w:eastAsia="Times New Roman" w:hAnsi="Arial" w:cs="Arial"/>
          <w:color w:val="1F1F1F"/>
          <w:kern w:val="0"/>
          <w:sz w:val="21"/>
          <w:szCs w:val="21"/>
          <w14:ligatures w14:val="none"/>
        </w:rPr>
        <w:t xml:space="preserve"> (No. 24-2210 &amp; 24-2211, 3d Cir. Apr. 27, 2026), the central legal puzzle was how Whittaker—a bankruptcy debtor—could compromise or release </w:t>
      </w:r>
      <w:r w:rsidRPr="00491D7D">
        <w:rPr>
          <w:rFonts w:ascii="Arial" w:eastAsia="Times New Roman" w:hAnsi="Arial" w:cs="Arial"/>
          <w:color w:val="1F1F1F"/>
          <w:kern w:val="0"/>
          <w:sz w:val="21"/>
          <w:szCs w:val="21"/>
          <w:highlight w:val="yellow"/>
          <w14:ligatures w14:val="none"/>
        </w:rPr>
        <w:t xml:space="preserve">product-line successor liability claims against </w:t>
      </w:r>
      <w:r w:rsidRPr="00491D7D">
        <w:rPr>
          <w:rFonts w:ascii="Arial" w:eastAsia="Times New Roman" w:hAnsi="Arial" w:cs="Arial"/>
          <w:b/>
          <w:bCs/>
          <w:color w:val="1F1F1F"/>
          <w:kern w:val="0"/>
          <w:sz w:val="21"/>
          <w:szCs w:val="21"/>
          <w:highlight w:val="yellow"/>
          <w14:ligatures w14:val="none"/>
        </w:rPr>
        <w:t>Brenntag</w:t>
      </w:r>
      <w:r w:rsidRPr="00491D7D">
        <w:rPr>
          <w:rFonts w:ascii="Arial" w:eastAsia="Times New Roman" w:hAnsi="Arial" w:cs="Arial"/>
          <w:color w:val="1F1F1F"/>
          <w:kern w:val="0"/>
          <w:sz w:val="21"/>
          <w:szCs w:val="21"/>
          <w:highlight w:val="yellow"/>
          <w14:ligatures w14:val="none"/>
        </w:rPr>
        <w:t xml:space="preserve"> when the 2004 Asset Purchase Agreement (APA) explicitly stated that Brenntag was </w:t>
      </w:r>
      <w:r w:rsidRPr="00491D7D">
        <w:rPr>
          <w:rFonts w:ascii="Arial" w:eastAsia="Times New Roman" w:hAnsi="Arial" w:cs="Arial"/>
          <w:b/>
          <w:bCs/>
          <w:color w:val="1F1F1F"/>
          <w:kern w:val="0"/>
          <w:sz w:val="21"/>
          <w:szCs w:val="21"/>
          <w:highlight w:val="yellow"/>
          <w14:ligatures w14:val="none"/>
        </w:rPr>
        <w:t>not</w:t>
      </w:r>
      <w:r w:rsidRPr="00491D7D">
        <w:rPr>
          <w:rFonts w:ascii="Arial" w:eastAsia="Times New Roman" w:hAnsi="Arial" w:cs="Arial"/>
          <w:color w:val="1F1F1F"/>
          <w:kern w:val="0"/>
          <w:sz w:val="21"/>
          <w:szCs w:val="21"/>
          <w:highlight w:val="yellow"/>
          <w14:ligatures w14:val="none"/>
        </w:rPr>
        <w:t xml:space="preserve"> assuming pre-sale asbestos claims.</w:t>
      </w:r>
      <w:r w:rsidRPr="00410309">
        <w:rPr>
          <w:rFonts w:ascii="Arial" w:eastAsia="Times New Roman" w:hAnsi="Arial" w:cs="Arial"/>
          <w:color w:val="1F1F1F"/>
          <w:kern w:val="0"/>
          <w:sz w:val="21"/>
          <w:szCs w:val="21"/>
          <w14:ligatures w14:val="none"/>
        </w:rPr>
        <w:t xml:space="preserve">   </w:t>
      </w:r>
    </w:p>
    <w:p w14:paraId="5710FCEC" w14:textId="77777777" w:rsidR="00410309" w:rsidRPr="00410309" w:rsidRDefault="00410309" w:rsidP="00410309">
      <w:p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 xml:space="preserve">The resolution came down to the interaction between </w:t>
      </w:r>
      <w:r w:rsidRPr="00410309">
        <w:rPr>
          <w:rFonts w:ascii="Arial" w:eastAsia="Times New Roman" w:hAnsi="Arial" w:cs="Arial"/>
          <w:b/>
          <w:bCs/>
          <w:color w:val="1F1F1F"/>
          <w:kern w:val="0"/>
          <w:sz w:val="21"/>
          <w:szCs w:val="21"/>
          <w14:ligatures w14:val="none"/>
        </w:rPr>
        <w:t>state common law</w:t>
      </w:r>
      <w:r w:rsidRPr="00410309">
        <w:rPr>
          <w:rFonts w:ascii="Arial" w:eastAsia="Times New Roman" w:hAnsi="Arial" w:cs="Arial"/>
          <w:color w:val="1F1F1F"/>
          <w:kern w:val="0"/>
          <w:sz w:val="21"/>
          <w:szCs w:val="21"/>
          <w14:ligatures w14:val="none"/>
        </w:rPr>
        <w:t xml:space="preserve">, </w:t>
      </w:r>
      <w:r w:rsidRPr="00410309">
        <w:rPr>
          <w:rFonts w:ascii="Arial" w:eastAsia="Times New Roman" w:hAnsi="Arial" w:cs="Arial"/>
          <w:b/>
          <w:bCs/>
          <w:color w:val="1F1F1F"/>
          <w:kern w:val="0"/>
          <w:sz w:val="21"/>
          <w:szCs w:val="21"/>
          <w14:ligatures w14:val="none"/>
        </w:rPr>
        <w:t>indemnification agreements</w:t>
      </w:r>
      <w:r w:rsidRPr="00410309">
        <w:rPr>
          <w:rFonts w:ascii="Arial" w:eastAsia="Times New Roman" w:hAnsi="Arial" w:cs="Arial"/>
          <w:color w:val="1F1F1F"/>
          <w:kern w:val="0"/>
          <w:sz w:val="21"/>
          <w:szCs w:val="21"/>
          <w14:ligatures w14:val="none"/>
        </w:rPr>
        <w:t xml:space="preserve">, and </w:t>
      </w:r>
      <w:r w:rsidRPr="00410309">
        <w:rPr>
          <w:rFonts w:ascii="Arial" w:eastAsia="Times New Roman" w:hAnsi="Arial" w:cs="Arial"/>
          <w:b/>
          <w:bCs/>
          <w:color w:val="1F1F1F"/>
          <w:kern w:val="0"/>
          <w:sz w:val="21"/>
          <w:szCs w:val="21"/>
          <w14:ligatures w14:val="none"/>
        </w:rPr>
        <w:t>federal bankruptcy law governing estate property</w:t>
      </w:r>
      <w:r w:rsidRPr="00410309">
        <w:rPr>
          <w:rFonts w:ascii="Arial" w:eastAsia="Times New Roman" w:hAnsi="Arial" w:cs="Arial"/>
          <w:color w:val="1F1F1F"/>
          <w:kern w:val="0"/>
          <w:sz w:val="21"/>
          <w:szCs w:val="21"/>
          <w14:ligatures w14:val="none"/>
        </w:rPr>
        <w:t>:</w:t>
      </w:r>
    </w:p>
    <w:p w14:paraId="41C3C479" w14:textId="77777777" w:rsidR="00410309" w:rsidRPr="00410309" w:rsidRDefault="00000000" w:rsidP="00410309">
      <w:pPr>
        <w:spacing w:after="12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02C38F18">
          <v:rect id="_x0000_i1032" style="width:0;height:1.5pt" o:hralign="center" o:hrstd="t" o:hr="t" fillcolor="#a0a0a0" stroked="f"/>
        </w:pict>
      </w:r>
    </w:p>
    <w:p w14:paraId="0E552E87" w14:textId="77777777" w:rsidR="00410309" w:rsidRPr="00410309" w:rsidRDefault="00410309" w:rsidP="00410309">
      <w:pPr>
        <w:spacing w:after="120" w:line="330" w:lineRule="atLeast"/>
        <w:rPr>
          <w:rFonts w:ascii="Arial" w:eastAsia="Times New Roman" w:hAnsi="Arial" w:cs="Arial"/>
          <w:b/>
          <w:bCs/>
          <w:color w:val="1F1F1F"/>
          <w:kern w:val="0"/>
          <w:sz w:val="21"/>
          <w:szCs w:val="21"/>
          <w14:ligatures w14:val="none"/>
        </w:rPr>
      </w:pPr>
      <w:r w:rsidRPr="00410309">
        <w:rPr>
          <w:rFonts w:ascii="Arial" w:eastAsia="Times New Roman" w:hAnsi="Arial" w:cs="Arial"/>
          <w:b/>
          <w:bCs/>
          <w:color w:val="1F1F1F"/>
          <w:kern w:val="0"/>
          <w:sz w:val="21"/>
          <w:szCs w:val="21"/>
          <w14:ligatures w14:val="none"/>
        </w:rPr>
        <w:t>1. State Common Law Ignored the Contract Terms</w:t>
      </w:r>
    </w:p>
    <w:p w14:paraId="74E698FA" w14:textId="77777777" w:rsidR="00410309" w:rsidRPr="00410309" w:rsidRDefault="00410309" w:rsidP="00410309">
      <w:p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Under common law (such as New Jersey and California product-line doctrines), injured tort plaintiffs argued that private contractual exclusions between a buyer and seller cannot alter the rights of non-parties.</w:t>
      </w:r>
    </w:p>
    <w:p w14:paraId="4D87A7E7" w14:textId="77777777" w:rsidR="00410309" w:rsidRPr="00410309" w:rsidRDefault="00410309" w:rsidP="00410309">
      <w:pPr>
        <w:numPr>
          <w:ilvl w:val="0"/>
          <w:numId w:val="8"/>
        </w:num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 xml:space="preserve">Even though the 2004 APA stated that Whittaker retained all asbestos liabilities, state tort law allows victims to sue a successor buyer under the </w:t>
      </w:r>
      <w:r w:rsidRPr="00410309">
        <w:rPr>
          <w:rFonts w:ascii="Arial" w:eastAsia="Times New Roman" w:hAnsi="Arial" w:cs="Arial"/>
          <w:b/>
          <w:bCs/>
          <w:color w:val="1F1F1F"/>
          <w:kern w:val="0"/>
          <w:sz w:val="21"/>
          <w:szCs w:val="21"/>
          <w14:ligatures w14:val="none"/>
        </w:rPr>
        <w:t>product-line exception</w:t>
      </w:r>
      <w:r w:rsidRPr="00410309">
        <w:rPr>
          <w:rFonts w:ascii="Arial" w:eastAsia="Times New Roman" w:hAnsi="Arial" w:cs="Arial"/>
          <w:color w:val="1F1F1F"/>
          <w:kern w:val="0"/>
          <w:sz w:val="21"/>
          <w:szCs w:val="21"/>
          <w14:ligatures w14:val="none"/>
        </w:rPr>
        <w:t xml:space="preserve"> if the buyer </w:t>
      </w:r>
      <w:r w:rsidRPr="00410309">
        <w:rPr>
          <w:rFonts w:ascii="Arial" w:eastAsia="Times New Roman" w:hAnsi="Arial" w:cs="Arial"/>
          <w:color w:val="1F1F1F"/>
          <w:kern w:val="0"/>
          <w:sz w:val="21"/>
          <w:szCs w:val="21"/>
          <w14:ligatures w14:val="none"/>
        </w:rPr>
        <w:lastRenderedPageBreak/>
        <w:t>acquired the operating assets and continued manufacturing the line while leaving the seller an underfunded shell.</w:t>
      </w:r>
    </w:p>
    <w:p w14:paraId="68413723" w14:textId="77777777" w:rsidR="00410309" w:rsidRPr="00491D7D" w:rsidRDefault="00410309" w:rsidP="00410309">
      <w:pPr>
        <w:numPr>
          <w:ilvl w:val="0"/>
          <w:numId w:val="8"/>
        </w:numPr>
        <w:spacing w:after="120" w:line="330" w:lineRule="atLeast"/>
        <w:rPr>
          <w:rFonts w:ascii="Arial" w:eastAsia="Times New Roman" w:hAnsi="Arial" w:cs="Arial"/>
          <w:color w:val="1F1F1F"/>
          <w:kern w:val="0"/>
          <w:sz w:val="21"/>
          <w:szCs w:val="21"/>
          <w:highlight w:val="yellow"/>
          <w14:ligatures w14:val="none"/>
        </w:rPr>
      </w:pPr>
      <w:r w:rsidRPr="00491D7D">
        <w:rPr>
          <w:rFonts w:ascii="Arial" w:eastAsia="Times New Roman" w:hAnsi="Arial" w:cs="Arial"/>
          <w:color w:val="1F1F1F"/>
          <w:kern w:val="0"/>
          <w:sz w:val="21"/>
          <w:szCs w:val="21"/>
          <w:highlight w:val="yellow"/>
          <w14:ligatures w14:val="none"/>
        </w:rPr>
        <w:t>Because of this equitable doctrine, individual talc claimants brought thousands of direct lawsuits against Brenntag outside of bankruptcy, despite the APA's exclusion clause.</w:t>
      </w:r>
    </w:p>
    <w:p w14:paraId="28ED1AF9" w14:textId="77777777" w:rsidR="00410309" w:rsidRPr="00410309" w:rsidRDefault="00000000" w:rsidP="00410309">
      <w:pPr>
        <w:spacing w:after="12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2355347B">
          <v:rect id="_x0000_i1033" style="width:0;height:1.5pt" o:hralign="center" o:hrstd="t" o:hr="t" fillcolor="#a0a0a0" stroked="f"/>
        </w:pict>
      </w:r>
    </w:p>
    <w:p w14:paraId="2B309375" w14:textId="77777777" w:rsidR="00410309" w:rsidRPr="00410309" w:rsidRDefault="00410309" w:rsidP="00410309">
      <w:pPr>
        <w:spacing w:after="120" w:line="330" w:lineRule="atLeast"/>
        <w:rPr>
          <w:rFonts w:ascii="Arial" w:eastAsia="Times New Roman" w:hAnsi="Arial" w:cs="Arial"/>
          <w:b/>
          <w:bCs/>
          <w:color w:val="1F1F1F"/>
          <w:kern w:val="0"/>
          <w:sz w:val="21"/>
          <w:szCs w:val="21"/>
          <w14:ligatures w14:val="none"/>
        </w:rPr>
      </w:pPr>
      <w:r w:rsidRPr="00410309">
        <w:rPr>
          <w:rFonts w:ascii="Arial" w:eastAsia="Times New Roman" w:hAnsi="Arial" w:cs="Arial"/>
          <w:b/>
          <w:bCs/>
          <w:color w:val="1F1F1F"/>
          <w:kern w:val="0"/>
          <w:sz w:val="21"/>
          <w:szCs w:val="21"/>
          <w14:ligatures w14:val="none"/>
        </w:rPr>
        <w:t>2. Whittaker Had an Obligation to Indemnify Brenntag</w:t>
      </w:r>
    </w:p>
    <w:p w14:paraId="0195B08C" w14:textId="77777777" w:rsidR="00410309" w:rsidRPr="00410309" w:rsidRDefault="00410309" w:rsidP="00410309">
      <w:pPr>
        <w:spacing w:after="120" w:line="330" w:lineRule="atLeast"/>
        <w:rPr>
          <w:rFonts w:ascii="Arial" w:eastAsia="Times New Roman" w:hAnsi="Arial" w:cs="Arial"/>
          <w:color w:val="1F1F1F"/>
          <w:kern w:val="0"/>
          <w:sz w:val="21"/>
          <w:szCs w:val="21"/>
          <w14:ligatures w14:val="none"/>
        </w:rPr>
      </w:pPr>
      <w:r w:rsidRPr="00B84220">
        <w:rPr>
          <w:rFonts w:ascii="Arial" w:eastAsia="Times New Roman" w:hAnsi="Arial" w:cs="Arial"/>
          <w:color w:val="1F1F1F"/>
          <w:kern w:val="0"/>
          <w:sz w:val="21"/>
          <w:szCs w:val="21"/>
          <w:highlight w:val="yellow"/>
          <w14:ligatures w14:val="none"/>
        </w:rPr>
        <w:t xml:space="preserve">While Brenntag did not assume the asbestos claims in the APA, </w:t>
      </w:r>
      <w:r w:rsidRPr="00B84220">
        <w:rPr>
          <w:rFonts w:ascii="Arial" w:eastAsia="Times New Roman" w:hAnsi="Arial" w:cs="Arial"/>
          <w:b/>
          <w:bCs/>
          <w:color w:val="1F1F1F"/>
          <w:kern w:val="0"/>
          <w:sz w:val="21"/>
          <w:szCs w:val="21"/>
          <w:highlight w:val="yellow"/>
          <w14:ligatures w14:val="none"/>
        </w:rPr>
        <w:t>Whittaker agreed to broadly indemnify Brenntag</w:t>
      </w:r>
      <w:r w:rsidRPr="00B84220">
        <w:rPr>
          <w:rFonts w:ascii="Arial" w:eastAsia="Times New Roman" w:hAnsi="Arial" w:cs="Arial"/>
          <w:color w:val="1F1F1F"/>
          <w:kern w:val="0"/>
          <w:sz w:val="21"/>
          <w:szCs w:val="21"/>
          <w:highlight w:val="yellow"/>
          <w14:ligatures w14:val="none"/>
        </w:rPr>
        <w:t xml:space="preserve"> for any asbestos or environmental liabilities that attached to Brenntag post-sale.</w:t>
      </w:r>
      <w:r w:rsidRPr="00410309">
        <w:rPr>
          <w:rFonts w:ascii="Arial" w:eastAsia="Times New Roman" w:hAnsi="Arial" w:cs="Arial"/>
          <w:color w:val="1F1F1F"/>
          <w:kern w:val="0"/>
          <w:sz w:val="21"/>
          <w:szCs w:val="21"/>
          <w14:ligatures w14:val="none"/>
        </w:rPr>
        <w:t xml:space="preserve">   </w:t>
      </w:r>
    </w:p>
    <w:p w14:paraId="66A29172" w14:textId="77777777" w:rsidR="00410309" w:rsidRPr="00491D7D" w:rsidRDefault="00410309" w:rsidP="00410309">
      <w:pPr>
        <w:numPr>
          <w:ilvl w:val="0"/>
          <w:numId w:val="9"/>
        </w:numPr>
        <w:spacing w:after="120" w:line="330" w:lineRule="atLeast"/>
        <w:rPr>
          <w:rFonts w:ascii="Arial" w:eastAsia="Times New Roman" w:hAnsi="Arial" w:cs="Arial"/>
          <w:color w:val="1F1F1F"/>
          <w:kern w:val="0"/>
          <w:sz w:val="21"/>
          <w:szCs w:val="21"/>
          <w:highlight w:val="yellow"/>
          <w14:ligatures w14:val="none"/>
        </w:rPr>
      </w:pPr>
      <w:r w:rsidRPr="00410309">
        <w:rPr>
          <w:rFonts w:ascii="Arial" w:eastAsia="Times New Roman" w:hAnsi="Arial" w:cs="Arial"/>
          <w:color w:val="1F1F1F"/>
          <w:kern w:val="0"/>
          <w:sz w:val="21"/>
          <w:szCs w:val="21"/>
          <w14:ligatures w14:val="none"/>
        </w:rPr>
        <w:t xml:space="preserve">As tort victims sued Brenntag in state courts under the product-line theory, </w:t>
      </w:r>
      <w:r w:rsidRPr="00491D7D">
        <w:rPr>
          <w:rFonts w:ascii="Arial" w:eastAsia="Times New Roman" w:hAnsi="Arial" w:cs="Arial"/>
          <w:color w:val="1F1F1F"/>
          <w:kern w:val="0"/>
          <w:sz w:val="21"/>
          <w:szCs w:val="21"/>
          <w:highlight w:val="yellow"/>
          <w14:ligatures w14:val="none"/>
        </w:rPr>
        <w:t xml:space="preserve">Brenntag turned around and asserted massive </w:t>
      </w:r>
      <w:r w:rsidRPr="00491D7D">
        <w:rPr>
          <w:rFonts w:ascii="Arial" w:eastAsia="Times New Roman" w:hAnsi="Arial" w:cs="Arial"/>
          <w:b/>
          <w:bCs/>
          <w:color w:val="1F1F1F"/>
          <w:kern w:val="0"/>
          <w:sz w:val="21"/>
          <w:szCs w:val="21"/>
          <w:highlight w:val="yellow"/>
          <w14:ligatures w14:val="none"/>
        </w:rPr>
        <w:t>indemnification claims against Whittaker</w:t>
      </w:r>
      <w:r w:rsidRPr="00491D7D">
        <w:rPr>
          <w:rFonts w:ascii="Arial" w:eastAsia="Times New Roman" w:hAnsi="Arial" w:cs="Arial"/>
          <w:color w:val="1F1F1F"/>
          <w:kern w:val="0"/>
          <w:sz w:val="21"/>
          <w:szCs w:val="21"/>
          <w:highlight w:val="yellow"/>
          <w14:ligatures w14:val="none"/>
        </w:rPr>
        <w:t xml:space="preserve"> to cover its defense costs and potential judgments.</w:t>
      </w:r>
    </w:p>
    <w:p w14:paraId="05B2B12A" w14:textId="77777777" w:rsidR="00410309" w:rsidRPr="00410309" w:rsidRDefault="00410309" w:rsidP="00410309">
      <w:pPr>
        <w:numPr>
          <w:ilvl w:val="0"/>
          <w:numId w:val="9"/>
        </w:num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Consequently, every dollar sued for against Brenntag under the product-line exception looped back to become a claim directly against Whittaker’s financial estate.</w:t>
      </w:r>
    </w:p>
    <w:p w14:paraId="334342AB" w14:textId="77777777" w:rsidR="00410309" w:rsidRPr="00410309" w:rsidRDefault="00000000" w:rsidP="00410309">
      <w:pPr>
        <w:spacing w:after="12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16CB2556">
          <v:rect id="_x0000_i1034" style="width:0;height:1.5pt" o:hralign="center" o:hrstd="t" o:hr="t" fillcolor="#a0a0a0" stroked="f"/>
        </w:pict>
      </w:r>
    </w:p>
    <w:p w14:paraId="36616C9E" w14:textId="77777777" w:rsidR="00410309" w:rsidRPr="00410309" w:rsidRDefault="00410309" w:rsidP="00410309">
      <w:pPr>
        <w:spacing w:after="120" w:line="330" w:lineRule="atLeast"/>
        <w:rPr>
          <w:rFonts w:ascii="Arial" w:eastAsia="Times New Roman" w:hAnsi="Arial" w:cs="Arial"/>
          <w:b/>
          <w:bCs/>
          <w:color w:val="1F1F1F"/>
          <w:kern w:val="0"/>
          <w:sz w:val="21"/>
          <w:szCs w:val="21"/>
          <w14:ligatures w14:val="none"/>
        </w:rPr>
      </w:pPr>
      <w:r w:rsidRPr="00410309">
        <w:rPr>
          <w:rFonts w:ascii="Arial" w:eastAsia="Times New Roman" w:hAnsi="Arial" w:cs="Arial"/>
          <w:b/>
          <w:bCs/>
          <w:color w:val="1F1F1F"/>
          <w:kern w:val="0"/>
          <w:sz w:val="21"/>
          <w:szCs w:val="21"/>
          <w14:ligatures w14:val="none"/>
        </w:rPr>
        <w:t>3. Federal Bankruptcy Law Transformed Claim Ownership (§ 541)</w:t>
      </w:r>
    </w:p>
    <w:p w14:paraId="5290C2B6" w14:textId="77777777" w:rsidR="00410309" w:rsidRPr="00410309" w:rsidRDefault="00410309" w:rsidP="00410309">
      <w:p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 xml:space="preserve">When Whittaker filed for Chapter 11, </w:t>
      </w:r>
      <w:r w:rsidRPr="00491D7D">
        <w:rPr>
          <w:rFonts w:ascii="Arial" w:eastAsia="Times New Roman" w:hAnsi="Arial" w:cs="Arial"/>
          <w:color w:val="1F1F1F"/>
          <w:kern w:val="0"/>
          <w:sz w:val="21"/>
          <w:szCs w:val="21"/>
          <w:highlight w:val="yellow"/>
          <w14:ligatures w14:val="none"/>
        </w:rPr>
        <w:t>it filed an adversary proceeding seeking a declaration that product-line successor claims belonged exclusively to the bankruptcy estate.</w:t>
      </w:r>
      <w:r w:rsidRPr="00410309">
        <w:rPr>
          <w:rFonts w:ascii="Arial" w:eastAsia="Times New Roman" w:hAnsi="Arial" w:cs="Arial"/>
          <w:color w:val="1F1F1F"/>
          <w:kern w:val="0"/>
          <w:sz w:val="21"/>
          <w:szCs w:val="21"/>
          <w14:ligatures w14:val="none"/>
        </w:rPr>
        <w:t xml:space="preserve">   </w:t>
      </w:r>
    </w:p>
    <w:p w14:paraId="168AADBD" w14:textId="77777777" w:rsidR="00410309" w:rsidRPr="00410309" w:rsidRDefault="00410309" w:rsidP="00410309">
      <w:p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The Third Circuit held that:</w:t>
      </w:r>
    </w:p>
    <w:p w14:paraId="6137FB88" w14:textId="77777777" w:rsidR="00410309" w:rsidRPr="00B84220" w:rsidRDefault="00410309" w:rsidP="00410309">
      <w:pPr>
        <w:numPr>
          <w:ilvl w:val="0"/>
          <w:numId w:val="10"/>
        </w:numPr>
        <w:spacing w:after="120" w:line="330" w:lineRule="atLeast"/>
        <w:rPr>
          <w:rFonts w:ascii="Arial" w:eastAsia="Times New Roman" w:hAnsi="Arial" w:cs="Arial"/>
          <w:color w:val="1F1F1F"/>
          <w:kern w:val="0"/>
          <w:sz w:val="21"/>
          <w:szCs w:val="21"/>
          <w:highlight w:val="yellow"/>
          <w14:ligatures w14:val="none"/>
        </w:rPr>
      </w:pPr>
      <w:r w:rsidRPr="00B84220">
        <w:rPr>
          <w:rFonts w:ascii="Arial" w:eastAsia="Times New Roman" w:hAnsi="Arial" w:cs="Arial"/>
          <w:b/>
          <w:bCs/>
          <w:color w:val="1F1F1F"/>
          <w:kern w:val="0"/>
          <w:sz w:val="21"/>
          <w:szCs w:val="21"/>
          <w:highlight w:val="yellow"/>
          <w14:ligatures w14:val="none"/>
        </w:rPr>
        <w:t>Product-Line Claims Are Derivative/General:</w:t>
      </w:r>
      <w:r w:rsidRPr="00B84220">
        <w:rPr>
          <w:rFonts w:ascii="Arial" w:eastAsia="Times New Roman" w:hAnsi="Arial" w:cs="Arial"/>
          <w:color w:val="1F1F1F"/>
          <w:kern w:val="0"/>
          <w:sz w:val="21"/>
          <w:szCs w:val="21"/>
          <w:highlight w:val="yellow"/>
          <w14:ligatures w14:val="none"/>
        </w:rPr>
        <w:t xml:space="preserve"> Product-line claims against Brenntag depend entirely on Brenntag’s acquisition of </w:t>
      </w:r>
      <w:r w:rsidRPr="00B84220">
        <w:rPr>
          <w:rFonts w:ascii="Arial" w:eastAsia="Times New Roman" w:hAnsi="Arial" w:cs="Arial"/>
          <w:i/>
          <w:iCs/>
          <w:color w:val="1F1F1F"/>
          <w:kern w:val="0"/>
          <w:sz w:val="21"/>
          <w:szCs w:val="21"/>
          <w:highlight w:val="yellow"/>
          <w14:ligatures w14:val="none"/>
        </w:rPr>
        <w:t>Whittaker’s</w:t>
      </w:r>
      <w:r w:rsidRPr="00B84220">
        <w:rPr>
          <w:rFonts w:ascii="Arial" w:eastAsia="Times New Roman" w:hAnsi="Arial" w:cs="Arial"/>
          <w:color w:val="1F1F1F"/>
          <w:kern w:val="0"/>
          <w:sz w:val="21"/>
          <w:szCs w:val="21"/>
          <w:highlight w:val="yellow"/>
          <w14:ligatures w14:val="none"/>
        </w:rPr>
        <w:t xml:space="preserve"> business, rather than any independent tort committed directly by Brenntag against individual plaintiffs.   </w:t>
      </w:r>
    </w:p>
    <w:p w14:paraId="3BB9825F" w14:textId="77777777" w:rsidR="00410309" w:rsidRPr="00410309" w:rsidRDefault="00410309" w:rsidP="00410309">
      <w:pPr>
        <w:numPr>
          <w:ilvl w:val="0"/>
          <w:numId w:val="10"/>
        </w:num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b/>
          <w:bCs/>
          <w:color w:val="1F1F1F"/>
          <w:kern w:val="0"/>
          <w:sz w:val="21"/>
          <w:szCs w:val="21"/>
          <w14:ligatures w14:val="none"/>
        </w:rPr>
        <w:t>Property of the Estate:</w:t>
      </w:r>
      <w:r w:rsidRPr="00410309">
        <w:rPr>
          <w:rFonts w:ascii="Arial" w:eastAsia="Times New Roman" w:hAnsi="Arial" w:cs="Arial"/>
          <w:color w:val="1F1F1F"/>
          <w:kern w:val="0"/>
          <w:sz w:val="21"/>
          <w:szCs w:val="21"/>
          <w14:ligatures w14:val="none"/>
        </w:rPr>
        <w:t xml:space="preserve"> Under 11 U.S.C. § 541(a)(1), general/derivative claims belong to the bankruptcy estate.</w:t>
      </w:r>
    </w:p>
    <w:p w14:paraId="56CB5AEA" w14:textId="77777777" w:rsidR="00410309" w:rsidRPr="00B84220" w:rsidRDefault="00410309" w:rsidP="00410309">
      <w:pPr>
        <w:numPr>
          <w:ilvl w:val="0"/>
          <w:numId w:val="10"/>
        </w:numPr>
        <w:spacing w:after="120" w:line="330" w:lineRule="atLeast"/>
        <w:rPr>
          <w:rFonts w:ascii="Arial" w:eastAsia="Times New Roman" w:hAnsi="Arial" w:cs="Arial"/>
          <w:color w:val="1F1F1F"/>
          <w:kern w:val="0"/>
          <w:sz w:val="21"/>
          <w:szCs w:val="21"/>
          <w:highlight w:val="yellow"/>
          <w14:ligatures w14:val="none"/>
        </w:rPr>
      </w:pPr>
      <w:r w:rsidRPr="00B84220">
        <w:rPr>
          <w:rFonts w:ascii="Arial" w:eastAsia="Times New Roman" w:hAnsi="Arial" w:cs="Arial"/>
          <w:b/>
          <w:bCs/>
          <w:color w:val="1F1F1F"/>
          <w:kern w:val="0"/>
          <w:sz w:val="21"/>
          <w:szCs w:val="21"/>
          <w:highlight w:val="yellow"/>
          <w14:ligatures w14:val="none"/>
        </w:rPr>
        <w:t>Loss of Individual Standing:</w:t>
      </w:r>
      <w:r w:rsidRPr="00B84220">
        <w:rPr>
          <w:rFonts w:ascii="Arial" w:eastAsia="Times New Roman" w:hAnsi="Arial" w:cs="Arial"/>
          <w:color w:val="1F1F1F"/>
          <w:kern w:val="0"/>
          <w:sz w:val="21"/>
          <w:szCs w:val="21"/>
          <w:highlight w:val="yellow"/>
          <w14:ligatures w14:val="none"/>
        </w:rPr>
        <w:t xml:space="preserve"> Individual tort victims lost standing to sue Brenntag separately; only Whittaker (as debtor-in-possession) had the sole authority to prosecute, settle, or release those product-line claims.   </w:t>
      </w:r>
    </w:p>
    <w:p w14:paraId="526BAC22" w14:textId="77777777" w:rsidR="00410309" w:rsidRPr="00410309" w:rsidRDefault="00000000" w:rsidP="00410309">
      <w:pPr>
        <w:spacing w:after="12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0A6405C6">
          <v:rect id="_x0000_i1035" style="width:0;height:1.5pt" o:hralign="center" o:hrstd="t" o:hr="t" fillcolor="#a0a0a0" stroked="f"/>
        </w:pict>
      </w:r>
    </w:p>
    <w:p w14:paraId="07B76820" w14:textId="77777777" w:rsidR="00410309" w:rsidRPr="00410309" w:rsidRDefault="00410309" w:rsidP="00410309">
      <w:pPr>
        <w:spacing w:after="120" w:line="330" w:lineRule="atLeast"/>
        <w:rPr>
          <w:rFonts w:ascii="Arial" w:eastAsia="Times New Roman" w:hAnsi="Arial" w:cs="Arial"/>
          <w:b/>
          <w:bCs/>
          <w:color w:val="1F1F1F"/>
          <w:kern w:val="0"/>
          <w:sz w:val="21"/>
          <w:szCs w:val="21"/>
          <w14:ligatures w14:val="none"/>
        </w:rPr>
      </w:pPr>
      <w:r w:rsidRPr="00410309">
        <w:rPr>
          <w:rFonts w:ascii="Arial" w:eastAsia="Times New Roman" w:hAnsi="Arial" w:cs="Arial"/>
          <w:b/>
          <w:bCs/>
          <w:color w:val="1F1F1F"/>
          <w:kern w:val="0"/>
          <w:sz w:val="21"/>
          <w:szCs w:val="21"/>
          <w14:ligatures w14:val="none"/>
        </w:rPr>
        <w:t>4. How the Debtors Released Brenntag</w:t>
      </w:r>
    </w:p>
    <w:p w14:paraId="222249F3" w14:textId="77777777" w:rsidR="00410309" w:rsidRPr="00410309" w:rsidRDefault="00410309" w:rsidP="00410309">
      <w:p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 xml:space="preserve">Because the product-line causes of action were classified as estate property under § 541, </w:t>
      </w:r>
      <w:r w:rsidRPr="00491D7D">
        <w:rPr>
          <w:rFonts w:ascii="Arial" w:eastAsia="Times New Roman" w:hAnsi="Arial" w:cs="Arial"/>
          <w:color w:val="1F1F1F"/>
          <w:kern w:val="0"/>
          <w:sz w:val="21"/>
          <w:szCs w:val="21"/>
          <w:highlight w:val="yellow"/>
          <w14:ligatures w14:val="none"/>
        </w:rPr>
        <w:t>Whittaker gained the legal leverage to settle them with Brenntag under Bankruptcy Rule 9019:</w:t>
      </w:r>
    </w:p>
    <w:p w14:paraId="187BBD35" w14:textId="77777777" w:rsidR="00410309" w:rsidRPr="00410309" w:rsidRDefault="00410309" w:rsidP="00410309">
      <w:pPr>
        <w:numPr>
          <w:ilvl w:val="0"/>
          <w:numId w:val="11"/>
        </w:num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b/>
          <w:bCs/>
          <w:color w:val="1F1F1F"/>
          <w:kern w:val="0"/>
          <w:sz w:val="21"/>
          <w:szCs w:val="21"/>
          <w14:ligatures w14:val="none"/>
        </w:rPr>
        <w:lastRenderedPageBreak/>
        <w:t>The Cash Contribution:</w:t>
      </w:r>
      <w:r w:rsidRPr="00410309">
        <w:rPr>
          <w:rFonts w:ascii="Arial" w:eastAsia="Times New Roman" w:hAnsi="Arial" w:cs="Arial"/>
          <w:color w:val="1F1F1F"/>
          <w:kern w:val="0"/>
          <w:sz w:val="21"/>
          <w:szCs w:val="21"/>
          <w14:ligatures w14:val="none"/>
        </w:rPr>
        <w:t xml:space="preserve"> </w:t>
      </w:r>
      <w:r w:rsidRPr="00491D7D">
        <w:rPr>
          <w:rFonts w:ascii="Arial" w:eastAsia="Times New Roman" w:hAnsi="Arial" w:cs="Arial"/>
          <w:color w:val="1F1F1F"/>
          <w:kern w:val="0"/>
          <w:sz w:val="21"/>
          <w:szCs w:val="21"/>
          <w:highlight w:val="yellow"/>
          <w14:ligatures w14:val="none"/>
        </w:rPr>
        <w:t xml:space="preserve">Brenntag (and its supporting financial/insurance backers, including Berkshire Hathaway entities) agreed to contribute approximately </w:t>
      </w:r>
      <w:r w:rsidRPr="00491D7D">
        <w:rPr>
          <w:rFonts w:ascii="Arial" w:eastAsia="Times New Roman" w:hAnsi="Arial" w:cs="Arial"/>
          <w:b/>
          <w:bCs/>
          <w:color w:val="1F1F1F"/>
          <w:kern w:val="0"/>
          <w:sz w:val="21"/>
          <w:szCs w:val="21"/>
          <w:highlight w:val="yellow"/>
          <w14:ligatures w14:val="none"/>
        </w:rPr>
        <w:t>$535 million</w:t>
      </w:r>
      <w:r w:rsidRPr="00410309">
        <w:rPr>
          <w:rFonts w:ascii="Arial" w:eastAsia="Times New Roman" w:hAnsi="Arial" w:cs="Arial"/>
          <w:color w:val="1F1F1F"/>
          <w:kern w:val="0"/>
          <w:sz w:val="21"/>
          <w:szCs w:val="21"/>
          <w14:ligatures w14:val="none"/>
        </w:rPr>
        <w:t xml:space="preserve"> to the bankruptcy estate to fund a trust for talc and asbestos claimants.   </w:t>
      </w:r>
    </w:p>
    <w:p w14:paraId="5E164A22" w14:textId="77777777" w:rsidR="00410309" w:rsidRPr="00491D7D" w:rsidRDefault="00410309" w:rsidP="00410309">
      <w:pPr>
        <w:numPr>
          <w:ilvl w:val="0"/>
          <w:numId w:val="11"/>
        </w:numPr>
        <w:spacing w:after="120" w:line="330" w:lineRule="atLeast"/>
        <w:rPr>
          <w:rFonts w:ascii="Arial" w:eastAsia="Times New Roman" w:hAnsi="Arial" w:cs="Arial"/>
          <w:color w:val="1F1F1F"/>
          <w:kern w:val="0"/>
          <w:sz w:val="21"/>
          <w:szCs w:val="21"/>
          <w:highlight w:val="yellow"/>
          <w14:ligatures w14:val="none"/>
        </w:rPr>
      </w:pPr>
      <w:r w:rsidRPr="00410309">
        <w:rPr>
          <w:rFonts w:ascii="Arial" w:eastAsia="Times New Roman" w:hAnsi="Arial" w:cs="Arial"/>
          <w:b/>
          <w:bCs/>
          <w:color w:val="1F1F1F"/>
          <w:kern w:val="0"/>
          <w:sz w:val="21"/>
          <w:szCs w:val="21"/>
          <w14:ligatures w14:val="none"/>
        </w:rPr>
        <w:t>The Exchange of Releases:</w:t>
      </w:r>
      <w:r w:rsidRPr="00410309">
        <w:rPr>
          <w:rFonts w:ascii="Arial" w:eastAsia="Times New Roman" w:hAnsi="Arial" w:cs="Arial"/>
          <w:color w:val="1F1F1F"/>
          <w:kern w:val="0"/>
          <w:sz w:val="21"/>
          <w:szCs w:val="21"/>
          <w14:ligatures w14:val="none"/>
        </w:rPr>
        <w:t xml:space="preserve"> </w:t>
      </w:r>
      <w:r w:rsidRPr="00491D7D">
        <w:rPr>
          <w:rFonts w:ascii="Arial" w:eastAsia="Times New Roman" w:hAnsi="Arial" w:cs="Arial"/>
          <w:color w:val="1F1F1F"/>
          <w:kern w:val="0"/>
          <w:sz w:val="21"/>
          <w:szCs w:val="21"/>
          <w:highlight w:val="yellow"/>
          <w14:ligatures w14:val="none"/>
        </w:rPr>
        <w:t>In exchange for the $535 million cash injection, Whittaker granted Brenntag a comprehensive release of all derivative/successor liability claims owned by the estate.</w:t>
      </w:r>
    </w:p>
    <w:p w14:paraId="1826D6D1" w14:textId="77777777" w:rsidR="00410309" w:rsidRPr="00410309" w:rsidRDefault="00410309" w:rsidP="00410309">
      <w:pPr>
        <w:numPr>
          <w:ilvl w:val="0"/>
          <w:numId w:val="11"/>
        </w:num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b/>
          <w:bCs/>
          <w:color w:val="1F1F1F"/>
          <w:kern w:val="0"/>
          <w:sz w:val="21"/>
          <w:szCs w:val="21"/>
          <w14:ligatures w14:val="none"/>
        </w:rPr>
        <w:t>Elimination of Indemnity Claims:</w:t>
      </w:r>
      <w:r w:rsidRPr="00410309">
        <w:rPr>
          <w:rFonts w:ascii="Arial" w:eastAsia="Times New Roman" w:hAnsi="Arial" w:cs="Arial"/>
          <w:color w:val="1F1F1F"/>
          <w:kern w:val="0"/>
          <w:sz w:val="21"/>
          <w:szCs w:val="21"/>
          <w14:ligatures w14:val="none"/>
        </w:rPr>
        <w:t xml:space="preserve"> </w:t>
      </w:r>
      <w:r w:rsidRPr="00491D7D">
        <w:rPr>
          <w:rFonts w:ascii="Arial" w:eastAsia="Times New Roman" w:hAnsi="Arial" w:cs="Arial"/>
          <w:color w:val="1F1F1F"/>
          <w:kern w:val="0"/>
          <w:sz w:val="21"/>
          <w:szCs w:val="21"/>
          <w:highlight w:val="yellow"/>
          <w14:ligatures w14:val="none"/>
        </w:rPr>
        <w:t>Brenntag agreed to release its huge indemnification claims against Whittaker, clearing significant competing liabilities from the bankruptcy estate.</w:t>
      </w:r>
    </w:p>
    <w:p w14:paraId="250BC8F3" w14:textId="77777777" w:rsidR="00410309" w:rsidRPr="00410309" w:rsidRDefault="00000000" w:rsidP="00410309">
      <w:pPr>
        <w:spacing w:after="12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3A3E32E1">
          <v:rect id="_x0000_i1036" style="width:0;height:1.5pt" o:hralign="center" o:hrstd="t" o:hr="t" fillcolor="#a0a0a0" stroked="f"/>
        </w:pict>
      </w:r>
    </w:p>
    <w:p w14:paraId="5028CE85" w14:textId="77777777" w:rsidR="00410309" w:rsidRPr="00410309" w:rsidRDefault="00410309" w:rsidP="00410309">
      <w:pPr>
        <w:spacing w:after="120" w:line="330" w:lineRule="atLeast"/>
        <w:rPr>
          <w:rFonts w:ascii="Arial" w:eastAsia="Times New Roman" w:hAnsi="Arial" w:cs="Arial"/>
          <w:b/>
          <w:bCs/>
          <w:color w:val="1F1F1F"/>
          <w:kern w:val="0"/>
          <w:sz w:val="21"/>
          <w:szCs w:val="21"/>
          <w14:ligatures w14:val="none"/>
        </w:rPr>
      </w:pPr>
      <w:r w:rsidRPr="00410309">
        <w:rPr>
          <w:rFonts w:ascii="Arial" w:eastAsia="Times New Roman" w:hAnsi="Arial" w:cs="Arial"/>
          <w:b/>
          <w:bCs/>
          <w:color w:val="1F1F1F"/>
          <w:kern w:val="0"/>
          <w:sz w:val="21"/>
          <w:szCs w:val="21"/>
          <w14:ligatures w14:val="none"/>
        </w:rPr>
        <w:t>Summary</w:t>
      </w:r>
    </w:p>
    <w:p w14:paraId="48879FA7" w14:textId="77777777" w:rsidR="00410309" w:rsidRDefault="00410309" w:rsidP="00410309">
      <w:pPr>
        <w:spacing w:after="120" w:line="330" w:lineRule="atLeast"/>
        <w:rPr>
          <w:rFonts w:ascii="Arial" w:eastAsia="Times New Roman" w:hAnsi="Arial" w:cs="Arial"/>
          <w:color w:val="1F1F1F"/>
          <w:kern w:val="0"/>
          <w:sz w:val="21"/>
          <w:szCs w:val="21"/>
          <w14:ligatures w14:val="none"/>
        </w:rPr>
      </w:pPr>
      <w:r w:rsidRPr="00410309">
        <w:rPr>
          <w:rFonts w:ascii="Arial" w:eastAsia="Times New Roman" w:hAnsi="Arial" w:cs="Arial"/>
          <w:color w:val="1F1F1F"/>
          <w:kern w:val="0"/>
          <w:sz w:val="21"/>
          <w:szCs w:val="21"/>
          <w14:ligatures w14:val="none"/>
        </w:rPr>
        <w:t xml:space="preserve">The contractual exclusion in the 2004 sale agreement did not prevent a settlement because common-law product-line claims created a liability loop (via Whittaker's indemnity obligations to Brenntag). Once bankruptcy law converted those product-line tort claims into </w:t>
      </w:r>
      <w:r w:rsidRPr="00410309">
        <w:rPr>
          <w:rFonts w:ascii="Arial" w:eastAsia="Times New Roman" w:hAnsi="Arial" w:cs="Arial"/>
          <w:b/>
          <w:bCs/>
          <w:color w:val="1F1F1F"/>
          <w:kern w:val="0"/>
          <w:sz w:val="21"/>
          <w:szCs w:val="21"/>
          <w14:ligatures w14:val="none"/>
        </w:rPr>
        <w:t>property of the debtor’s estate</w:t>
      </w:r>
      <w:r w:rsidRPr="00410309">
        <w:rPr>
          <w:rFonts w:ascii="Arial" w:eastAsia="Times New Roman" w:hAnsi="Arial" w:cs="Arial"/>
          <w:color w:val="1F1F1F"/>
          <w:kern w:val="0"/>
          <w:sz w:val="21"/>
          <w:szCs w:val="21"/>
          <w14:ligatures w14:val="none"/>
        </w:rPr>
        <w:t xml:space="preserve">, Whittaker used its authority over that property to sell Brenntag a complete release in exchange for over half a billion dollars to distribute to all creditors.   </w:t>
      </w:r>
    </w:p>
    <w:p w14:paraId="5024D9CC" w14:textId="77777777" w:rsidR="00E20955" w:rsidRDefault="00E20955" w:rsidP="00410309">
      <w:pPr>
        <w:spacing w:after="120" w:line="330" w:lineRule="atLeast"/>
        <w:rPr>
          <w:rFonts w:ascii="Arial" w:eastAsia="Times New Roman" w:hAnsi="Arial" w:cs="Arial"/>
          <w:color w:val="1F1F1F"/>
          <w:kern w:val="0"/>
          <w:sz w:val="21"/>
          <w:szCs w:val="21"/>
          <w14:ligatures w14:val="none"/>
        </w:rPr>
      </w:pPr>
    </w:p>
    <w:p w14:paraId="79905C54" w14:textId="77777777" w:rsidR="00E20955" w:rsidRPr="00E20955" w:rsidRDefault="00E20955" w:rsidP="00E20955">
      <w:pPr>
        <w:numPr>
          <w:ilvl w:val="0"/>
          <w:numId w:val="12"/>
        </w:numPr>
        <w:spacing w:after="120" w:line="330" w:lineRule="atLeast"/>
        <w:rPr>
          <w:rFonts w:ascii="Arial" w:eastAsia="Times New Roman" w:hAnsi="Arial" w:cs="Arial"/>
          <w:color w:val="1F1F1F"/>
          <w:kern w:val="0"/>
          <w:sz w:val="21"/>
          <w:szCs w:val="21"/>
          <w14:ligatures w14:val="none"/>
        </w:rPr>
      </w:pPr>
    </w:p>
    <w:p w14:paraId="735B8330" w14:textId="64A4DFE3" w:rsidR="00E20955" w:rsidRPr="00410309" w:rsidRDefault="00E20955" w:rsidP="00491D7D">
      <w:pPr>
        <w:spacing w:after="120" w:line="330" w:lineRule="atLeast"/>
        <w:rPr>
          <w:rFonts w:ascii="Arial" w:eastAsia="Times New Roman" w:hAnsi="Arial" w:cs="Arial"/>
          <w:color w:val="1F1F1F"/>
          <w:kern w:val="0"/>
          <w:sz w:val="21"/>
          <w:szCs w:val="21"/>
          <w14:ligatures w14:val="none"/>
        </w:rPr>
      </w:pPr>
      <w:r w:rsidRPr="00E20955">
        <w:rPr>
          <w:rFonts w:ascii="Arial" w:eastAsia="Times New Roman" w:hAnsi="Arial" w:cs="Arial"/>
          <w:color w:val="1F1F1F"/>
          <w:kern w:val="0"/>
          <w:sz w:val="21"/>
          <w:szCs w:val="21"/>
          <w14:ligatures w14:val="none"/>
        </w:rPr>
        <w:t xml:space="preserve">In </w:t>
      </w:r>
      <w:r w:rsidRPr="00E20955">
        <w:rPr>
          <w:rFonts w:ascii="Arial" w:eastAsia="Times New Roman" w:hAnsi="Arial" w:cs="Arial"/>
          <w:b/>
          <w:bCs/>
          <w:i/>
          <w:iCs/>
          <w:color w:val="1F1F1F"/>
          <w:kern w:val="0"/>
          <w:sz w:val="21"/>
          <w:szCs w:val="21"/>
          <w14:ligatures w14:val="none"/>
        </w:rPr>
        <w:t>In re Whittaker, Clark &amp; Daniels, Inc.</w:t>
      </w:r>
      <w:r w:rsidRPr="00E20955">
        <w:rPr>
          <w:rFonts w:ascii="Arial" w:eastAsia="Times New Roman" w:hAnsi="Arial" w:cs="Arial"/>
          <w:color w:val="1F1F1F"/>
          <w:kern w:val="0"/>
          <w:sz w:val="21"/>
          <w:szCs w:val="21"/>
          <w14:ligatures w14:val="none"/>
        </w:rPr>
        <w:t xml:space="preserve"> (No. 24-2210 &amp; 24-2211, 3d Cir. Apr. 27, 2026), the </w:t>
      </w:r>
    </w:p>
    <w:p w14:paraId="25EC8278" w14:textId="77777777" w:rsidR="00410309" w:rsidRPr="00410309" w:rsidRDefault="00410309" w:rsidP="00410309">
      <w:pPr>
        <w:spacing w:after="120" w:line="330" w:lineRule="atLeast"/>
        <w:rPr>
          <w:rFonts w:ascii="Arial" w:eastAsia="Times New Roman" w:hAnsi="Arial" w:cs="Arial"/>
          <w:color w:val="1F1F1F"/>
          <w:kern w:val="0"/>
          <w:sz w:val="21"/>
          <w:szCs w:val="21"/>
          <w14:ligatures w14:val="none"/>
        </w:rPr>
      </w:pPr>
    </w:p>
    <w:p w14:paraId="7F79D1B4" w14:textId="77777777" w:rsidR="00906FFD" w:rsidRPr="00906FFD" w:rsidRDefault="00906FFD" w:rsidP="00906FFD">
      <w:pPr>
        <w:numPr>
          <w:ilvl w:val="0"/>
          <w:numId w:val="17"/>
        </w:numPr>
      </w:pPr>
    </w:p>
    <w:p w14:paraId="7F6EE803" w14:textId="77777777" w:rsidR="00906FFD" w:rsidRPr="00906FFD" w:rsidRDefault="00906FFD" w:rsidP="00906FFD">
      <w:r w:rsidRPr="00906FFD">
        <w:t xml:space="preserve">In </w:t>
      </w:r>
      <w:r w:rsidRPr="00906FFD">
        <w:rPr>
          <w:b/>
          <w:bCs/>
          <w:i/>
          <w:iCs/>
        </w:rPr>
        <w:t>In re Whittaker, Clark &amp; Daniels, Inc.</w:t>
      </w:r>
      <w:r w:rsidRPr="00906FFD">
        <w:t xml:space="preserve"> (No. 24-2210 &amp; 24-2211), the Third Circuit Court of Appeals ruled that the product-line successor liability claims against the buyer (</w:t>
      </w:r>
      <w:r w:rsidRPr="00906FFD">
        <w:rPr>
          <w:b/>
          <w:bCs/>
        </w:rPr>
        <w:t>Brenntag</w:t>
      </w:r>
      <w:r w:rsidRPr="00906FFD">
        <w:t xml:space="preserve">) were </w:t>
      </w:r>
      <w:r w:rsidRPr="00906FFD">
        <w:rPr>
          <w:b/>
          <w:bCs/>
        </w:rPr>
        <w:t>"general" (derivative) claims belonging exclusively to the bankruptcy estate under 11 U.S.C. § 541(a)(1)</w:t>
      </w:r>
      <w:r w:rsidRPr="00906FFD">
        <w:t>.   </w:t>
      </w:r>
    </w:p>
    <w:p w14:paraId="5CC7C495" w14:textId="77777777" w:rsidR="00906FFD" w:rsidRPr="00906FFD" w:rsidRDefault="00906FFD" w:rsidP="00906FFD">
      <w:r w:rsidRPr="00906FFD">
        <w:t xml:space="preserve">Reaffirming its precedent in </w:t>
      </w:r>
      <w:proofErr w:type="gramStart"/>
      <w:r w:rsidRPr="00906FFD">
        <w:rPr>
          <w:i/>
          <w:iCs/>
        </w:rPr>
        <w:t>In</w:t>
      </w:r>
      <w:proofErr w:type="gramEnd"/>
      <w:r w:rsidRPr="00906FFD">
        <w:rPr>
          <w:i/>
          <w:iCs/>
        </w:rPr>
        <w:t xml:space="preserve"> re Emoral, Inc.</w:t>
      </w:r>
      <w:r w:rsidRPr="00906FFD">
        <w:t xml:space="preserve"> (2014), the Third Circuit grounded its reasoning in three core principles:</w:t>
      </w:r>
    </w:p>
    <w:p w14:paraId="76CD6DF4" w14:textId="77777777" w:rsidR="00906FFD" w:rsidRPr="00906FFD" w:rsidRDefault="00000000" w:rsidP="00906FFD">
      <w:r>
        <w:pict w14:anchorId="2EDE0B0A">
          <v:rect id="_x0000_i1037" style="width:0;height:1.5pt" o:hralign="center" o:hrstd="t" o:hr="t" fillcolor="#a0a0a0" stroked="f"/>
        </w:pict>
      </w:r>
    </w:p>
    <w:p w14:paraId="42002413" w14:textId="77777777" w:rsidR="00906FFD" w:rsidRPr="00906FFD" w:rsidRDefault="00906FFD" w:rsidP="00906FFD">
      <w:pPr>
        <w:rPr>
          <w:b/>
          <w:bCs/>
        </w:rPr>
      </w:pPr>
      <w:r w:rsidRPr="00906FFD">
        <w:rPr>
          <w:b/>
          <w:bCs/>
        </w:rPr>
        <w:t>1. The Harm Depends on the Transaction, Not Independent Misconduct by the Buyer</w:t>
      </w:r>
    </w:p>
    <w:p w14:paraId="1A74BF40" w14:textId="77777777" w:rsidR="00906FFD" w:rsidRPr="00906FFD" w:rsidRDefault="00906FFD" w:rsidP="00906FFD">
      <w:pPr>
        <w:numPr>
          <w:ilvl w:val="0"/>
          <w:numId w:val="18"/>
        </w:numPr>
      </w:pPr>
      <w:r w:rsidRPr="00906FFD">
        <w:rPr>
          <w:b/>
          <w:bCs/>
        </w:rPr>
        <w:t>No Direct Line of Liability:</w:t>
      </w:r>
      <w:r w:rsidRPr="00906FFD">
        <w:t xml:space="preserve"> </w:t>
      </w:r>
      <w:r w:rsidRPr="00BB670C">
        <w:rPr>
          <w:highlight w:val="yellow"/>
        </w:rPr>
        <w:t xml:space="preserve">The court emphasized that the tort plaintiffs were not injured by any </w:t>
      </w:r>
      <w:r w:rsidRPr="00BB670C">
        <w:rPr>
          <w:i/>
          <w:iCs/>
          <w:highlight w:val="yellow"/>
        </w:rPr>
        <w:t>independent or direct wrong</w:t>
      </w:r>
      <w:r w:rsidRPr="00BB670C">
        <w:rPr>
          <w:highlight w:val="yellow"/>
        </w:rPr>
        <w:t xml:space="preserve"> committed by Brenntag.</w:t>
      </w:r>
      <w:r w:rsidRPr="00906FFD">
        <w:t>   </w:t>
      </w:r>
    </w:p>
    <w:p w14:paraId="0BD9C5A2" w14:textId="77777777" w:rsidR="00906FFD" w:rsidRPr="00906FFD" w:rsidRDefault="00906FFD" w:rsidP="00906FFD">
      <w:pPr>
        <w:numPr>
          <w:ilvl w:val="0"/>
          <w:numId w:val="18"/>
        </w:numPr>
      </w:pPr>
      <w:r w:rsidRPr="00906FFD">
        <w:rPr>
          <w:b/>
          <w:bCs/>
        </w:rPr>
        <w:t>Dependent on the Debtor-Buyer Relationship:</w:t>
      </w:r>
      <w:r w:rsidRPr="00906FFD">
        <w:t xml:space="preserve"> Under state product-line doctrine, liability attaches to the buyer strictly because it acquired the debtor’s operating assets and continued manufacturing the same product line.   </w:t>
      </w:r>
    </w:p>
    <w:p w14:paraId="3C7F80FD" w14:textId="77777777" w:rsidR="00906FFD" w:rsidRPr="00906FFD" w:rsidRDefault="00906FFD" w:rsidP="00906FFD">
      <w:pPr>
        <w:numPr>
          <w:ilvl w:val="0"/>
          <w:numId w:val="18"/>
        </w:numPr>
      </w:pPr>
      <w:r w:rsidRPr="00906FFD">
        <w:lastRenderedPageBreak/>
        <w:t xml:space="preserve">Because the claim turns entirely on the </w:t>
      </w:r>
      <w:r w:rsidRPr="00906FFD">
        <w:rPr>
          <w:b/>
          <w:bCs/>
        </w:rPr>
        <w:t>corporate transaction and relationship between Whittaker and Brenntag</w:t>
      </w:r>
      <w:r w:rsidRPr="00906FFD">
        <w:t>, the connection between individual tort plaintiffs and Brenntag runs strictly through Whittaker.   </w:t>
      </w:r>
    </w:p>
    <w:p w14:paraId="0284390A" w14:textId="77777777" w:rsidR="00906FFD" w:rsidRPr="00906FFD" w:rsidRDefault="00906FFD" w:rsidP="00906FFD">
      <w:pPr>
        <w:rPr>
          <w:b/>
          <w:bCs/>
        </w:rPr>
      </w:pPr>
      <w:r w:rsidRPr="00906FFD">
        <w:rPr>
          <w:b/>
          <w:bCs/>
        </w:rPr>
        <w:t xml:space="preserve">2. </w:t>
      </w:r>
      <w:r w:rsidRPr="00BB670C">
        <w:rPr>
          <w:b/>
          <w:bCs/>
          <w:highlight w:val="yellow"/>
        </w:rPr>
        <w:t>Lack of "Particularized" Injury Directly Attributable to the Buyer</w:t>
      </w:r>
    </w:p>
    <w:p w14:paraId="258CE0EB" w14:textId="77777777" w:rsidR="00906FFD" w:rsidRPr="00BB670C" w:rsidRDefault="00906FFD" w:rsidP="00906FFD">
      <w:pPr>
        <w:numPr>
          <w:ilvl w:val="0"/>
          <w:numId w:val="19"/>
        </w:numPr>
        <w:rPr>
          <w:highlight w:val="yellow"/>
        </w:rPr>
      </w:pPr>
      <w:r w:rsidRPr="00906FFD">
        <w:t xml:space="preserve">A claim belongs exclusively to an individual creditor outside of bankruptcy only if the creditor suffered a </w:t>
      </w:r>
      <w:r w:rsidRPr="00BB670C">
        <w:rPr>
          <w:b/>
          <w:bCs/>
          <w:highlight w:val="yellow"/>
        </w:rPr>
        <w:t>particularized, direct harm</w:t>
      </w:r>
      <w:r w:rsidRPr="00BB670C">
        <w:rPr>
          <w:highlight w:val="yellow"/>
        </w:rPr>
        <w:t xml:space="preserve"> inflicted directly by the third-party defendant.</w:t>
      </w:r>
    </w:p>
    <w:p w14:paraId="289D5843" w14:textId="77777777" w:rsidR="00906FFD" w:rsidRPr="00906FFD" w:rsidRDefault="00906FFD" w:rsidP="00906FFD">
      <w:pPr>
        <w:numPr>
          <w:ilvl w:val="0"/>
          <w:numId w:val="19"/>
        </w:numPr>
      </w:pPr>
      <w:r w:rsidRPr="00906FFD">
        <w:t xml:space="preserve">While individual talc victims suffered distinct bodily injuries (mesothelioma/asbestos diseases) caused by exposure to Whittaker's products, </w:t>
      </w:r>
      <w:r w:rsidRPr="00BB670C">
        <w:rPr>
          <w:highlight w:val="yellow"/>
        </w:rPr>
        <w:t xml:space="preserve">their theory for reaching </w:t>
      </w:r>
      <w:r w:rsidRPr="00BB670C">
        <w:rPr>
          <w:i/>
          <w:iCs/>
          <w:highlight w:val="yellow"/>
        </w:rPr>
        <w:t>Brenntag</w:t>
      </w:r>
      <w:r w:rsidRPr="00BB670C">
        <w:rPr>
          <w:highlight w:val="yellow"/>
        </w:rPr>
        <w:t xml:space="preserve"> relied entirely on a generalized secondary theory of recovery</w:t>
      </w:r>
      <w:r w:rsidRPr="00906FFD">
        <w:t>.   </w:t>
      </w:r>
    </w:p>
    <w:p w14:paraId="374FD85C" w14:textId="77777777" w:rsidR="00906FFD" w:rsidRPr="00906FFD" w:rsidRDefault="00906FFD" w:rsidP="00906FFD">
      <w:pPr>
        <w:numPr>
          <w:ilvl w:val="0"/>
          <w:numId w:val="19"/>
        </w:numPr>
      </w:pPr>
      <w:r w:rsidRPr="00906FFD">
        <w:t xml:space="preserve">The court classified product-line claims as </w:t>
      </w:r>
      <w:r w:rsidRPr="00906FFD">
        <w:rPr>
          <w:b/>
          <w:bCs/>
        </w:rPr>
        <w:t>"pass-through" remedies</w:t>
      </w:r>
      <w:r w:rsidRPr="00906FFD">
        <w:t>—meaning they are secondary theories aimed at finding a solvent target to satisfy Whittaker's primary debt, making the cause of action general to the entire body of creditors.   </w:t>
      </w:r>
    </w:p>
    <w:p w14:paraId="0D2C08FB" w14:textId="77777777" w:rsidR="00906FFD" w:rsidRPr="00906FFD" w:rsidRDefault="00906FFD" w:rsidP="00906FFD">
      <w:pPr>
        <w:rPr>
          <w:b/>
          <w:bCs/>
        </w:rPr>
      </w:pPr>
      <w:r w:rsidRPr="00906FFD">
        <w:rPr>
          <w:b/>
          <w:bCs/>
        </w:rPr>
        <w:t>3. Rejection of the "State Cause of Action" Requirement</w:t>
      </w:r>
    </w:p>
    <w:p w14:paraId="6D614A91" w14:textId="77777777" w:rsidR="00906FFD" w:rsidRPr="00906FFD" w:rsidRDefault="00906FFD" w:rsidP="00906FFD">
      <w:pPr>
        <w:numPr>
          <w:ilvl w:val="0"/>
          <w:numId w:val="20"/>
        </w:numPr>
      </w:pPr>
      <w:r w:rsidRPr="00906FFD">
        <w:t xml:space="preserve">The Official Committee of Talc Claimants argued that a claim cannot belong to a bankruptcy estate under § 541 unless the </w:t>
      </w:r>
      <w:r w:rsidRPr="00906FFD">
        <w:rPr>
          <w:i/>
          <w:iCs/>
        </w:rPr>
        <w:t>debtor itself</w:t>
      </w:r>
      <w:r w:rsidRPr="00906FFD">
        <w:t xml:space="preserve"> could have brought that precise cause of action under state law prior to bankruptcy.</w:t>
      </w:r>
    </w:p>
    <w:p w14:paraId="48767E28" w14:textId="77777777" w:rsidR="00906FFD" w:rsidRPr="00906FFD" w:rsidRDefault="00906FFD" w:rsidP="00906FFD">
      <w:pPr>
        <w:numPr>
          <w:ilvl w:val="0"/>
          <w:numId w:val="20"/>
        </w:numPr>
      </w:pPr>
      <w:r w:rsidRPr="00906FFD">
        <w:t>The Third Circuit explicitly rejected this argument. It clarified that Section 541(a)(1) encompasses broad equitable property rights. A claim is a "general" estate asset if it existed at the time of filing and seeks recovery based on the debtor's corporate relationships and primary liabilities, regardless of whether the debtor could have asserted the claim under state law before filing.   </w:t>
      </w:r>
    </w:p>
    <w:p w14:paraId="04D2AA83" w14:textId="77777777" w:rsidR="00906FFD" w:rsidRPr="00906FFD" w:rsidRDefault="00000000" w:rsidP="00906FFD">
      <w:r>
        <w:pict w14:anchorId="175A54F4">
          <v:rect id="_x0000_i1038" style="width:0;height:1.5pt" o:hralign="center" o:hrstd="t" o:hr="t" fillcolor="#a0a0a0" stroked="f"/>
        </w:pict>
      </w:r>
    </w:p>
    <w:p w14:paraId="20E41F3C" w14:textId="77777777" w:rsidR="00906FFD" w:rsidRPr="00906FFD" w:rsidRDefault="00906FFD" w:rsidP="00906FFD">
      <w:pPr>
        <w:rPr>
          <w:b/>
          <w:bCs/>
        </w:rPr>
      </w:pPr>
      <w:r w:rsidRPr="00906FFD">
        <w:rPr>
          <w:b/>
          <w:bCs/>
        </w:rPr>
        <w:t>Key Takeaway</w:t>
      </w:r>
    </w:p>
    <w:p w14:paraId="6A8F0AC0" w14:textId="77777777" w:rsidR="00906FFD" w:rsidRPr="00906FFD" w:rsidRDefault="00906FFD" w:rsidP="00906FFD">
      <w:r w:rsidRPr="00906FFD">
        <w:t>By ruling that product-line successor claims are derivative estate property under § 541, the Third Circuit prevented individual plaintiffs from "racing to the courthouse" to sue Brenntag directly.</w:t>
      </w:r>
      <w:r w:rsidRPr="00906FFD">
        <w:rPr>
          <w:vertAlign w:val="superscript"/>
        </w:rPr>
        <w:t xml:space="preserve"> 1 </w:t>
      </w:r>
      <w:r w:rsidRPr="00906FFD">
        <w:t>This allowed Whittaker to maintain sole authority to settle those claims in bankruptcy, securing over $535 million from Brenntag to distribute equitably among all tort claimants through the estate.</w:t>
      </w:r>
      <w:r w:rsidRPr="00906FFD">
        <w:rPr>
          <w:vertAlign w:val="superscript"/>
        </w:rPr>
        <w:t xml:space="preserve"> </w:t>
      </w:r>
    </w:p>
    <w:p w14:paraId="79EE9194" w14:textId="39692CAD" w:rsidR="00D127BE" w:rsidRPr="00D127BE" w:rsidRDefault="00D127BE" w:rsidP="00D127BE">
      <w:pPr>
        <w:spacing w:after="0" w:line="240" w:lineRule="auto"/>
        <w:rPr>
          <w:rFonts w:eastAsia="Times New Roman" w:cs="Times New Roman"/>
          <w:kern w:val="0"/>
          <w:szCs w:val="24"/>
          <w14:ligatures w14:val="none"/>
        </w:rPr>
      </w:pPr>
      <w:r w:rsidRPr="00D127BE">
        <w:rPr>
          <w:rFonts w:eastAsia="Times New Roman" w:cs="Times New Roman"/>
          <w:kern w:val="0"/>
          <w:szCs w:val="24"/>
          <w14:ligatures w14:val="none"/>
        </w:rPr>
        <w:t xml:space="preserve">why did </w:t>
      </w:r>
      <w:proofErr w:type="spellStart"/>
      <w:r w:rsidRPr="00D127BE">
        <w:rPr>
          <w:rFonts w:eastAsia="Times New Roman" w:cs="Times New Roman"/>
          <w:kern w:val="0"/>
          <w:szCs w:val="24"/>
          <w14:ligatures w14:val="none"/>
        </w:rPr>
        <w:t>brenntag</w:t>
      </w:r>
      <w:proofErr w:type="spellEnd"/>
      <w:r w:rsidRPr="00D127BE">
        <w:rPr>
          <w:rFonts w:eastAsia="Times New Roman" w:cs="Times New Roman"/>
          <w:kern w:val="0"/>
          <w:szCs w:val="24"/>
          <w14:ligatures w14:val="none"/>
        </w:rPr>
        <w:t xml:space="preserve"> contribute $535 million to Whitaker &amp; Daniels for a comprehensive release of all derivative/general liability claims if the </w:t>
      </w:r>
      <w:r w:rsidR="00BB670C" w:rsidRPr="00D127BE">
        <w:rPr>
          <w:rFonts w:eastAsia="Times New Roman" w:cs="Times New Roman"/>
          <w:kern w:val="0"/>
          <w:szCs w:val="24"/>
          <w14:ligatures w14:val="none"/>
        </w:rPr>
        <w:t>original</w:t>
      </w:r>
      <w:r w:rsidRPr="00D127BE">
        <w:rPr>
          <w:rFonts w:eastAsia="Times New Roman" w:cs="Times New Roman"/>
          <w:kern w:val="0"/>
          <w:szCs w:val="24"/>
          <w14:ligatures w14:val="none"/>
        </w:rPr>
        <w:t xml:space="preserve"> sale excluded any successor liability </w:t>
      </w:r>
    </w:p>
    <w:p w14:paraId="5053D0C7" w14:textId="77777777" w:rsidR="00D127BE" w:rsidRPr="00D127BE" w:rsidRDefault="00D127BE" w:rsidP="00D127BE">
      <w:pPr>
        <w:numPr>
          <w:ilvl w:val="0"/>
          <w:numId w:val="21"/>
        </w:numPr>
        <w:spacing w:before="100" w:beforeAutospacing="1" w:after="100" w:afterAutospacing="1" w:line="240" w:lineRule="auto"/>
        <w:ind w:left="840" w:right="120"/>
        <w:rPr>
          <w:rFonts w:eastAsia="Times New Roman" w:cs="Times New Roman"/>
          <w:color w:val="444746"/>
          <w:kern w:val="0"/>
          <w:szCs w:val="24"/>
          <w14:ligatures w14:val="none"/>
        </w:rPr>
      </w:pPr>
    </w:p>
    <w:p w14:paraId="3A7D3F6E" w14:textId="77777777" w:rsidR="00D127BE" w:rsidRPr="00D127BE" w:rsidRDefault="00D127BE" w:rsidP="00D127BE">
      <w:pPr>
        <w:spacing w:after="120" w:line="330" w:lineRule="atLeast"/>
        <w:rPr>
          <w:rFonts w:ascii="Arial" w:eastAsia="Times New Roman" w:hAnsi="Arial" w:cs="Arial"/>
          <w:color w:val="1F1F1F"/>
          <w:kern w:val="0"/>
          <w:sz w:val="21"/>
          <w:szCs w:val="21"/>
          <w14:ligatures w14:val="none"/>
        </w:rPr>
      </w:pPr>
      <w:r w:rsidRPr="00D127BE">
        <w:rPr>
          <w:rFonts w:ascii="Arial" w:eastAsia="Times New Roman" w:hAnsi="Arial" w:cs="Arial"/>
          <w:color w:val="1F1F1F"/>
          <w:kern w:val="0"/>
          <w:sz w:val="21"/>
          <w:szCs w:val="21"/>
          <w14:ligatures w14:val="none"/>
        </w:rPr>
        <w:t xml:space="preserve">Brenntag’s decision to pay </w:t>
      </w:r>
      <w:r w:rsidRPr="00D127BE">
        <w:rPr>
          <w:rFonts w:ascii="Arial" w:eastAsia="Times New Roman" w:hAnsi="Arial" w:cs="Arial"/>
          <w:b/>
          <w:bCs/>
          <w:color w:val="1F1F1F"/>
          <w:kern w:val="0"/>
          <w:sz w:val="21"/>
          <w:szCs w:val="21"/>
          <w14:ligatures w14:val="none"/>
        </w:rPr>
        <w:t>$535 million</w:t>
      </w:r>
      <w:r w:rsidRPr="00D127BE">
        <w:rPr>
          <w:rFonts w:ascii="Arial" w:eastAsia="Times New Roman" w:hAnsi="Arial" w:cs="Arial"/>
          <w:color w:val="1F1F1F"/>
          <w:kern w:val="0"/>
          <w:sz w:val="21"/>
          <w:szCs w:val="21"/>
          <w14:ligatures w14:val="none"/>
        </w:rPr>
        <w:t xml:space="preserve"> despite having an explicit contractual exclusion in the 2004 Asset Purchase Agreement (APA) comes down to </w:t>
      </w:r>
      <w:r w:rsidRPr="00D127BE">
        <w:rPr>
          <w:rFonts w:ascii="Arial" w:eastAsia="Times New Roman" w:hAnsi="Arial" w:cs="Arial"/>
          <w:b/>
          <w:bCs/>
          <w:color w:val="1F1F1F"/>
          <w:kern w:val="0"/>
          <w:sz w:val="21"/>
          <w:szCs w:val="21"/>
          <w14:ligatures w14:val="none"/>
        </w:rPr>
        <w:t>litigation risk, defense costs, and buying permanent, global immunity</w:t>
      </w:r>
      <w:r w:rsidRPr="00D127BE">
        <w:rPr>
          <w:rFonts w:ascii="Arial" w:eastAsia="Times New Roman" w:hAnsi="Arial" w:cs="Arial"/>
          <w:color w:val="1F1F1F"/>
          <w:kern w:val="0"/>
          <w:sz w:val="21"/>
          <w:szCs w:val="21"/>
          <w14:ligatures w14:val="none"/>
        </w:rPr>
        <w:t xml:space="preserve"> through federal bankruptcy law.   </w:t>
      </w:r>
    </w:p>
    <w:p w14:paraId="71F73055" w14:textId="77777777" w:rsidR="00D127BE" w:rsidRPr="00D127BE" w:rsidRDefault="00D127BE" w:rsidP="00D127BE">
      <w:pPr>
        <w:spacing w:after="120" w:line="330" w:lineRule="atLeast"/>
        <w:rPr>
          <w:rFonts w:ascii="Arial" w:eastAsia="Times New Roman" w:hAnsi="Arial" w:cs="Arial"/>
          <w:color w:val="1F1F1F"/>
          <w:kern w:val="0"/>
          <w:sz w:val="21"/>
          <w:szCs w:val="21"/>
          <w14:ligatures w14:val="none"/>
        </w:rPr>
      </w:pPr>
      <w:r w:rsidRPr="00D127BE">
        <w:rPr>
          <w:rFonts w:ascii="Arial" w:eastAsia="Times New Roman" w:hAnsi="Arial" w:cs="Arial"/>
          <w:color w:val="1F1F1F"/>
          <w:kern w:val="0"/>
          <w:sz w:val="21"/>
          <w:szCs w:val="21"/>
          <w14:ligatures w14:val="none"/>
        </w:rPr>
        <w:lastRenderedPageBreak/>
        <w:t xml:space="preserve">Even though the original contract </w:t>
      </w:r>
      <w:proofErr w:type="gramStart"/>
      <w:r w:rsidRPr="00D127BE">
        <w:rPr>
          <w:rFonts w:ascii="Arial" w:eastAsia="Times New Roman" w:hAnsi="Arial" w:cs="Arial"/>
          <w:color w:val="1F1F1F"/>
          <w:kern w:val="0"/>
          <w:sz w:val="21"/>
          <w:szCs w:val="21"/>
          <w14:ligatures w14:val="none"/>
        </w:rPr>
        <w:t>disclaimed</w:t>
      </w:r>
      <w:proofErr w:type="gramEnd"/>
      <w:r w:rsidRPr="00D127BE">
        <w:rPr>
          <w:rFonts w:ascii="Arial" w:eastAsia="Times New Roman" w:hAnsi="Arial" w:cs="Arial"/>
          <w:color w:val="1F1F1F"/>
          <w:kern w:val="0"/>
          <w:sz w:val="21"/>
          <w:szCs w:val="21"/>
          <w14:ligatures w14:val="none"/>
        </w:rPr>
        <w:t xml:space="preserve"> pre-sale liabilities, several strategic legal and financial factors compelled Brenntag to fund the settlement:</w:t>
      </w:r>
    </w:p>
    <w:p w14:paraId="330610C2" w14:textId="77777777" w:rsidR="00D127BE" w:rsidRPr="00D127BE" w:rsidRDefault="00000000" w:rsidP="00D127BE">
      <w:pPr>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09689554">
          <v:rect id="_x0000_i1039" style="width:0;height:1.5pt" o:hralign="center" o:hrstd="t" o:hr="t" fillcolor="#a0a0a0" stroked="f"/>
        </w:pict>
      </w:r>
    </w:p>
    <w:p w14:paraId="0ABDC144" w14:textId="77777777" w:rsidR="00D127BE" w:rsidRPr="00D127BE" w:rsidRDefault="00D127BE" w:rsidP="00D127BE">
      <w:pPr>
        <w:spacing w:before="420" w:after="60" w:line="360" w:lineRule="atLeast"/>
        <w:outlineLvl w:val="1"/>
        <w:rPr>
          <w:rFonts w:ascii="Arial" w:eastAsia="Times New Roman" w:hAnsi="Arial" w:cs="Arial"/>
          <w:b/>
          <w:bCs/>
          <w:color w:val="1F1F1F"/>
          <w:kern w:val="0"/>
          <w:szCs w:val="24"/>
          <w14:ligatures w14:val="none"/>
        </w:rPr>
      </w:pPr>
      <w:r w:rsidRPr="00D127BE">
        <w:rPr>
          <w:rFonts w:ascii="Arial" w:eastAsia="Times New Roman" w:hAnsi="Arial" w:cs="Arial"/>
          <w:b/>
          <w:bCs/>
          <w:color w:val="1F1F1F"/>
          <w:kern w:val="0"/>
          <w:szCs w:val="24"/>
          <w14:ligatures w14:val="none"/>
        </w:rPr>
        <w:t>1. Contract Terms Do Not Bind Non-Parties (The Tort Reality)</w:t>
      </w:r>
    </w:p>
    <w:p w14:paraId="2CABF890" w14:textId="77777777" w:rsidR="00D127BE" w:rsidRPr="00D127BE" w:rsidRDefault="00D127BE" w:rsidP="00D127BE">
      <w:pPr>
        <w:spacing w:after="60" w:line="330" w:lineRule="atLeast"/>
        <w:rPr>
          <w:rFonts w:ascii="Arial" w:eastAsia="Times New Roman" w:hAnsi="Arial" w:cs="Arial"/>
          <w:color w:val="1F1F1F"/>
          <w:kern w:val="0"/>
          <w:sz w:val="21"/>
          <w:szCs w:val="21"/>
          <w14:ligatures w14:val="none"/>
        </w:rPr>
      </w:pPr>
      <w:r w:rsidRPr="00BB670C">
        <w:rPr>
          <w:rFonts w:ascii="Arial" w:eastAsia="Times New Roman" w:hAnsi="Arial" w:cs="Arial"/>
          <w:color w:val="1F1F1F"/>
          <w:kern w:val="0"/>
          <w:sz w:val="21"/>
          <w:szCs w:val="21"/>
          <w:highlight w:val="yellow"/>
          <w14:ligatures w14:val="none"/>
        </w:rPr>
        <w:t xml:space="preserve">Under state tort law (in jurisdictions like New Jersey and California), </w:t>
      </w:r>
      <w:r w:rsidRPr="00BB670C">
        <w:rPr>
          <w:rFonts w:ascii="Arial" w:eastAsia="Times New Roman" w:hAnsi="Arial" w:cs="Arial"/>
          <w:b/>
          <w:bCs/>
          <w:color w:val="1F1F1F"/>
          <w:kern w:val="0"/>
          <w:sz w:val="21"/>
          <w:szCs w:val="21"/>
          <w:highlight w:val="yellow"/>
          <w14:ligatures w14:val="none"/>
        </w:rPr>
        <w:t>tort victims are not bound by private contracts</w:t>
      </w:r>
      <w:r w:rsidRPr="00BB670C">
        <w:rPr>
          <w:rFonts w:ascii="Arial" w:eastAsia="Times New Roman" w:hAnsi="Arial" w:cs="Arial"/>
          <w:color w:val="1F1F1F"/>
          <w:kern w:val="0"/>
          <w:sz w:val="21"/>
          <w:szCs w:val="21"/>
          <w:highlight w:val="yellow"/>
          <w14:ligatures w14:val="none"/>
        </w:rPr>
        <w:t xml:space="preserve"> written between a buyer and seller.</w:t>
      </w:r>
    </w:p>
    <w:p w14:paraId="5C6B8241" w14:textId="77777777" w:rsidR="00D127BE" w:rsidRPr="00D127BE" w:rsidRDefault="00D127BE" w:rsidP="00D127BE">
      <w:pPr>
        <w:numPr>
          <w:ilvl w:val="0"/>
          <w:numId w:val="22"/>
        </w:numPr>
        <w:spacing w:before="60" w:after="60" w:line="330" w:lineRule="atLeast"/>
        <w:rPr>
          <w:rFonts w:ascii="Arial" w:eastAsia="Times New Roman" w:hAnsi="Arial" w:cs="Arial"/>
          <w:color w:val="1F1F1F"/>
          <w:kern w:val="0"/>
          <w:sz w:val="21"/>
          <w:szCs w:val="21"/>
          <w14:ligatures w14:val="none"/>
        </w:rPr>
      </w:pPr>
      <w:r w:rsidRPr="00D127BE">
        <w:rPr>
          <w:rFonts w:ascii="Arial" w:eastAsia="Times New Roman" w:hAnsi="Arial" w:cs="Arial"/>
          <w:color w:val="1F1F1F"/>
          <w:kern w:val="0"/>
          <w:sz w:val="21"/>
          <w:szCs w:val="21"/>
          <w14:ligatures w14:val="none"/>
        </w:rPr>
        <w:t>Plaintiffs argued that Brenntag could not defeat common-law product-line successor liability simply by writing a disclaimer into its asset purchase agreement.</w:t>
      </w:r>
    </w:p>
    <w:p w14:paraId="2370DE91" w14:textId="77777777" w:rsidR="00D127BE" w:rsidRPr="00D127BE" w:rsidRDefault="00D127BE" w:rsidP="00D127BE">
      <w:pPr>
        <w:numPr>
          <w:ilvl w:val="0"/>
          <w:numId w:val="22"/>
        </w:numPr>
        <w:spacing w:before="60" w:after="60" w:line="330" w:lineRule="atLeast"/>
        <w:rPr>
          <w:rFonts w:ascii="Arial" w:eastAsia="Times New Roman" w:hAnsi="Arial" w:cs="Arial"/>
          <w:color w:val="1F1F1F"/>
          <w:kern w:val="0"/>
          <w:sz w:val="21"/>
          <w:szCs w:val="21"/>
          <w14:ligatures w14:val="none"/>
        </w:rPr>
      </w:pPr>
      <w:r w:rsidRPr="00D127BE">
        <w:rPr>
          <w:rFonts w:ascii="Arial" w:eastAsia="Times New Roman" w:hAnsi="Arial" w:cs="Arial"/>
          <w:color w:val="1F1F1F"/>
          <w:kern w:val="0"/>
          <w:sz w:val="21"/>
          <w:szCs w:val="21"/>
          <w14:ligatures w14:val="none"/>
        </w:rPr>
        <w:t xml:space="preserve">Because of this state-law theory, Brenntag was facing thousands of </w:t>
      </w:r>
      <w:proofErr w:type="gramStart"/>
      <w:r w:rsidRPr="00D127BE">
        <w:rPr>
          <w:rFonts w:ascii="Arial" w:eastAsia="Times New Roman" w:hAnsi="Arial" w:cs="Arial"/>
          <w:color w:val="1F1F1F"/>
          <w:kern w:val="0"/>
          <w:sz w:val="21"/>
          <w:szCs w:val="21"/>
          <w14:ligatures w14:val="none"/>
        </w:rPr>
        <w:t>individual</w:t>
      </w:r>
      <w:proofErr w:type="gramEnd"/>
      <w:r w:rsidRPr="00D127BE">
        <w:rPr>
          <w:rFonts w:ascii="Arial" w:eastAsia="Times New Roman" w:hAnsi="Arial" w:cs="Arial"/>
          <w:color w:val="1F1F1F"/>
          <w:kern w:val="0"/>
          <w:sz w:val="21"/>
          <w:szCs w:val="21"/>
          <w14:ligatures w14:val="none"/>
        </w:rPr>
        <w:t>, direct lawsuits from talc claimants in state courts across the country—each carrying the risk of multi-million-dollar jury verdicts regardless of what the APA said.   </w:t>
      </w:r>
    </w:p>
    <w:p w14:paraId="3C172A2E" w14:textId="77777777" w:rsidR="00D127BE" w:rsidRPr="00D127BE" w:rsidRDefault="00D127BE" w:rsidP="00D127BE">
      <w:pPr>
        <w:spacing w:before="420" w:after="60" w:line="360" w:lineRule="atLeast"/>
        <w:outlineLvl w:val="1"/>
        <w:rPr>
          <w:rFonts w:ascii="Arial" w:eastAsia="Times New Roman" w:hAnsi="Arial" w:cs="Arial"/>
          <w:b/>
          <w:bCs/>
          <w:color w:val="1F1F1F"/>
          <w:kern w:val="0"/>
          <w:szCs w:val="24"/>
          <w14:ligatures w14:val="none"/>
        </w:rPr>
      </w:pPr>
      <w:r w:rsidRPr="00D127BE">
        <w:rPr>
          <w:rFonts w:ascii="Arial" w:eastAsia="Times New Roman" w:hAnsi="Arial" w:cs="Arial"/>
          <w:b/>
          <w:bCs/>
          <w:color w:val="1F1F1F"/>
          <w:kern w:val="0"/>
          <w:szCs w:val="24"/>
          <w14:ligatures w14:val="none"/>
        </w:rPr>
        <w:t>2. Whittaker’s Obligation to Indemnify Brenntag</w:t>
      </w:r>
    </w:p>
    <w:p w14:paraId="5FBA07D1" w14:textId="77777777" w:rsidR="00D127BE" w:rsidRPr="00D127BE" w:rsidRDefault="00D127BE" w:rsidP="00D127BE">
      <w:pPr>
        <w:spacing w:after="60" w:line="330" w:lineRule="atLeast"/>
        <w:rPr>
          <w:rFonts w:ascii="Arial" w:eastAsia="Times New Roman" w:hAnsi="Arial" w:cs="Arial"/>
          <w:color w:val="1F1F1F"/>
          <w:kern w:val="0"/>
          <w:sz w:val="21"/>
          <w:szCs w:val="21"/>
          <w14:ligatures w14:val="none"/>
        </w:rPr>
      </w:pPr>
      <w:r w:rsidRPr="00D127BE">
        <w:rPr>
          <w:rFonts w:ascii="Arial" w:eastAsia="Times New Roman" w:hAnsi="Arial" w:cs="Arial"/>
          <w:color w:val="1F1F1F"/>
          <w:kern w:val="0"/>
          <w:sz w:val="21"/>
          <w:szCs w:val="21"/>
          <w14:ligatures w14:val="none"/>
        </w:rPr>
        <w:t xml:space="preserve">The 2004 transaction included </w:t>
      </w:r>
      <w:r w:rsidRPr="00D127BE">
        <w:rPr>
          <w:rFonts w:ascii="Arial" w:eastAsia="Times New Roman" w:hAnsi="Arial" w:cs="Arial"/>
          <w:b/>
          <w:bCs/>
          <w:color w:val="1F1F1F"/>
          <w:kern w:val="0"/>
          <w:sz w:val="21"/>
          <w:szCs w:val="21"/>
          <w14:ligatures w14:val="none"/>
        </w:rPr>
        <w:t>indemnification covenants</w:t>
      </w:r>
      <w:r w:rsidRPr="00D127BE">
        <w:rPr>
          <w:rFonts w:ascii="Arial" w:eastAsia="Times New Roman" w:hAnsi="Arial" w:cs="Arial"/>
          <w:color w:val="1F1F1F"/>
          <w:kern w:val="0"/>
          <w:sz w:val="21"/>
          <w:szCs w:val="21"/>
          <w14:ligatures w14:val="none"/>
        </w:rPr>
        <w:t>.</w:t>
      </w:r>
    </w:p>
    <w:p w14:paraId="7ECAC659" w14:textId="77777777" w:rsidR="00D127BE" w:rsidRPr="00D127BE" w:rsidRDefault="00D127BE" w:rsidP="00D127BE">
      <w:pPr>
        <w:numPr>
          <w:ilvl w:val="0"/>
          <w:numId w:val="23"/>
        </w:numPr>
        <w:spacing w:before="60" w:after="60" w:line="330" w:lineRule="atLeast"/>
        <w:rPr>
          <w:rFonts w:ascii="Arial" w:eastAsia="Times New Roman" w:hAnsi="Arial" w:cs="Arial"/>
          <w:color w:val="1F1F1F"/>
          <w:kern w:val="0"/>
          <w:sz w:val="21"/>
          <w:szCs w:val="21"/>
          <w14:ligatures w14:val="none"/>
        </w:rPr>
      </w:pPr>
      <w:r w:rsidRPr="00D127BE">
        <w:rPr>
          <w:rFonts w:ascii="Arial" w:eastAsia="Times New Roman" w:hAnsi="Arial" w:cs="Arial"/>
          <w:color w:val="1F1F1F"/>
          <w:kern w:val="0"/>
          <w:sz w:val="21"/>
          <w:szCs w:val="21"/>
          <w14:ligatures w14:val="none"/>
        </w:rPr>
        <w:t>When plaintiffs sued Brenntag under product-line theories, Brenntag turned to Whittaker to enforce its contractual right to be indemnified for defense costs and judgments.</w:t>
      </w:r>
    </w:p>
    <w:p w14:paraId="442833FA" w14:textId="77777777" w:rsidR="00D127BE" w:rsidRPr="00BB670C" w:rsidRDefault="00D127BE" w:rsidP="00D127BE">
      <w:pPr>
        <w:numPr>
          <w:ilvl w:val="0"/>
          <w:numId w:val="23"/>
        </w:numPr>
        <w:spacing w:before="60" w:after="60" w:line="330" w:lineRule="atLeast"/>
        <w:rPr>
          <w:rFonts w:ascii="Arial" w:eastAsia="Times New Roman" w:hAnsi="Arial" w:cs="Arial"/>
          <w:color w:val="1F1F1F"/>
          <w:kern w:val="0"/>
          <w:sz w:val="21"/>
          <w:szCs w:val="21"/>
          <w:highlight w:val="yellow"/>
          <w14:ligatures w14:val="none"/>
        </w:rPr>
      </w:pPr>
      <w:r w:rsidRPr="00BB670C">
        <w:rPr>
          <w:rFonts w:ascii="Arial" w:eastAsia="Times New Roman" w:hAnsi="Arial" w:cs="Arial"/>
          <w:color w:val="1F1F1F"/>
          <w:kern w:val="0"/>
          <w:sz w:val="21"/>
          <w:szCs w:val="21"/>
          <w:highlight w:val="yellow"/>
          <w14:ligatures w14:val="none"/>
        </w:rPr>
        <w:t xml:space="preserve">Because Whittaker was insolvent and </w:t>
      </w:r>
      <w:proofErr w:type="gramStart"/>
      <w:r w:rsidRPr="00BB670C">
        <w:rPr>
          <w:rFonts w:ascii="Arial" w:eastAsia="Times New Roman" w:hAnsi="Arial" w:cs="Arial"/>
          <w:color w:val="1F1F1F"/>
          <w:kern w:val="0"/>
          <w:sz w:val="21"/>
          <w:szCs w:val="21"/>
          <w:highlight w:val="yellow"/>
          <w14:ligatures w14:val="none"/>
        </w:rPr>
        <w:t>entering</w:t>
      </w:r>
      <w:proofErr w:type="gramEnd"/>
      <w:r w:rsidRPr="00BB670C">
        <w:rPr>
          <w:rFonts w:ascii="Arial" w:eastAsia="Times New Roman" w:hAnsi="Arial" w:cs="Arial"/>
          <w:color w:val="1F1F1F"/>
          <w:kern w:val="0"/>
          <w:sz w:val="21"/>
          <w:szCs w:val="21"/>
          <w:highlight w:val="yellow"/>
          <w14:ligatures w14:val="none"/>
        </w:rPr>
        <w:t xml:space="preserve"> bankruptcy, its indemnity became essentially worthless to Brenntag. Brenntag was left bearing the direct litigation burden without a reliable financial fallback.</w:t>
      </w:r>
    </w:p>
    <w:p w14:paraId="555ECA2C" w14:textId="77777777" w:rsidR="00D127BE" w:rsidRPr="00D127BE" w:rsidRDefault="00D127BE" w:rsidP="00D127BE">
      <w:pPr>
        <w:spacing w:before="420" w:after="60" w:line="360" w:lineRule="atLeast"/>
        <w:outlineLvl w:val="1"/>
        <w:rPr>
          <w:rFonts w:ascii="Arial" w:eastAsia="Times New Roman" w:hAnsi="Arial" w:cs="Arial"/>
          <w:b/>
          <w:bCs/>
          <w:color w:val="1F1F1F"/>
          <w:kern w:val="0"/>
          <w:szCs w:val="24"/>
          <w14:ligatures w14:val="none"/>
        </w:rPr>
      </w:pPr>
      <w:r w:rsidRPr="00D127BE">
        <w:rPr>
          <w:rFonts w:ascii="Arial" w:eastAsia="Times New Roman" w:hAnsi="Arial" w:cs="Arial"/>
          <w:b/>
          <w:bCs/>
          <w:color w:val="1F1F1F"/>
          <w:kern w:val="0"/>
          <w:szCs w:val="24"/>
          <w14:ligatures w14:val="none"/>
        </w:rPr>
        <w:t>3. The Bankruptcy Court Offered Something State Courts Could Not: Global Finality</w:t>
      </w:r>
    </w:p>
    <w:p w14:paraId="307ED759" w14:textId="77777777" w:rsidR="00D127BE" w:rsidRPr="00D127BE" w:rsidRDefault="00D127BE" w:rsidP="00D127BE">
      <w:pPr>
        <w:spacing w:after="120" w:line="330" w:lineRule="atLeast"/>
        <w:rPr>
          <w:rFonts w:ascii="Arial" w:eastAsia="Times New Roman" w:hAnsi="Arial" w:cs="Arial"/>
          <w:color w:val="1F1F1F"/>
          <w:kern w:val="0"/>
          <w:sz w:val="21"/>
          <w:szCs w:val="21"/>
          <w14:ligatures w14:val="none"/>
        </w:rPr>
      </w:pPr>
      <w:r w:rsidRPr="00D127BE">
        <w:rPr>
          <w:rFonts w:ascii="Arial" w:eastAsia="Times New Roman" w:hAnsi="Arial" w:cs="Arial"/>
          <w:color w:val="1F1F1F"/>
          <w:kern w:val="0"/>
          <w:sz w:val="21"/>
          <w:szCs w:val="21"/>
          <w14:ligatures w14:val="none"/>
        </w:rPr>
        <w:t xml:space="preserve">Without the Chapter 11 settlement, </w:t>
      </w:r>
      <w:r w:rsidRPr="00BB670C">
        <w:rPr>
          <w:rFonts w:ascii="Arial" w:eastAsia="Times New Roman" w:hAnsi="Arial" w:cs="Arial"/>
          <w:color w:val="1F1F1F"/>
          <w:kern w:val="0"/>
          <w:sz w:val="21"/>
          <w:szCs w:val="21"/>
          <w:highlight w:val="yellow"/>
          <w14:ligatures w14:val="none"/>
        </w:rPr>
        <w:t>Brenntag faced an unending "war of attrition"—spending tens of millions of dollars annually defending individual state-court suits for decades, with no single court having the authority to end all product-line claims against it at once.</w:t>
      </w:r>
    </w:p>
    <w:p w14:paraId="0D183140" w14:textId="77777777" w:rsidR="00D127BE" w:rsidRPr="00D127BE" w:rsidRDefault="00D127BE" w:rsidP="00D127BE">
      <w:pPr>
        <w:spacing w:after="60" w:line="330" w:lineRule="atLeast"/>
        <w:rPr>
          <w:rFonts w:ascii="Arial" w:eastAsia="Times New Roman" w:hAnsi="Arial" w:cs="Arial"/>
          <w:color w:val="1F1F1F"/>
          <w:kern w:val="0"/>
          <w:sz w:val="21"/>
          <w:szCs w:val="21"/>
          <w14:ligatures w14:val="none"/>
        </w:rPr>
      </w:pPr>
      <w:r w:rsidRPr="00D127BE">
        <w:rPr>
          <w:rFonts w:ascii="Arial" w:eastAsia="Times New Roman" w:hAnsi="Arial" w:cs="Arial"/>
          <w:color w:val="1F1F1F"/>
          <w:kern w:val="0"/>
          <w:sz w:val="21"/>
          <w:szCs w:val="21"/>
          <w14:ligatures w14:val="none"/>
        </w:rPr>
        <w:t xml:space="preserve">Once the Third Circuit ruled that product-line successor claims are </w:t>
      </w:r>
      <w:r w:rsidRPr="00D127BE">
        <w:rPr>
          <w:rFonts w:ascii="Arial" w:eastAsia="Times New Roman" w:hAnsi="Arial" w:cs="Arial"/>
          <w:b/>
          <w:bCs/>
          <w:color w:val="1F1F1F"/>
          <w:kern w:val="0"/>
          <w:sz w:val="21"/>
          <w:szCs w:val="21"/>
          <w14:ligatures w14:val="none"/>
        </w:rPr>
        <w:t>property of the bankruptcy estate</w:t>
      </w:r>
      <w:r w:rsidRPr="00D127BE">
        <w:rPr>
          <w:rFonts w:ascii="Arial" w:eastAsia="Times New Roman" w:hAnsi="Arial" w:cs="Arial"/>
          <w:color w:val="1F1F1F"/>
          <w:kern w:val="0"/>
          <w:sz w:val="21"/>
          <w:szCs w:val="21"/>
          <w14:ligatures w14:val="none"/>
        </w:rPr>
        <w:t xml:space="preserve"> under Section 541(a)(1), it created a unique opportunity for Brenntag:   </w:t>
      </w:r>
    </w:p>
    <w:p w14:paraId="74261566" w14:textId="77777777" w:rsidR="00D127BE" w:rsidRPr="00D127BE" w:rsidRDefault="00D127BE" w:rsidP="00D127BE">
      <w:pPr>
        <w:numPr>
          <w:ilvl w:val="0"/>
          <w:numId w:val="24"/>
        </w:numPr>
        <w:spacing w:before="60" w:after="60" w:line="330" w:lineRule="atLeast"/>
        <w:rPr>
          <w:rFonts w:ascii="Arial" w:eastAsia="Times New Roman" w:hAnsi="Arial" w:cs="Arial"/>
          <w:color w:val="1F1F1F"/>
          <w:kern w:val="0"/>
          <w:sz w:val="21"/>
          <w:szCs w:val="21"/>
          <w14:ligatures w14:val="none"/>
        </w:rPr>
      </w:pPr>
      <w:r w:rsidRPr="00D127BE">
        <w:rPr>
          <w:rFonts w:ascii="Arial" w:eastAsia="Times New Roman" w:hAnsi="Arial" w:cs="Arial"/>
          <w:b/>
          <w:bCs/>
          <w:color w:val="1F1F1F"/>
          <w:kern w:val="0"/>
          <w:sz w:val="21"/>
          <w:szCs w:val="21"/>
          <w14:ligatures w14:val="none"/>
        </w:rPr>
        <w:t>Estate Ownership:</w:t>
      </w:r>
      <w:r w:rsidRPr="00D127BE">
        <w:rPr>
          <w:rFonts w:ascii="Arial" w:eastAsia="Times New Roman" w:hAnsi="Arial" w:cs="Arial"/>
          <w:color w:val="1F1F1F"/>
          <w:kern w:val="0"/>
          <w:sz w:val="21"/>
          <w:szCs w:val="21"/>
          <w14:ligatures w14:val="none"/>
        </w:rPr>
        <w:t xml:space="preserve"> Because the claims belonged to Whittaker's estate, Whittaker (not individual plaintiffs) had sole legal authority to compromise them.</w:t>
      </w:r>
    </w:p>
    <w:p w14:paraId="740FF040" w14:textId="77777777" w:rsidR="00D127BE" w:rsidRPr="00D127BE" w:rsidRDefault="00D127BE" w:rsidP="00D127BE">
      <w:pPr>
        <w:numPr>
          <w:ilvl w:val="0"/>
          <w:numId w:val="24"/>
        </w:numPr>
        <w:spacing w:before="60" w:after="60" w:line="330" w:lineRule="atLeast"/>
        <w:rPr>
          <w:rFonts w:ascii="Arial" w:eastAsia="Times New Roman" w:hAnsi="Arial" w:cs="Arial"/>
          <w:color w:val="1F1F1F"/>
          <w:kern w:val="0"/>
          <w:sz w:val="21"/>
          <w:szCs w:val="21"/>
          <w14:ligatures w14:val="none"/>
        </w:rPr>
      </w:pPr>
      <w:r w:rsidRPr="00D127BE">
        <w:rPr>
          <w:rFonts w:ascii="Arial" w:eastAsia="Times New Roman" w:hAnsi="Arial" w:cs="Arial"/>
          <w:b/>
          <w:bCs/>
          <w:color w:val="1F1F1F"/>
          <w:kern w:val="0"/>
          <w:sz w:val="21"/>
          <w:szCs w:val="21"/>
          <w14:ligatures w14:val="none"/>
        </w:rPr>
        <w:t>Permanent Discharge:</w:t>
      </w:r>
      <w:r w:rsidRPr="00D127BE">
        <w:rPr>
          <w:rFonts w:ascii="Arial" w:eastAsia="Times New Roman" w:hAnsi="Arial" w:cs="Arial"/>
          <w:color w:val="1F1F1F"/>
          <w:kern w:val="0"/>
          <w:sz w:val="21"/>
          <w:szCs w:val="21"/>
          <w14:ligatures w14:val="none"/>
        </w:rPr>
        <w:t xml:space="preserve"> By contributing $535 million to Whittaker's bankruptcy trust, Brenntag received a </w:t>
      </w:r>
      <w:r w:rsidRPr="00D127BE">
        <w:rPr>
          <w:rFonts w:ascii="Arial" w:eastAsia="Times New Roman" w:hAnsi="Arial" w:cs="Arial"/>
          <w:b/>
          <w:bCs/>
          <w:color w:val="1F1F1F"/>
          <w:kern w:val="0"/>
          <w:sz w:val="21"/>
          <w:szCs w:val="21"/>
          <w14:ligatures w14:val="none"/>
        </w:rPr>
        <w:t>binding, court-enforced channeling injunction/release</w:t>
      </w:r>
      <w:r w:rsidRPr="00D127BE">
        <w:rPr>
          <w:rFonts w:ascii="Arial" w:eastAsia="Times New Roman" w:hAnsi="Arial" w:cs="Arial"/>
          <w:color w:val="1F1F1F"/>
          <w:kern w:val="0"/>
          <w:sz w:val="21"/>
          <w:szCs w:val="21"/>
          <w14:ligatures w14:val="none"/>
        </w:rPr>
        <w:t xml:space="preserve">. </w:t>
      </w:r>
      <w:r w:rsidRPr="00615DAF">
        <w:rPr>
          <w:rFonts w:ascii="Arial" w:eastAsia="Times New Roman" w:hAnsi="Arial" w:cs="Arial"/>
          <w:color w:val="1F1F1F"/>
          <w:kern w:val="0"/>
          <w:sz w:val="21"/>
          <w:szCs w:val="21"/>
          <w:highlight w:val="yellow"/>
          <w14:ligatures w14:val="none"/>
        </w:rPr>
        <w:t xml:space="preserve">This legally barred </w:t>
      </w:r>
      <w:r w:rsidRPr="00615DAF">
        <w:rPr>
          <w:rFonts w:ascii="Arial" w:eastAsia="Times New Roman" w:hAnsi="Arial" w:cs="Arial"/>
          <w:i/>
          <w:iCs/>
          <w:color w:val="1F1F1F"/>
          <w:kern w:val="0"/>
          <w:sz w:val="21"/>
          <w:szCs w:val="21"/>
          <w:highlight w:val="yellow"/>
          <w14:ligatures w14:val="none"/>
        </w:rPr>
        <w:t>all current and future</w:t>
      </w:r>
      <w:r w:rsidRPr="00615DAF">
        <w:rPr>
          <w:rFonts w:ascii="Arial" w:eastAsia="Times New Roman" w:hAnsi="Arial" w:cs="Arial"/>
          <w:color w:val="1F1F1F"/>
          <w:kern w:val="0"/>
          <w:sz w:val="21"/>
          <w:szCs w:val="21"/>
          <w:highlight w:val="yellow"/>
          <w14:ligatures w14:val="none"/>
        </w:rPr>
        <w:t xml:space="preserve"> talc victims from ever suing Brenntag again under product-line successor theories.</w:t>
      </w:r>
    </w:p>
    <w:p w14:paraId="2280AD61" w14:textId="77777777" w:rsidR="00D127BE" w:rsidRPr="00D127BE" w:rsidRDefault="00D127BE" w:rsidP="00D127BE">
      <w:pPr>
        <w:spacing w:before="420" w:after="60" w:line="360" w:lineRule="atLeast"/>
        <w:outlineLvl w:val="1"/>
        <w:rPr>
          <w:rFonts w:ascii="Arial" w:eastAsia="Times New Roman" w:hAnsi="Arial" w:cs="Arial"/>
          <w:b/>
          <w:bCs/>
          <w:color w:val="1F1F1F"/>
          <w:kern w:val="0"/>
          <w:szCs w:val="24"/>
          <w14:ligatures w14:val="none"/>
        </w:rPr>
      </w:pPr>
      <w:r w:rsidRPr="00D127BE">
        <w:rPr>
          <w:rFonts w:ascii="Arial" w:eastAsia="Times New Roman" w:hAnsi="Arial" w:cs="Arial"/>
          <w:b/>
          <w:bCs/>
          <w:color w:val="1F1F1F"/>
          <w:kern w:val="0"/>
          <w:szCs w:val="24"/>
          <w14:ligatures w14:val="none"/>
        </w:rPr>
        <w:lastRenderedPageBreak/>
        <w:t>4. Resolving Inter-Company Liabilities</w:t>
      </w:r>
    </w:p>
    <w:p w14:paraId="3D882BE5" w14:textId="77777777" w:rsidR="00D127BE" w:rsidRPr="00D127BE" w:rsidRDefault="00D127BE" w:rsidP="00D127BE">
      <w:pPr>
        <w:spacing w:after="120" w:line="330" w:lineRule="atLeast"/>
        <w:rPr>
          <w:rFonts w:ascii="Arial" w:eastAsia="Times New Roman" w:hAnsi="Arial" w:cs="Arial"/>
          <w:color w:val="1F1F1F"/>
          <w:kern w:val="0"/>
          <w:sz w:val="21"/>
          <w:szCs w:val="21"/>
          <w14:ligatures w14:val="none"/>
        </w:rPr>
      </w:pPr>
      <w:r w:rsidRPr="00D127BE">
        <w:rPr>
          <w:rFonts w:ascii="Arial" w:eastAsia="Times New Roman" w:hAnsi="Arial" w:cs="Arial"/>
          <w:color w:val="1F1F1F"/>
          <w:kern w:val="0"/>
          <w:sz w:val="21"/>
          <w:szCs w:val="21"/>
          <w14:ligatures w14:val="none"/>
        </w:rPr>
        <w:t>By participating in the $535 million settlement, Brenntag also resolved its competing claims against Whittaker’s estate. It relinquished its own massive indemnification claims against Whittaker in exchange for the estate granting it a complete liability shield against tort victims.</w:t>
      </w:r>
    </w:p>
    <w:p w14:paraId="2C08B8E0" w14:textId="77777777" w:rsidR="00D127BE" w:rsidRPr="00D127BE" w:rsidRDefault="00000000" w:rsidP="00D127BE">
      <w:pPr>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0C3575A2">
          <v:rect id="_x0000_i1040" style="width:0;height:1.5pt" o:hralign="center" o:hrstd="t" o:hr="t" fillcolor="#a0a0a0" stroked="f"/>
        </w:pict>
      </w:r>
    </w:p>
    <w:p w14:paraId="65A92431" w14:textId="77777777" w:rsidR="00D127BE" w:rsidRPr="00D127BE" w:rsidRDefault="00D127BE" w:rsidP="00D127BE">
      <w:pPr>
        <w:spacing w:before="420" w:after="60" w:line="330" w:lineRule="atLeast"/>
        <w:outlineLvl w:val="2"/>
        <w:rPr>
          <w:rFonts w:ascii="Arial" w:eastAsia="Times New Roman" w:hAnsi="Arial" w:cs="Arial"/>
          <w:b/>
          <w:bCs/>
          <w:color w:val="1F1F1F"/>
          <w:kern w:val="0"/>
          <w:sz w:val="21"/>
          <w:szCs w:val="21"/>
          <w14:ligatures w14:val="none"/>
        </w:rPr>
      </w:pPr>
      <w:r w:rsidRPr="00D127BE">
        <w:rPr>
          <w:rFonts w:ascii="Arial" w:eastAsia="Times New Roman" w:hAnsi="Arial" w:cs="Arial"/>
          <w:b/>
          <w:bCs/>
          <w:color w:val="1F1F1F"/>
          <w:kern w:val="0"/>
          <w:sz w:val="21"/>
          <w:szCs w:val="21"/>
          <w14:ligatures w14:val="none"/>
        </w:rPr>
        <w:t>Summary</w:t>
      </w:r>
    </w:p>
    <w:p w14:paraId="24DE5C32" w14:textId="77777777" w:rsidR="00D127BE" w:rsidRPr="00D127BE" w:rsidRDefault="00D127BE" w:rsidP="00D127BE">
      <w:pPr>
        <w:spacing w:after="120" w:line="330" w:lineRule="atLeast"/>
        <w:rPr>
          <w:rFonts w:ascii="Arial" w:eastAsia="Times New Roman" w:hAnsi="Arial" w:cs="Arial"/>
          <w:color w:val="1F1F1F"/>
          <w:kern w:val="0"/>
          <w:sz w:val="21"/>
          <w:szCs w:val="21"/>
          <w14:ligatures w14:val="none"/>
        </w:rPr>
      </w:pPr>
      <w:r w:rsidRPr="00D127BE">
        <w:rPr>
          <w:rFonts w:ascii="Arial" w:eastAsia="Times New Roman" w:hAnsi="Arial" w:cs="Arial"/>
          <w:color w:val="1F1F1F"/>
          <w:kern w:val="0"/>
          <w:sz w:val="21"/>
          <w:szCs w:val="21"/>
          <w14:ligatures w14:val="none"/>
        </w:rPr>
        <w:t xml:space="preserve">Brenntag did not pay $535 million because it believed it lost the contract argument under the 2004 APA. It paid because </w:t>
      </w:r>
      <w:r w:rsidRPr="00D127BE">
        <w:rPr>
          <w:rFonts w:ascii="Arial" w:eastAsia="Times New Roman" w:hAnsi="Arial" w:cs="Arial"/>
          <w:b/>
          <w:bCs/>
          <w:color w:val="1F1F1F"/>
          <w:kern w:val="0"/>
          <w:sz w:val="21"/>
          <w:szCs w:val="21"/>
          <w14:ligatures w14:val="none"/>
        </w:rPr>
        <w:t>state tort law allowed claimants to bypass that contract</w:t>
      </w:r>
      <w:r w:rsidRPr="00D127BE">
        <w:rPr>
          <w:rFonts w:ascii="Arial" w:eastAsia="Times New Roman" w:hAnsi="Arial" w:cs="Arial"/>
          <w:color w:val="1F1F1F"/>
          <w:kern w:val="0"/>
          <w:sz w:val="21"/>
          <w:szCs w:val="21"/>
          <w14:ligatures w14:val="none"/>
        </w:rPr>
        <w:t>. The $535 million was the price of using federal bankruptcy power to permanently extinguish those claims across all 50 states.</w:t>
      </w:r>
    </w:p>
    <w:p w14:paraId="318E43E7" w14:textId="77777777" w:rsidR="006B611A" w:rsidRPr="006B611A" w:rsidRDefault="006B611A" w:rsidP="006B611A">
      <w:pPr>
        <w:numPr>
          <w:ilvl w:val="0"/>
          <w:numId w:val="25"/>
        </w:numPr>
        <w:spacing w:before="100" w:beforeAutospacing="1" w:after="100" w:afterAutospacing="1" w:line="240" w:lineRule="auto"/>
        <w:ind w:left="840" w:right="120"/>
        <w:rPr>
          <w:rFonts w:eastAsia="Times New Roman" w:cs="Times New Roman"/>
          <w:color w:val="444746"/>
          <w:kern w:val="0"/>
          <w:szCs w:val="24"/>
          <w14:ligatures w14:val="none"/>
        </w:rPr>
      </w:pPr>
    </w:p>
    <w:p w14:paraId="39CFBE0D" w14:textId="77777777" w:rsidR="006B611A" w:rsidRPr="006B611A" w:rsidRDefault="006B611A" w:rsidP="006B611A">
      <w:pPr>
        <w:shd w:val="clear" w:color="auto" w:fill="FFFFFF"/>
        <w:spacing w:after="120" w:line="330" w:lineRule="atLeast"/>
        <w:rPr>
          <w:rFonts w:ascii="Arial" w:eastAsia="Times New Roman" w:hAnsi="Arial" w:cs="Arial"/>
          <w:color w:val="1F1F1F"/>
          <w:kern w:val="0"/>
          <w:sz w:val="21"/>
          <w:szCs w:val="21"/>
          <w14:ligatures w14:val="none"/>
        </w:rPr>
      </w:pPr>
      <w:r w:rsidRPr="006B611A">
        <w:rPr>
          <w:rFonts w:ascii="Arial" w:eastAsia="Times New Roman" w:hAnsi="Arial" w:cs="Arial"/>
          <w:color w:val="1F1F1F"/>
          <w:kern w:val="0"/>
          <w:sz w:val="21"/>
          <w:szCs w:val="21"/>
          <w14:ligatures w14:val="none"/>
        </w:rPr>
        <w:t xml:space="preserve">In </w:t>
      </w:r>
      <w:r w:rsidRPr="006B611A">
        <w:rPr>
          <w:rFonts w:ascii="Arial" w:eastAsia="Times New Roman" w:hAnsi="Arial" w:cs="Arial"/>
          <w:b/>
          <w:bCs/>
          <w:i/>
          <w:iCs/>
          <w:color w:val="1F1F1F"/>
          <w:kern w:val="0"/>
          <w:sz w:val="21"/>
          <w:szCs w:val="21"/>
          <w14:ligatures w14:val="none"/>
        </w:rPr>
        <w:t>In re Whittaker, Clark &amp; Daniels, Inc.</w:t>
      </w:r>
      <w:r w:rsidRPr="006B611A">
        <w:rPr>
          <w:rFonts w:ascii="Arial" w:eastAsia="Times New Roman" w:hAnsi="Arial" w:cs="Arial"/>
          <w:color w:val="1F1F1F"/>
          <w:kern w:val="0"/>
          <w:sz w:val="21"/>
          <w:szCs w:val="21"/>
          <w14:ligatures w14:val="none"/>
        </w:rPr>
        <w:t>, Brenntag’s decision to pay $535 million to extinguish successor liability nationwide—even though the product-line exception is recognized by only a minority of states (such as New Jersey, California, and Pennsylvania)—stems from how civil litigation and federal bankruptcy jurisdiction operate:   </w:t>
      </w:r>
    </w:p>
    <w:p w14:paraId="71BACDFD" w14:textId="77777777" w:rsidR="006B611A" w:rsidRPr="006B611A" w:rsidRDefault="00000000" w:rsidP="006B611A">
      <w:pPr>
        <w:shd w:val="clear" w:color="auto" w:fill="FFFFFF"/>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780C32FD">
          <v:rect id="_x0000_i1041" style="width:0;height:1.5pt" o:hralign="center" o:hrstd="t" o:hr="t" fillcolor="#a0a0a0" stroked="f"/>
        </w:pict>
      </w:r>
    </w:p>
    <w:p w14:paraId="267D57E0" w14:textId="77777777" w:rsidR="006B611A" w:rsidRPr="006B611A" w:rsidRDefault="006B611A" w:rsidP="006B611A">
      <w:pPr>
        <w:shd w:val="clear" w:color="auto" w:fill="FFFFFF"/>
        <w:spacing w:before="420" w:after="60" w:line="360" w:lineRule="atLeast"/>
        <w:outlineLvl w:val="1"/>
        <w:rPr>
          <w:rFonts w:ascii="Arial" w:eastAsia="Times New Roman" w:hAnsi="Arial" w:cs="Arial"/>
          <w:b/>
          <w:bCs/>
          <w:color w:val="1F1F1F"/>
          <w:kern w:val="0"/>
          <w:szCs w:val="24"/>
          <w14:ligatures w14:val="none"/>
        </w:rPr>
      </w:pPr>
      <w:r w:rsidRPr="006B611A">
        <w:rPr>
          <w:rFonts w:ascii="Arial" w:eastAsia="Times New Roman" w:hAnsi="Arial" w:cs="Arial"/>
          <w:b/>
          <w:bCs/>
          <w:color w:val="1F1F1F"/>
          <w:kern w:val="0"/>
          <w:szCs w:val="24"/>
          <w14:ligatures w14:val="none"/>
        </w:rPr>
        <w:t>1. Choice-of-Law Rules &amp; Forum Shopping</w:t>
      </w:r>
    </w:p>
    <w:p w14:paraId="31A0F4AF" w14:textId="77777777" w:rsidR="006B611A" w:rsidRPr="006B611A" w:rsidRDefault="006B611A" w:rsidP="006B611A">
      <w:pPr>
        <w:shd w:val="clear" w:color="auto" w:fill="FFFFFF"/>
        <w:spacing w:after="60" w:line="330" w:lineRule="atLeast"/>
        <w:rPr>
          <w:rFonts w:ascii="Arial" w:eastAsia="Times New Roman" w:hAnsi="Arial" w:cs="Arial"/>
          <w:color w:val="1F1F1F"/>
          <w:kern w:val="0"/>
          <w:sz w:val="21"/>
          <w:szCs w:val="21"/>
          <w14:ligatures w14:val="none"/>
        </w:rPr>
      </w:pPr>
      <w:r w:rsidRPr="006B611A">
        <w:rPr>
          <w:rFonts w:ascii="Arial" w:eastAsia="Times New Roman" w:hAnsi="Arial" w:cs="Arial"/>
          <w:color w:val="1F1F1F"/>
          <w:kern w:val="0"/>
          <w:sz w:val="21"/>
          <w:szCs w:val="21"/>
          <w14:ligatures w14:val="none"/>
        </w:rPr>
        <w:t xml:space="preserve">Because Whittaker distributed talc products across the entire United States, plaintiffs who developed diseases like mesothelioma filed lawsuits in </w:t>
      </w:r>
      <w:r w:rsidRPr="006B611A">
        <w:rPr>
          <w:rFonts w:ascii="Arial" w:eastAsia="Times New Roman" w:hAnsi="Arial" w:cs="Arial"/>
          <w:b/>
          <w:bCs/>
          <w:color w:val="1F1F1F"/>
          <w:kern w:val="0"/>
          <w:sz w:val="21"/>
          <w:szCs w:val="21"/>
          <w14:ligatures w14:val="none"/>
        </w:rPr>
        <w:t>multiple state jurisdictions</w:t>
      </w:r>
      <w:r w:rsidRPr="006B611A">
        <w:rPr>
          <w:rFonts w:ascii="Arial" w:eastAsia="Times New Roman" w:hAnsi="Arial" w:cs="Arial"/>
          <w:color w:val="1F1F1F"/>
          <w:kern w:val="0"/>
          <w:sz w:val="21"/>
          <w:szCs w:val="21"/>
          <w14:ligatures w14:val="none"/>
        </w:rPr>
        <w:t>.   </w:t>
      </w:r>
    </w:p>
    <w:p w14:paraId="06D79BEB" w14:textId="77777777" w:rsidR="006B611A" w:rsidRPr="006B611A" w:rsidRDefault="006B611A" w:rsidP="006B611A">
      <w:pPr>
        <w:numPr>
          <w:ilvl w:val="0"/>
          <w:numId w:val="26"/>
        </w:numPr>
        <w:shd w:val="clear" w:color="auto" w:fill="FFFFFF"/>
        <w:spacing w:before="60" w:after="60" w:line="330" w:lineRule="atLeast"/>
        <w:rPr>
          <w:rFonts w:ascii="Arial" w:eastAsia="Times New Roman" w:hAnsi="Arial" w:cs="Arial"/>
          <w:color w:val="1F1F1F"/>
          <w:kern w:val="0"/>
          <w:sz w:val="21"/>
          <w:szCs w:val="21"/>
          <w14:ligatures w14:val="none"/>
        </w:rPr>
      </w:pPr>
      <w:r w:rsidRPr="006B611A">
        <w:rPr>
          <w:rFonts w:ascii="Arial" w:eastAsia="Times New Roman" w:hAnsi="Arial" w:cs="Arial"/>
          <w:b/>
          <w:bCs/>
          <w:color w:val="1F1F1F"/>
          <w:kern w:val="0"/>
          <w:sz w:val="21"/>
          <w:szCs w:val="21"/>
          <w14:ligatures w14:val="none"/>
        </w:rPr>
        <w:t>National Exposure:</w:t>
      </w:r>
      <w:r w:rsidRPr="006B611A">
        <w:rPr>
          <w:rFonts w:ascii="Arial" w:eastAsia="Times New Roman" w:hAnsi="Arial" w:cs="Arial"/>
          <w:color w:val="1F1F1F"/>
          <w:kern w:val="0"/>
          <w:sz w:val="21"/>
          <w:szCs w:val="21"/>
          <w14:ligatures w14:val="none"/>
        </w:rPr>
        <w:t xml:space="preserve"> Under choice-of-law principles, state tort law is governed by where the injury occurred, where the plaintiff resides, or where the distribution took place.</w:t>
      </w:r>
    </w:p>
    <w:p w14:paraId="18853EA5" w14:textId="77777777" w:rsidR="006B611A" w:rsidRPr="006B611A" w:rsidRDefault="006B611A" w:rsidP="006B611A">
      <w:pPr>
        <w:numPr>
          <w:ilvl w:val="0"/>
          <w:numId w:val="26"/>
        </w:numPr>
        <w:shd w:val="clear" w:color="auto" w:fill="FFFFFF"/>
        <w:spacing w:before="60" w:after="60" w:line="330" w:lineRule="atLeast"/>
        <w:rPr>
          <w:rFonts w:ascii="Arial" w:eastAsia="Times New Roman" w:hAnsi="Arial" w:cs="Arial"/>
          <w:color w:val="1F1F1F"/>
          <w:kern w:val="0"/>
          <w:sz w:val="21"/>
          <w:szCs w:val="21"/>
          <w14:ligatures w14:val="none"/>
        </w:rPr>
      </w:pPr>
      <w:r w:rsidRPr="006B611A">
        <w:rPr>
          <w:rFonts w:ascii="Arial" w:eastAsia="Times New Roman" w:hAnsi="Arial" w:cs="Arial"/>
          <w:b/>
          <w:bCs/>
          <w:color w:val="1F1F1F"/>
          <w:kern w:val="0"/>
          <w:sz w:val="21"/>
          <w:szCs w:val="21"/>
          <w14:ligatures w14:val="none"/>
        </w:rPr>
        <w:t>State Court Exposure:</w:t>
      </w:r>
      <w:r w:rsidRPr="006B611A">
        <w:rPr>
          <w:rFonts w:ascii="Arial" w:eastAsia="Times New Roman" w:hAnsi="Arial" w:cs="Arial"/>
          <w:color w:val="1F1F1F"/>
          <w:kern w:val="0"/>
          <w:sz w:val="21"/>
          <w:szCs w:val="21"/>
          <w14:ligatures w14:val="none"/>
        </w:rPr>
        <w:t xml:space="preserve"> A plaintiff living in (or filing in) California, New Jersey, or Pennsylvania could validly invoke the product-line exception against Brenntag under local state law.</w:t>
      </w:r>
    </w:p>
    <w:p w14:paraId="4AC1033A" w14:textId="77777777" w:rsidR="006B611A" w:rsidRPr="00BB670C" w:rsidRDefault="006B611A" w:rsidP="006B611A">
      <w:pPr>
        <w:numPr>
          <w:ilvl w:val="0"/>
          <w:numId w:val="26"/>
        </w:numPr>
        <w:shd w:val="clear" w:color="auto" w:fill="FFFFFF"/>
        <w:spacing w:before="60" w:after="60" w:line="330" w:lineRule="atLeast"/>
        <w:rPr>
          <w:rFonts w:ascii="Arial" w:eastAsia="Times New Roman" w:hAnsi="Arial" w:cs="Arial"/>
          <w:color w:val="1F1F1F"/>
          <w:kern w:val="0"/>
          <w:sz w:val="21"/>
          <w:szCs w:val="21"/>
          <w:highlight w:val="yellow"/>
          <w14:ligatures w14:val="none"/>
        </w:rPr>
      </w:pPr>
      <w:r w:rsidRPr="00BB670C">
        <w:rPr>
          <w:rFonts w:ascii="Arial" w:eastAsia="Times New Roman" w:hAnsi="Arial" w:cs="Arial"/>
          <w:b/>
          <w:bCs/>
          <w:color w:val="1F1F1F"/>
          <w:kern w:val="0"/>
          <w:sz w:val="21"/>
          <w:szCs w:val="21"/>
          <w:highlight w:val="yellow"/>
          <w14:ligatures w14:val="none"/>
        </w:rPr>
        <w:t>High-Value Liability:</w:t>
      </w:r>
      <w:r w:rsidRPr="00BB670C">
        <w:rPr>
          <w:rFonts w:ascii="Arial" w:eastAsia="Times New Roman" w:hAnsi="Arial" w:cs="Arial"/>
          <w:color w:val="1F1F1F"/>
          <w:kern w:val="0"/>
          <w:sz w:val="21"/>
          <w:szCs w:val="21"/>
          <w:highlight w:val="yellow"/>
          <w14:ligatures w14:val="none"/>
        </w:rPr>
        <w:t xml:space="preserve"> Even if only 10%–20% of the nationwide claims could successfully assert the product-line exception based on venue, those claims alone represented </w:t>
      </w:r>
      <w:r w:rsidRPr="00BB670C">
        <w:rPr>
          <w:rFonts w:ascii="Arial" w:eastAsia="Times New Roman" w:hAnsi="Arial" w:cs="Arial"/>
          <w:b/>
          <w:bCs/>
          <w:color w:val="1F1F1F"/>
          <w:kern w:val="0"/>
          <w:sz w:val="21"/>
          <w:szCs w:val="21"/>
          <w:highlight w:val="yellow"/>
          <w14:ligatures w14:val="none"/>
        </w:rPr>
        <w:t>billions of dollars in potential jury exposure</w:t>
      </w:r>
      <w:r w:rsidRPr="00BB670C">
        <w:rPr>
          <w:rFonts w:ascii="Arial" w:eastAsia="Times New Roman" w:hAnsi="Arial" w:cs="Arial"/>
          <w:color w:val="1F1F1F"/>
          <w:kern w:val="0"/>
          <w:sz w:val="21"/>
          <w:szCs w:val="21"/>
          <w:highlight w:val="yellow"/>
          <w14:ligatures w14:val="none"/>
        </w:rPr>
        <w:t xml:space="preserve"> (as demonstrated by individual multi-million-dollar jury verdicts).</w:t>
      </w:r>
    </w:p>
    <w:p w14:paraId="69A5A641" w14:textId="77777777" w:rsidR="006B611A" w:rsidRPr="006B611A" w:rsidRDefault="00000000" w:rsidP="006B611A">
      <w:pPr>
        <w:shd w:val="clear" w:color="auto" w:fill="FFFFFF"/>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070D1AB6">
          <v:rect id="_x0000_i1042" style="width:0;height:1.5pt" o:hralign="center" o:hrstd="t" o:hr="t" fillcolor="#a0a0a0" stroked="f"/>
        </w:pict>
      </w:r>
    </w:p>
    <w:p w14:paraId="12E7F1D2" w14:textId="77777777" w:rsidR="006B611A" w:rsidRPr="006B611A" w:rsidRDefault="006B611A" w:rsidP="006B611A">
      <w:pPr>
        <w:shd w:val="clear" w:color="auto" w:fill="FFFFFF"/>
        <w:spacing w:before="420" w:after="60" w:line="360" w:lineRule="atLeast"/>
        <w:outlineLvl w:val="1"/>
        <w:rPr>
          <w:rFonts w:ascii="Arial" w:eastAsia="Times New Roman" w:hAnsi="Arial" w:cs="Arial"/>
          <w:b/>
          <w:bCs/>
          <w:color w:val="1F1F1F"/>
          <w:kern w:val="0"/>
          <w:szCs w:val="24"/>
          <w14:ligatures w14:val="none"/>
        </w:rPr>
      </w:pPr>
      <w:r w:rsidRPr="006B611A">
        <w:rPr>
          <w:rFonts w:ascii="Arial" w:eastAsia="Times New Roman" w:hAnsi="Arial" w:cs="Arial"/>
          <w:b/>
          <w:bCs/>
          <w:color w:val="1F1F1F"/>
          <w:kern w:val="0"/>
          <w:szCs w:val="24"/>
          <w14:ligatures w14:val="none"/>
        </w:rPr>
        <w:t>2. Mass-Tort Contagion &amp; Defense Costs</w:t>
      </w:r>
    </w:p>
    <w:p w14:paraId="6734AF79" w14:textId="77777777" w:rsidR="006B611A" w:rsidRPr="006B611A" w:rsidRDefault="006B611A" w:rsidP="006B611A">
      <w:pPr>
        <w:shd w:val="clear" w:color="auto" w:fill="FFFFFF"/>
        <w:spacing w:after="60" w:line="330" w:lineRule="atLeast"/>
        <w:rPr>
          <w:rFonts w:ascii="Arial" w:eastAsia="Times New Roman" w:hAnsi="Arial" w:cs="Arial"/>
          <w:color w:val="1F1F1F"/>
          <w:kern w:val="0"/>
          <w:sz w:val="21"/>
          <w:szCs w:val="21"/>
          <w14:ligatures w14:val="none"/>
        </w:rPr>
      </w:pPr>
      <w:r w:rsidRPr="006B611A">
        <w:rPr>
          <w:rFonts w:ascii="Arial" w:eastAsia="Times New Roman" w:hAnsi="Arial" w:cs="Arial"/>
          <w:color w:val="1F1F1F"/>
          <w:kern w:val="0"/>
          <w:sz w:val="21"/>
          <w:szCs w:val="21"/>
          <w14:ligatures w14:val="none"/>
        </w:rPr>
        <w:t xml:space="preserve">Defending thousands of state court </w:t>
      </w:r>
      <w:proofErr w:type="gramStart"/>
      <w:r w:rsidRPr="006B611A">
        <w:rPr>
          <w:rFonts w:ascii="Arial" w:eastAsia="Times New Roman" w:hAnsi="Arial" w:cs="Arial"/>
          <w:color w:val="1F1F1F"/>
          <w:kern w:val="0"/>
          <w:sz w:val="21"/>
          <w:szCs w:val="21"/>
          <w14:ligatures w14:val="none"/>
        </w:rPr>
        <w:t>tort suits</w:t>
      </w:r>
      <w:proofErr w:type="gramEnd"/>
      <w:r w:rsidRPr="006B611A">
        <w:rPr>
          <w:rFonts w:ascii="Arial" w:eastAsia="Times New Roman" w:hAnsi="Arial" w:cs="Arial"/>
          <w:color w:val="1F1F1F"/>
          <w:kern w:val="0"/>
          <w:sz w:val="21"/>
          <w:szCs w:val="21"/>
          <w14:ligatures w14:val="none"/>
        </w:rPr>
        <w:t xml:space="preserve"> across the country is a costly war of attrition.</w:t>
      </w:r>
    </w:p>
    <w:p w14:paraId="6B3C98E9" w14:textId="77777777" w:rsidR="006B611A" w:rsidRPr="00BB670C" w:rsidRDefault="006B611A" w:rsidP="006B611A">
      <w:pPr>
        <w:numPr>
          <w:ilvl w:val="0"/>
          <w:numId w:val="27"/>
        </w:numPr>
        <w:shd w:val="clear" w:color="auto" w:fill="FFFFFF"/>
        <w:spacing w:before="60" w:after="60" w:line="330" w:lineRule="atLeast"/>
        <w:rPr>
          <w:rFonts w:ascii="Arial" w:eastAsia="Times New Roman" w:hAnsi="Arial" w:cs="Arial"/>
          <w:color w:val="1F1F1F"/>
          <w:kern w:val="0"/>
          <w:sz w:val="21"/>
          <w:szCs w:val="21"/>
          <w:highlight w:val="yellow"/>
          <w14:ligatures w14:val="none"/>
        </w:rPr>
      </w:pPr>
      <w:r w:rsidRPr="00BB670C">
        <w:rPr>
          <w:rFonts w:ascii="Arial" w:eastAsia="Times New Roman" w:hAnsi="Arial" w:cs="Arial"/>
          <w:color w:val="1F1F1F"/>
          <w:kern w:val="0"/>
          <w:sz w:val="21"/>
          <w:szCs w:val="21"/>
          <w:highlight w:val="yellow"/>
          <w14:ligatures w14:val="none"/>
        </w:rPr>
        <w:lastRenderedPageBreak/>
        <w:t>Even in states that reject the product-line doctrine, plaintiffs frequently asserted alternative successor liability theories (such as "de facto merger," "mere continuation," or "fraudulent conveyance") to bring Brenntag into court.</w:t>
      </w:r>
    </w:p>
    <w:p w14:paraId="0EC30853" w14:textId="77777777" w:rsidR="006B611A" w:rsidRPr="006B611A" w:rsidRDefault="006B611A" w:rsidP="006B611A">
      <w:pPr>
        <w:numPr>
          <w:ilvl w:val="0"/>
          <w:numId w:val="27"/>
        </w:numPr>
        <w:shd w:val="clear" w:color="auto" w:fill="FFFFFF"/>
        <w:spacing w:before="60" w:after="60" w:line="330" w:lineRule="atLeast"/>
        <w:rPr>
          <w:rFonts w:ascii="Arial" w:eastAsia="Times New Roman" w:hAnsi="Arial" w:cs="Arial"/>
          <w:color w:val="1F1F1F"/>
          <w:kern w:val="0"/>
          <w:sz w:val="21"/>
          <w:szCs w:val="21"/>
          <w14:ligatures w14:val="none"/>
        </w:rPr>
      </w:pPr>
      <w:r w:rsidRPr="006B611A">
        <w:rPr>
          <w:rFonts w:ascii="Arial" w:eastAsia="Times New Roman" w:hAnsi="Arial" w:cs="Arial"/>
          <w:color w:val="1F1F1F"/>
          <w:kern w:val="0"/>
          <w:sz w:val="21"/>
          <w:szCs w:val="21"/>
          <w14:ligatures w14:val="none"/>
        </w:rPr>
        <w:t>The sheer administrative and legal cost of litigating thousands of individual motions to dismiss across all 50 states—regardless of whether a specific state recognized the product-line exception—created massive ongoing expense and brand damage for Brenntag.</w:t>
      </w:r>
    </w:p>
    <w:p w14:paraId="6B231E5C" w14:textId="77777777" w:rsidR="006B611A" w:rsidRPr="006B611A" w:rsidRDefault="00000000" w:rsidP="006B611A">
      <w:pPr>
        <w:shd w:val="clear" w:color="auto" w:fill="FFFFFF"/>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1CC662E7">
          <v:rect id="_x0000_i1043" style="width:0;height:1.5pt" o:hralign="center" o:hrstd="t" o:hr="t" fillcolor="#a0a0a0" stroked="f"/>
        </w:pict>
      </w:r>
    </w:p>
    <w:p w14:paraId="3D5090D4" w14:textId="77777777" w:rsidR="006B611A" w:rsidRPr="006B611A" w:rsidRDefault="006B611A" w:rsidP="006B611A">
      <w:pPr>
        <w:shd w:val="clear" w:color="auto" w:fill="FFFFFF"/>
        <w:spacing w:before="420" w:after="60" w:line="360" w:lineRule="atLeast"/>
        <w:outlineLvl w:val="1"/>
        <w:rPr>
          <w:rFonts w:ascii="Arial" w:eastAsia="Times New Roman" w:hAnsi="Arial" w:cs="Arial"/>
          <w:b/>
          <w:bCs/>
          <w:color w:val="1F1F1F"/>
          <w:kern w:val="0"/>
          <w:szCs w:val="24"/>
          <w14:ligatures w14:val="none"/>
        </w:rPr>
      </w:pPr>
      <w:r w:rsidRPr="006B611A">
        <w:rPr>
          <w:rFonts w:ascii="Arial" w:eastAsia="Times New Roman" w:hAnsi="Arial" w:cs="Arial"/>
          <w:b/>
          <w:bCs/>
          <w:color w:val="1F1F1F"/>
          <w:kern w:val="0"/>
          <w:szCs w:val="24"/>
          <w14:ligatures w14:val="none"/>
        </w:rPr>
        <w:t>3. Federal Bankruptcy Jurisdiction Provides Universal Finality</w:t>
      </w:r>
    </w:p>
    <w:p w14:paraId="56D0F3F3" w14:textId="77777777" w:rsidR="006B611A" w:rsidRPr="006B611A" w:rsidRDefault="006B611A" w:rsidP="006B611A">
      <w:pPr>
        <w:shd w:val="clear" w:color="auto" w:fill="FFFFFF"/>
        <w:spacing w:after="60" w:line="330" w:lineRule="atLeast"/>
        <w:rPr>
          <w:rFonts w:ascii="Arial" w:eastAsia="Times New Roman" w:hAnsi="Arial" w:cs="Arial"/>
          <w:color w:val="1F1F1F"/>
          <w:kern w:val="0"/>
          <w:sz w:val="21"/>
          <w:szCs w:val="21"/>
          <w14:ligatures w14:val="none"/>
        </w:rPr>
      </w:pPr>
      <w:r w:rsidRPr="006B611A">
        <w:rPr>
          <w:rFonts w:ascii="Arial" w:eastAsia="Times New Roman" w:hAnsi="Arial" w:cs="Arial"/>
          <w:color w:val="1F1F1F"/>
          <w:kern w:val="0"/>
          <w:sz w:val="21"/>
          <w:szCs w:val="21"/>
          <w14:ligatures w14:val="none"/>
        </w:rPr>
        <w:t xml:space="preserve">The fundamental advantage of a federal bankruptcy resolution is its </w:t>
      </w:r>
      <w:r w:rsidRPr="006B611A">
        <w:rPr>
          <w:rFonts w:ascii="Arial" w:eastAsia="Times New Roman" w:hAnsi="Arial" w:cs="Arial"/>
          <w:b/>
          <w:bCs/>
          <w:color w:val="1F1F1F"/>
          <w:kern w:val="0"/>
          <w:sz w:val="21"/>
          <w:szCs w:val="21"/>
          <w14:ligatures w14:val="none"/>
        </w:rPr>
        <w:t>nationwide reach</w:t>
      </w:r>
      <w:r w:rsidRPr="006B611A">
        <w:rPr>
          <w:rFonts w:ascii="Arial" w:eastAsia="Times New Roman" w:hAnsi="Arial" w:cs="Arial"/>
          <w:color w:val="1F1F1F"/>
          <w:kern w:val="0"/>
          <w:sz w:val="21"/>
          <w:szCs w:val="21"/>
          <w14:ligatures w14:val="none"/>
        </w:rPr>
        <w:t xml:space="preserve"> under Article I of the U.S. Constitution:</w:t>
      </w:r>
    </w:p>
    <w:p w14:paraId="292B9070" w14:textId="77777777" w:rsidR="006B611A" w:rsidRPr="00BB670C" w:rsidRDefault="006B611A" w:rsidP="006B611A">
      <w:pPr>
        <w:numPr>
          <w:ilvl w:val="0"/>
          <w:numId w:val="28"/>
        </w:numPr>
        <w:shd w:val="clear" w:color="auto" w:fill="FFFFFF"/>
        <w:spacing w:before="60" w:after="60" w:line="330" w:lineRule="atLeast"/>
        <w:rPr>
          <w:rFonts w:ascii="Arial" w:eastAsia="Times New Roman" w:hAnsi="Arial" w:cs="Arial"/>
          <w:color w:val="1F1F1F"/>
          <w:kern w:val="0"/>
          <w:sz w:val="21"/>
          <w:szCs w:val="21"/>
          <w:highlight w:val="yellow"/>
          <w14:ligatures w14:val="none"/>
        </w:rPr>
      </w:pPr>
      <w:r w:rsidRPr="00BB670C">
        <w:rPr>
          <w:rFonts w:ascii="Arial" w:eastAsia="Times New Roman" w:hAnsi="Arial" w:cs="Arial"/>
          <w:b/>
          <w:bCs/>
          <w:color w:val="1F1F1F"/>
          <w:kern w:val="0"/>
          <w:sz w:val="21"/>
          <w:szCs w:val="21"/>
          <w:highlight w:val="yellow"/>
          <w14:ligatures w14:val="none"/>
        </w:rPr>
        <w:t>Nationwide Injunctions:</w:t>
      </w:r>
      <w:r w:rsidRPr="00BB670C">
        <w:rPr>
          <w:rFonts w:ascii="Arial" w:eastAsia="Times New Roman" w:hAnsi="Arial" w:cs="Arial"/>
          <w:color w:val="1F1F1F"/>
          <w:kern w:val="0"/>
          <w:sz w:val="21"/>
          <w:szCs w:val="21"/>
          <w:highlight w:val="yellow"/>
          <w14:ligatures w14:val="none"/>
        </w:rPr>
        <w:t xml:space="preserve"> A state court judgment only binds the parties in that specific case or state. In contrast, a Federal Bankruptcy Court order under Section 541 (and Section 105/524 channeling injunctions) binds </w:t>
      </w:r>
      <w:r w:rsidRPr="00BB670C">
        <w:rPr>
          <w:rFonts w:ascii="Arial" w:eastAsia="Times New Roman" w:hAnsi="Arial" w:cs="Arial"/>
          <w:b/>
          <w:bCs/>
          <w:color w:val="1F1F1F"/>
          <w:kern w:val="0"/>
          <w:sz w:val="21"/>
          <w:szCs w:val="21"/>
          <w:highlight w:val="yellow"/>
          <w14:ligatures w14:val="none"/>
        </w:rPr>
        <w:t>all potential claimants nationwide</w:t>
      </w:r>
      <w:r w:rsidRPr="00BB670C">
        <w:rPr>
          <w:rFonts w:ascii="Arial" w:eastAsia="Times New Roman" w:hAnsi="Arial" w:cs="Arial"/>
          <w:color w:val="1F1F1F"/>
          <w:kern w:val="0"/>
          <w:sz w:val="21"/>
          <w:szCs w:val="21"/>
          <w:highlight w:val="yellow"/>
          <w14:ligatures w14:val="none"/>
        </w:rPr>
        <w:t>, barring current and future victims in all 50 states from bringing successor claims against Brenntag.</w:t>
      </w:r>
    </w:p>
    <w:p w14:paraId="0750E664" w14:textId="77777777" w:rsidR="006B611A" w:rsidRPr="006B611A" w:rsidRDefault="006B611A" w:rsidP="006B611A">
      <w:pPr>
        <w:numPr>
          <w:ilvl w:val="0"/>
          <w:numId w:val="28"/>
        </w:numPr>
        <w:shd w:val="clear" w:color="auto" w:fill="FFFFFF"/>
        <w:spacing w:before="60" w:after="60" w:line="330" w:lineRule="atLeast"/>
        <w:rPr>
          <w:rFonts w:ascii="Arial" w:eastAsia="Times New Roman" w:hAnsi="Arial" w:cs="Arial"/>
          <w:color w:val="1F1F1F"/>
          <w:kern w:val="0"/>
          <w:sz w:val="21"/>
          <w:szCs w:val="21"/>
          <w14:ligatures w14:val="none"/>
        </w:rPr>
      </w:pPr>
      <w:r w:rsidRPr="00BB670C">
        <w:rPr>
          <w:rFonts w:ascii="Arial" w:eastAsia="Times New Roman" w:hAnsi="Arial" w:cs="Arial"/>
          <w:b/>
          <w:bCs/>
          <w:color w:val="1F1F1F"/>
          <w:kern w:val="0"/>
          <w:sz w:val="21"/>
          <w:szCs w:val="21"/>
          <w:highlight w:val="yellow"/>
          <w14:ligatures w14:val="none"/>
        </w:rPr>
        <w:t>Buying "Global Peace":</w:t>
      </w:r>
      <w:r w:rsidRPr="006B611A">
        <w:rPr>
          <w:rFonts w:ascii="Arial" w:eastAsia="Times New Roman" w:hAnsi="Arial" w:cs="Arial"/>
          <w:color w:val="1F1F1F"/>
          <w:kern w:val="0"/>
          <w:sz w:val="21"/>
          <w:szCs w:val="21"/>
          <w14:ligatures w14:val="none"/>
        </w:rPr>
        <w:t xml:space="preserve"> Brenntag contributed $535 million not just to settle claims in product-line states, but to buy </w:t>
      </w:r>
      <w:r w:rsidRPr="006B611A">
        <w:rPr>
          <w:rFonts w:ascii="Arial" w:eastAsia="Times New Roman" w:hAnsi="Arial" w:cs="Arial"/>
          <w:b/>
          <w:bCs/>
          <w:color w:val="1F1F1F"/>
          <w:kern w:val="0"/>
          <w:sz w:val="21"/>
          <w:szCs w:val="21"/>
          <w14:ligatures w14:val="none"/>
        </w:rPr>
        <w:t>complete, permanent immunity across all jurisdictions</w:t>
      </w:r>
      <w:r w:rsidRPr="006B611A">
        <w:rPr>
          <w:rFonts w:ascii="Arial" w:eastAsia="Times New Roman" w:hAnsi="Arial" w:cs="Arial"/>
          <w:color w:val="1F1F1F"/>
          <w:kern w:val="0"/>
          <w:sz w:val="21"/>
          <w:szCs w:val="21"/>
          <w14:ligatures w14:val="none"/>
        </w:rPr>
        <w:t>.   </w:t>
      </w:r>
    </w:p>
    <w:p w14:paraId="45A34BAA" w14:textId="77777777" w:rsidR="006B611A" w:rsidRPr="006B611A" w:rsidRDefault="00000000" w:rsidP="006B611A">
      <w:pPr>
        <w:shd w:val="clear" w:color="auto" w:fill="FFFFFF"/>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01CD06E6">
          <v:rect id="_x0000_i1044" style="width:0;height:1.5pt" o:hralign="center" o:hrstd="t" o:hr="t" fillcolor="#a0a0a0" stroked="f"/>
        </w:pict>
      </w:r>
    </w:p>
    <w:p w14:paraId="249AA196" w14:textId="77777777" w:rsidR="006B611A" w:rsidRPr="006B611A" w:rsidRDefault="006B611A" w:rsidP="006B611A">
      <w:pPr>
        <w:shd w:val="clear" w:color="auto" w:fill="FFFFFF"/>
        <w:spacing w:before="420" w:after="60" w:line="360" w:lineRule="atLeast"/>
        <w:outlineLvl w:val="1"/>
        <w:rPr>
          <w:rFonts w:ascii="Arial" w:eastAsia="Times New Roman" w:hAnsi="Arial" w:cs="Arial"/>
          <w:b/>
          <w:bCs/>
          <w:color w:val="1F1F1F"/>
          <w:kern w:val="0"/>
          <w:szCs w:val="24"/>
          <w14:ligatures w14:val="none"/>
        </w:rPr>
      </w:pPr>
      <w:r w:rsidRPr="006B611A">
        <w:rPr>
          <w:rFonts w:ascii="Arial" w:eastAsia="Times New Roman" w:hAnsi="Arial" w:cs="Arial"/>
          <w:b/>
          <w:bCs/>
          <w:color w:val="1F1F1F"/>
          <w:kern w:val="0"/>
          <w:szCs w:val="24"/>
          <w14:ligatures w14:val="none"/>
        </w:rPr>
        <w:t>Summary</w:t>
      </w:r>
    </w:p>
    <w:p w14:paraId="5B35AF63" w14:textId="77777777" w:rsidR="006B611A" w:rsidRPr="006B611A" w:rsidRDefault="006B611A" w:rsidP="006B611A">
      <w:pPr>
        <w:shd w:val="clear" w:color="auto" w:fill="FFFFFF"/>
        <w:spacing w:after="120" w:line="330" w:lineRule="atLeast"/>
        <w:rPr>
          <w:rFonts w:ascii="Arial" w:eastAsia="Times New Roman" w:hAnsi="Arial" w:cs="Arial"/>
          <w:color w:val="1F1F1F"/>
          <w:kern w:val="0"/>
          <w:sz w:val="21"/>
          <w:szCs w:val="21"/>
          <w14:ligatures w14:val="none"/>
        </w:rPr>
      </w:pPr>
      <w:r w:rsidRPr="006B611A">
        <w:rPr>
          <w:rFonts w:ascii="Arial" w:eastAsia="Times New Roman" w:hAnsi="Arial" w:cs="Arial"/>
          <w:color w:val="1F1F1F"/>
          <w:kern w:val="0"/>
          <w:sz w:val="21"/>
          <w:szCs w:val="21"/>
          <w14:ligatures w14:val="none"/>
        </w:rPr>
        <w:t xml:space="preserve">While the product-line exception is a minority rule under state common law, Brenntag faced severe liability in the major jurisdictions that </w:t>
      </w:r>
      <w:r w:rsidRPr="006B611A">
        <w:rPr>
          <w:rFonts w:ascii="Arial" w:eastAsia="Times New Roman" w:hAnsi="Arial" w:cs="Arial"/>
          <w:i/>
          <w:iCs/>
          <w:color w:val="1F1F1F"/>
          <w:kern w:val="0"/>
          <w:sz w:val="21"/>
          <w:szCs w:val="21"/>
          <w14:ligatures w14:val="none"/>
        </w:rPr>
        <w:t>do</w:t>
      </w:r>
      <w:r w:rsidRPr="006B611A">
        <w:rPr>
          <w:rFonts w:ascii="Arial" w:eastAsia="Times New Roman" w:hAnsi="Arial" w:cs="Arial"/>
          <w:color w:val="1F1F1F"/>
          <w:kern w:val="0"/>
          <w:sz w:val="21"/>
          <w:szCs w:val="21"/>
          <w14:ligatures w14:val="none"/>
        </w:rPr>
        <w:t xml:space="preserve"> recognize it, along with massive defense expenses in the remaining states. The $535 million contribution allowed Brenntag to leverage federal bankruptcy power to permanently extinguish its national litigation exposure in a single proceeding.</w:t>
      </w:r>
    </w:p>
    <w:p w14:paraId="5A999D3D" w14:textId="77777777" w:rsidR="00990ACC" w:rsidRPr="00990ACC" w:rsidRDefault="00990ACC" w:rsidP="00990ACC">
      <w:pPr>
        <w:shd w:val="clear" w:color="auto" w:fill="FFFFFF"/>
        <w:spacing w:after="0" w:line="240" w:lineRule="auto"/>
        <w:rPr>
          <w:rFonts w:ascii="Arial" w:eastAsia="Times New Roman" w:hAnsi="Arial" w:cs="Arial"/>
          <w:color w:val="1F1F1F"/>
          <w:kern w:val="0"/>
          <w:sz w:val="18"/>
          <w:szCs w:val="18"/>
          <w14:ligatures w14:val="none"/>
        </w:rPr>
      </w:pPr>
      <w:proofErr w:type="gramStart"/>
      <w:r w:rsidRPr="00990ACC">
        <w:rPr>
          <w:rFonts w:ascii="Arial" w:eastAsia="Times New Roman" w:hAnsi="Arial" w:cs="Arial"/>
          <w:color w:val="1F1F1F"/>
          <w:kern w:val="0"/>
          <w:sz w:val="18"/>
          <w:szCs w:val="18"/>
          <w14:ligatures w14:val="none"/>
        </w:rPr>
        <w:t>you</w:t>
      </w:r>
      <w:proofErr w:type="gramEnd"/>
      <w:r w:rsidRPr="00990ACC">
        <w:rPr>
          <w:rFonts w:ascii="Arial" w:eastAsia="Times New Roman" w:hAnsi="Arial" w:cs="Arial"/>
          <w:color w:val="1F1F1F"/>
          <w:kern w:val="0"/>
          <w:sz w:val="18"/>
          <w:szCs w:val="18"/>
          <w14:ligatures w14:val="none"/>
        </w:rPr>
        <w:t xml:space="preserve"> are missing the real-world effects. If handled in bankruptcy the plaintiffs would be limited to a recovery of $530 million. If handled as torts against Brenntag, the recovery would be limited by the assets Brenntag possessed, which is substantially more than $530 million.</w:t>
      </w:r>
    </w:p>
    <w:p w14:paraId="523209B2" w14:textId="77777777" w:rsidR="00990ACC" w:rsidRPr="00990ACC" w:rsidRDefault="00990ACC" w:rsidP="00990ACC">
      <w:pPr>
        <w:shd w:val="clear" w:color="auto" w:fill="FFFFFF"/>
        <w:spacing w:after="12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You’ve hit on the exact core tension—and the real-world financial friction—that makes mass-tort Chapter 11 bankruptcies so controversial among plaintiffs’ attorneys and victims.</w:t>
      </w:r>
    </w:p>
    <w:p w14:paraId="64AAD804" w14:textId="77777777" w:rsidR="00990ACC" w:rsidRPr="00990ACC" w:rsidRDefault="00990ACC" w:rsidP="00990ACC">
      <w:pPr>
        <w:shd w:val="clear" w:color="auto" w:fill="FFFFFF"/>
        <w:spacing w:after="12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 xml:space="preserve">From a practical, real-world financial perspective, you are spot </w:t>
      </w:r>
      <w:proofErr w:type="gramStart"/>
      <w:r w:rsidRPr="00990ACC">
        <w:rPr>
          <w:rFonts w:ascii="Arial" w:eastAsia="Times New Roman" w:hAnsi="Arial" w:cs="Arial"/>
          <w:color w:val="1F1F1F"/>
          <w:kern w:val="0"/>
          <w:sz w:val="21"/>
          <w:szCs w:val="21"/>
          <w14:ligatures w14:val="none"/>
        </w:rPr>
        <w:t>on:</w:t>
      </w:r>
      <w:proofErr w:type="gramEnd"/>
      <w:r w:rsidRPr="00990ACC">
        <w:rPr>
          <w:rFonts w:ascii="Arial" w:eastAsia="Times New Roman" w:hAnsi="Arial" w:cs="Arial"/>
          <w:color w:val="1F1F1F"/>
          <w:kern w:val="0"/>
          <w:sz w:val="21"/>
          <w:szCs w:val="21"/>
          <w14:ligatures w14:val="none"/>
        </w:rPr>
        <w:t xml:space="preserve"> </w:t>
      </w:r>
      <w:r w:rsidRPr="00990ACC">
        <w:rPr>
          <w:rFonts w:ascii="Arial" w:eastAsia="Times New Roman" w:hAnsi="Arial" w:cs="Arial"/>
          <w:b/>
          <w:bCs/>
          <w:color w:val="1F1F1F"/>
          <w:kern w:val="0"/>
          <w:sz w:val="21"/>
          <w:szCs w:val="21"/>
          <w14:ligatures w14:val="none"/>
        </w:rPr>
        <w:t>a bankruptcy settlement caps recovery, whereas individual tort litigation leaves the ceiling open to the full balance sheet of the defendant.</w:t>
      </w:r>
    </w:p>
    <w:p w14:paraId="092DEFF1" w14:textId="77777777" w:rsidR="00990ACC" w:rsidRPr="00990ACC" w:rsidRDefault="00990ACC" w:rsidP="00990ACC">
      <w:pPr>
        <w:shd w:val="clear" w:color="auto" w:fill="FFFFFF"/>
        <w:spacing w:after="12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Here is how that practical dynamic plays out and why bankruptcy produces that result:</w:t>
      </w:r>
    </w:p>
    <w:p w14:paraId="425AA5E6" w14:textId="77777777" w:rsidR="00990ACC" w:rsidRPr="00990ACC" w:rsidRDefault="00000000" w:rsidP="00990ACC">
      <w:pPr>
        <w:shd w:val="clear" w:color="auto" w:fill="FFFFFF"/>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5928C23B">
          <v:rect id="_x0000_i1045" style="width:0;height:1.5pt" o:hralign="center" o:hrstd="t" o:hr="t" fillcolor="#a0a0a0" stroked="f"/>
        </w:pict>
      </w:r>
    </w:p>
    <w:p w14:paraId="2A9B4EFC" w14:textId="77777777" w:rsidR="00990ACC" w:rsidRPr="00990ACC" w:rsidRDefault="00990ACC" w:rsidP="00990ACC">
      <w:pPr>
        <w:shd w:val="clear" w:color="auto" w:fill="FFFFFF"/>
        <w:spacing w:before="420" w:after="60" w:line="360" w:lineRule="atLeast"/>
        <w:outlineLvl w:val="1"/>
        <w:rPr>
          <w:rFonts w:ascii="Arial" w:eastAsia="Times New Roman" w:hAnsi="Arial" w:cs="Arial"/>
          <w:b/>
          <w:bCs/>
          <w:color w:val="1F1F1F"/>
          <w:kern w:val="0"/>
          <w:szCs w:val="24"/>
          <w14:ligatures w14:val="none"/>
        </w:rPr>
      </w:pPr>
      <w:r w:rsidRPr="00990ACC">
        <w:rPr>
          <w:rFonts w:ascii="Arial" w:eastAsia="Times New Roman" w:hAnsi="Arial" w:cs="Arial"/>
          <w:b/>
          <w:bCs/>
          <w:color w:val="1F1F1F"/>
          <w:kern w:val="0"/>
          <w:szCs w:val="24"/>
          <w14:ligatures w14:val="none"/>
        </w:rPr>
        <w:t>1. The Financial Cap vs. Deep-Pocket Exposure</w:t>
      </w:r>
    </w:p>
    <w:p w14:paraId="2331D8A3" w14:textId="77777777" w:rsidR="00990ACC" w:rsidRPr="00990ACC" w:rsidRDefault="00990ACC" w:rsidP="00990ACC">
      <w:pPr>
        <w:numPr>
          <w:ilvl w:val="0"/>
          <w:numId w:val="29"/>
        </w:numPr>
        <w:shd w:val="clear" w:color="auto" w:fill="FFFFFF"/>
        <w:spacing w:before="60" w:after="60" w:line="330" w:lineRule="atLeast"/>
        <w:rPr>
          <w:rFonts w:ascii="Arial" w:eastAsia="Times New Roman" w:hAnsi="Arial" w:cs="Arial"/>
          <w:color w:val="1F1F1F"/>
          <w:kern w:val="0"/>
          <w:sz w:val="21"/>
          <w:szCs w:val="21"/>
          <w:highlight w:val="yellow"/>
          <w14:ligatures w14:val="none"/>
        </w:rPr>
      </w:pPr>
      <w:r w:rsidRPr="00990ACC">
        <w:rPr>
          <w:rFonts w:ascii="Arial" w:eastAsia="Times New Roman" w:hAnsi="Arial" w:cs="Arial"/>
          <w:b/>
          <w:bCs/>
          <w:color w:val="1F1F1F"/>
          <w:kern w:val="0"/>
          <w:sz w:val="21"/>
          <w:szCs w:val="21"/>
          <w14:ligatures w14:val="none"/>
        </w:rPr>
        <w:lastRenderedPageBreak/>
        <w:t>In Tort Litigation:</w:t>
      </w:r>
      <w:r w:rsidRPr="00990ACC">
        <w:rPr>
          <w:rFonts w:ascii="Arial" w:eastAsia="Times New Roman" w:hAnsi="Arial" w:cs="Arial"/>
          <w:color w:val="1F1F1F"/>
          <w:kern w:val="0"/>
          <w:sz w:val="21"/>
          <w:szCs w:val="21"/>
          <w14:ligatures w14:val="none"/>
        </w:rPr>
        <w:t xml:space="preserve"> </w:t>
      </w:r>
      <w:r w:rsidRPr="00990ACC">
        <w:rPr>
          <w:rFonts w:ascii="Arial" w:eastAsia="Times New Roman" w:hAnsi="Arial" w:cs="Arial"/>
          <w:color w:val="1F1F1F"/>
          <w:kern w:val="0"/>
          <w:sz w:val="21"/>
          <w:szCs w:val="21"/>
          <w:highlight w:val="yellow"/>
          <w14:ligatures w14:val="none"/>
        </w:rPr>
        <w:t>Brenntag is a massive global chemical distributor with billions of dollars in enterprise value and annual revenue. If claimants can hold Brenntag directly liable in state courts nationwide, their potential recovery is bounded only by Brenntag’s total corporate assets and insurance policies (well beyond $535 million).</w:t>
      </w:r>
    </w:p>
    <w:p w14:paraId="4A50BCCE" w14:textId="77777777" w:rsidR="00990ACC" w:rsidRPr="00990ACC" w:rsidRDefault="00990ACC" w:rsidP="00990ACC">
      <w:pPr>
        <w:numPr>
          <w:ilvl w:val="0"/>
          <w:numId w:val="29"/>
        </w:numPr>
        <w:shd w:val="clear" w:color="auto" w:fill="FFFFFF"/>
        <w:spacing w:before="60"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b/>
          <w:bCs/>
          <w:color w:val="1F1F1F"/>
          <w:kern w:val="0"/>
          <w:sz w:val="21"/>
          <w:szCs w:val="21"/>
          <w14:ligatures w14:val="none"/>
        </w:rPr>
        <w:t>In Bankruptcy:</w:t>
      </w:r>
      <w:r w:rsidRPr="00990ACC">
        <w:rPr>
          <w:rFonts w:ascii="Arial" w:eastAsia="Times New Roman" w:hAnsi="Arial" w:cs="Arial"/>
          <w:color w:val="1F1F1F"/>
          <w:kern w:val="0"/>
          <w:sz w:val="21"/>
          <w:szCs w:val="21"/>
          <w14:ligatures w14:val="none"/>
        </w:rPr>
        <w:t xml:space="preserve"> </w:t>
      </w:r>
      <w:r w:rsidRPr="00990ACC">
        <w:rPr>
          <w:rFonts w:ascii="Arial" w:eastAsia="Times New Roman" w:hAnsi="Arial" w:cs="Arial"/>
          <w:color w:val="1F1F1F"/>
          <w:kern w:val="0"/>
          <w:sz w:val="21"/>
          <w:szCs w:val="21"/>
          <w:highlight w:val="yellow"/>
          <w14:ligatures w14:val="none"/>
        </w:rPr>
        <w:t xml:space="preserve">Once the Third Circuit ruled that product-line successor claims are "general/derivative" property of the bankruptcy estate under Section 541, the claims were </w:t>
      </w:r>
      <w:r w:rsidRPr="00990ACC">
        <w:rPr>
          <w:rFonts w:ascii="Arial" w:eastAsia="Times New Roman" w:hAnsi="Arial" w:cs="Arial"/>
          <w:b/>
          <w:bCs/>
          <w:color w:val="1F1F1F"/>
          <w:kern w:val="0"/>
          <w:sz w:val="21"/>
          <w:szCs w:val="21"/>
          <w:highlight w:val="yellow"/>
          <w14:ligatures w14:val="none"/>
        </w:rPr>
        <w:t>aggregated and capped</w:t>
      </w:r>
      <w:r w:rsidRPr="00990ACC">
        <w:rPr>
          <w:rFonts w:ascii="Arial" w:eastAsia="Times New Roman" w:hAnsi="Arial" w:cs="Arial"/>
          <w:color w:val="1F1F1F"/>
          <w:kern w:val="0"/>
          <w:sz w:val="21"/>
          <w:szCs w:val="21"/>
          <w:highlight w:val="yellow"/>
          <w14:ligatures w14:val="none"/>
        </w:rPr>
        <w:t>.</w:t>
      </w:r>
      <w:r w:rsidRPr="00990ACC">
        <w:rPr>
          <w:rFonts w:ascii="Arial" w:eastAsia="Times New Roman" w:hAnsi="Arial" w:cs="Arial"/>
          <w:color w:val="1F1F1F"/>
          <w:kern w:val="0"/>
          <w:sz w:val="21"/>
          <w:szCs w:val="21"/>
          <w14:ligatures w14:val="none"/>
        </w:rPr>
        <w:t xml:space="preserve"> Brenntag paid $535 million into a settlement trust, got a full channeling injunction, and walked away with complete liability immunity—effectively cutting off access to the rest of its multi-billion-dollar balance sheet.</w:t>
      </w:r>
    </w:p>
    <w:p w14:paraId="166811A4" w14:textId="77777777" w:rsidR="00990ACC" w:rsidRPr="00990ACC" w:rsidRDefault="00000000" w:rsidP="00990ACC">
      <w:pPr>
        <w:shd w:val="clear" w:color="auto" w:fill="FFFFFF"/>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0BB047F9">
          <v:rect id="_x0000_i1046" style="width:0;height:1.5pt" o:hralign="center" o:hrstd="t" o:hr="t" fillcolor="#a0a0a0" stroked="f"/>
        </w:pict>
      </w:r>
    </w:p>
    <w:p w14:paraId="31797C26" w14:textId="77777777" w:rsidR="00990ACC" w:rsidRPr="00990ACC" w:rsidRDefault="00990ACC" w:rsidP="00990ACC">
      <w:pPr>
        <w:shd w:val="clear" w:color="auto" w:fill="FFFFFF"/>
        <w:spacing w:before="420" w:after="60" w:line="360" w:lineRule="atLeast"/>
        <w:outlineLvl w:val="1"/>
        <w:rPr>
          <w:rFonts w:ascii="Arial" w:eastAsia="Times New Roman" w:hAnsi="Arial" w:cs="Arial"/>
          <w:b/>
          <w:bCs/>
          <w:color w:val="1F1F1F"/>
          <w:kern w:val="0"/>
          <w:szCs w:val="24"/>
          <w14:ligatures w14:val="none"/>
        </w:rPr>
      </w:pPr>
      <w:r w:rsidRPr="00990ACC">
        <w:rPr>
          <w:rFonts w:ascii="Arial" w:eastAsia="Times New Roman" w:hAnsi="Arial" w:cs="Arial"/>
          <w:b/>
          <w:bCs/>
          <w:color w:val="1F1F1F"/>
          <w:kern w:val="0"/>
          <w:szCs w:val="24"/>
          <w14:ligatures w14:val="none"/>
        </w:rPr>
        <w:t>2. Why Plaintiffs View This as a "Bankruptcy Discount"</w:t>
      </w:r>
    </w:p>
    <w:p w14:paraId="1C9C80CB" w14:textId="77777777" w:rsidR="00990ACC" w:rsidRPr="00990ACC" w:rsidRDefault="00990ACC" w:rsidP="00990ACC">
      <w:pPr>
        <w:shd w:val="clear" w:color="auto" w:fill="FFFFFF"/>
        <w:spacing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Plaintiffs' lawyers heavily oppose this outcome for the very reason you highlighted:</w:t>
      </w:r>
    </w:p>
    <w:p w14:paraId="3B05AE0F" w14:textId="77777777" w:rsidR="00990ACC" w:rsidRPr="00990ACC" w:rsidRDefault="00990ACC" w:rsidP="00990ACC">
      <w:pPr>
        <w:numPr>
          <w:ilvl w:val="0"/>
          <w:numId w:val="30"/>
        </w:numPr>
        <w:shd w:val="clear" w:color="auto" w:fill="FFFFFF"/>
        <w:spacing w:before="60"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b/>
          <w:bCs/>
          <w:color w:val="1F1F1F"/>
          <w:kern w:val="0"/>
          <w:sz w:val="21"/>
          <w:szCs w:val="21"/>
          <w14:ligatures w14:val="none"/>
        </w:rPr>
        <w:t>Forced Discounting:</w:t>
      </w:r>
      <w:r w:rsidRPr="00990ACC">
        <w:rPr>
          <w:rFonts w:ascii="Arial" w:eastAsia="Times New Roman" w:hAnsi="Arial" w:cs="Arial"/>
          <w:color w:val="1F1F1F"/>
          <w:kern w:val="0"/>
          <w:sz w:val="21"/>
          <w:szCs w:val="21"/>
          <w14:ligatures w14:val="none"/>
        </w:rPr>
        <w:t xml:space="preserve"> Individual victims lose the chance to win multi-million-dollar jury verdicts against a solvent defendant. Instead, hundreds or thousands of claimants must divide a fixed pool ($535 million), often receiving a fraction of what a favorable jury trial in California or New Jersey might yield.</w:t>
      </w:r>
    </w:p>
    <w:p w14:paraId="63F345C5" w14:textId="77777777" w:rsidR="00990ACC" w:rsidRPr="00990ACC" w:rsidRDefault="00990ACC" w:rsidP="00990ACC">
      <w:pPr>
        <w:numPr>
          <w:ilvl w:val="0"/>
          <w:numId w:val="30"/>
        </w:numPr>
        <w:shd w:val="clear" w:color="auto" w:fill="FFFFFF"/>
        <w:spacing w:before="60"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b/>
          <w:bCs/>
          <w:color w:val="1F1F1F"/>
          <w:kern w:val="0"/>
          <w:sz w:val="21"/>
          <w:szCs w:val="21"/>
          <w14:ligatures w14:val="none"/>
        </w:rPr>
        <w:t>Involuntary Non-Debtor Release:</w:t>
      </w:r>
      <w:r w:rsidRPr="00990ACC">
        <w:rPr>
          <w:rFonts w:ascii="Arial" w:eastAsia="Times New Roman" w:hAnsi="Arial" w:cs="Arial"/>
          <w:color w:val="1F1F1F"/>
          <w:kern w:val="0"/>
          <w:sz w:val="21"/>
          <w:szCs w:val="21"/>
          <w14:ligatures w14:val="none"/>
        </w:rPr>
        <w:t xml:space="preserve"> Brenntag itself never filed for bankruptcy, yet it received the ultimate benefit of a Chapter 11 discharge (a permanent liability shield) without exposing its own corporate assets to a full bankruptcy liquidation.</w:t>
      </w:r>
    </w:p>
    <w:p w14:paraId="06C88BFC" w14:textId="77777777" w:rsidR="00990ACC" w:rsidRPr="00990ACC" w:rsidRDefault="00000000" w:rsidP="00990ACC">
      <w:pPr>
        <w:shd w:val="clear" w:color="auto" w:fill="FFFFFF"/>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04C5DC93">
          <v:rect id="_x0000_i1047" style="width:0;height:1.5pt" o:hralign="center" o:hrstd="t" o:hr="t" fillcolor="#a0a0a0" stroked="f"/>
        </w:pict>
      </w:r>
    </w:p>
    <w:p w14:paraId="56AEE7DC" w14:textId="77777777" w:rsidR="00990ACC" w:rsidRPr="00990ACC" w:rsidRDefault="00990ACC" w:rsidP="00990ACC">
      <w:pPr>
        <w:shd w:val="clear" w:color="auto" w:fill="FFFFFF"/>
        <w:spacing w:before="420" w:after="60" w:line="360" w:lineRule="atLeast"/>
        <w:outlineLvl w:val="1"/>
        <w:rPr>
          <w:rFonts w:ascii="Arial" w:eastAsia="Times New Roman" w:hAnsi="Arial" w:cs="Arial"/>
          <w:b/>
          <w:bCs/>
          <w:color w:val="1F1F1F"/>
          <w:kern w:val="0"/>
          <w:szCs w:val="24"/>
          <w14:ligatures w14:val="none"/>
        </w:rPr>
      </w:pPr>
      <w:r w:rsidRPr="00990ACC">
        <w:rPr>
          <w:rFonts w:ascii="Arial" w:eastAsia="Times New Roman" w:hAnsi="Arial" w:cs="Arial"/>
          <w:b/>
          <w:bCs/>
          <w:color w:val="1F1F1F"/>
          <w:kern w:val="0"/>
          <w:szCs w:val="24"/>
          <w14:ligatures w14:val="none"/>
        </w:rPr>
        <w:t xml:space="preserve">3. The </w:t>
      </w:r>
      <w:proofErr w:type="gramStart"/>
      <w:r w:rsidRPr="00990ACC">
        <w:rPr>
          <w:rFonts w:ascii="Arial" w:eastAsia="Times New Roman" w:hAnsi="Arial" w:cs="Arial"/>
          <w:b/>
          <w:bCs/>
          <w:color w:val="1F1F1F"/>
          <w:kern w:val="0"/>
          <w:szCs w:val="24"/>
          <w14:ligatures w14:val="none"/>
        </w:rPr>
        <w:t>Counter-Argument</w:t>
      </w:r>
      <w:proofErr w:type="gramEnd"/>
      <w:r w:rsidRPr="00990ACC">
        <w:rPr>
          <w:rFonts w:ascii="Arial" w:eastAsia="Times New Roman" w:hAnsi="Arial" w:cs="Arial"/>
          <w:b/>
          <w:bCs/>
          <w:color w:val="1F1F1F"/>
          <w:kern w:val="0"/>
          <w:szCs w:val="24"/>
          <w14:ligatures w14:val="none"/>
        </w:rPr>
        <w:t>: Collective Recovery vs. Litigation Friction</w:t>
      </w:r>
    </w:p>
    <w:p w14:paraId="0F01CE4C" w14:textId="77777777" w:rsidR="00990ACC" w:rsidRPr="00990ACC" w:rsidRDefault="00990ACC" w:rsidP="00990ACC">
      <w:pPr>
        <w:shd w:val="clear" w:color="auto" w:fill="FFFFFF"/>
        <w:spacing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From the perspective of the Bankruptcy Court and proponents of the settlement, the real-world tradeoff is viewed differently:</w:t>
      </w:r>
    </w:p>
    <w:p w14:paraId="5353F840" w14:textId="77777777" w:rsidR="00990ACC" w:rsidRPr="00990ACC" w:rsidRDefault="00990ACC" w:rsidP="00990ACC">
      <w:pPr>
        <w:numPr>
          <w:ilvl w:val="0"/>
          <w:numId w:val="31"/>
        </w:numPr>
        <w:shd w:val="clear" w:color="auto" w:fill="FFFFFF"/>
        <w:spacing w:before="60"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b/>
          <w:bCs/>
          <w:color w:val="1F1F1F"/>
          <w:kern w:val="0"/>
          <w:sz w:val="21"/>
          <w:szCs w:val="21"/>
          <w14:ligatures w14:val="none"/>
        </w:rPr>
        <w:t>Speed and Certainty:</w:t>
      </w:r>
      <w:r w:rsidRPr="00990ACC">
        <w:rPr>
          <w:rFonts w:ascii="Arial" w:eastAsia="Times New Roman" w:hAnsi="Arial" w:cs="Arial"/>
          <w:color w:val="1F1F1F"/>
          <w:kern w:val="0"/>
          <w:sz w:val="21"/>
          <w:szCs w:val="21"/>
          <w14:ligatures w14:val="none"/>
        </w:rPr>
        <w:t xml:space="preserve"> A $535 million cash trust guarantees immediate, structured distributions to </w:t>
      </w:r>
      <w:r w:rsidRPr="00990ACC">
        <w:rPr>
          <w:rFonts w:ascii="Arial" w:eastAsia="Times New Roman" w:hAnsi="Arial" w:cs="Arial"/>
          <w:i/>
          <w:iCs/>
          <w:color w:val="1F1F1F"/>
          <w:kern w:val="0"/>
          <w:sz w:val="21"/>
          <w:szCs w:val="21"/>
          <w14:ligatures w14:val="none"/>
        </w:rPr>
        <w:t>all</w:t>
      </w:r>
      <w:r w:rsidRPr="00990ACC">
        <w:rPr>
          <w:rFonts w:ascii="Arial" w:eastAsia="Times New Roman" w:hAnsi="Arial" w:cs="Arial"/>
          <w:color w:val="1F1F1F"/>
          <w:kern w:val="0"/>
          <w:sz w:val="21"/>
          <w:szCs w:val="21"/>
          <w14:ligatures w14:val="none"/>
        </w:rPr>
        <w:t xml:space="preserve"> present and future claimants without requiring every single victim to endure 5 to 10 years of state-court appeals, expert depositions, and motion practice.</w:t>
      </w:r>
    </w:p>
    <w:p w14:paraId="57678365" w14:textId="77777777" w:rsidR="00990ACC" w:rsidRPr="00990ACC" w:rsidRDefault="00990ACC" w:rsidP="00990ACC">
      <w:pPr>
        <w:numPr>
          <w:ilvl w:val="0"/>
          <w:numId w:val="31"/>
        </w:numPr>
        <w:shd w:val="clear" w:color="auto" w:fill="FFFFFF"/>
        <w:spacing w:before="60"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b/>
          <w:bCs/>
          <w:color w:val="1F1F1F"/>
          <w:kern w:val="0"/>
          <w:sz w:val="21"/>
          <w:szCs w:val="21"/>
          <w14:ligatures w14:val="none"/>
        </w:rPr>
        <w:t>Solvency and Allocation:</w:t>
      </w:r>
      <w:r w:rsidRPr="00990ACC">
        <w:rPr>
          <w:rFonts w:ascii="Arial" w:eastAsia="Times New Roman" w:hAnsi="Arial" w:cs="Arial"/>
          <w:color w:val="1F1F1F"/>
          <w:kern w:val="0"/>
          <w:sz w:val="21"/>
          <w:szCs w:val="21"/>
          <w14:ligatures w14:val="none"/>
        </w:rPr>
        <w:t xml:space="preserve"> In uncoordinated tort litigation, early trial winners and high-fee law firms often exhaust available resources or insurance coverage, leaving later claimants (or those in states with weaker tort laws) with nothing. Bankruptcy enforces collective equity across the entire class of victims.</w:t>
      </w:r>
    </w:p>
    <w:p w14:paraId="392892DB" w14:textId="77777777" w:rsidR="00990ACC" w:rsidRPr="00990ACC" w:rsidRDefault="00000000" w:rsidP="00990ACC">
      <w:pPr>
        <w:shd w:val="clear" w:color="auto" w:fill="FFFFFF"/>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35ABA0F6">
          <v:rect id="_x0000_i1048" style="width:0;height:1.5pt" o:hralign="center" o:hrstd="t" o:hr="t" fillcolor="#a0a0a0" stroked="f"/>
        </w:pict>
      </w:r>
    </w:p>
    <w:p w14:paraId="6496BB3D" w14:textId="77777777" w:rsidR="00990ACC" w:rsidRPr="00990ACC" w:rsidRDefault="00990ACC" w:rsidP="00990ACC">
      <w:pPr>
        <w:shd w:val="clear" w:color="auto" w:fill="FFFFFF"/>
        <w:spacing w:before="420" w:after="60" w:line="360" w:lineRule="atLeast"/>
        <w:outlineLvl w:val="1"/>
        <w:rPr>
          <w:rFonts w:ascii="Arial" w:eastAsia="Times New Roman" w:hAnsi="Arial" w:cs="Arial"/>
          <w:b/>
          <w:bCs/>
          <w:color w:val="1F1F1F"/>
          <w:kern w:val="0"/>
          <w:szCs w:val="24"/>
          <w14:ligatures w14:val="none"/>
        </w:rPr>
      </w:pPr>
      <w:r w:rsidRPr="00990ACC">
        <w:rPr>
          <w:rFonts w:ascii="Arial" w:eastAsia="Times New Roman" w:hAnsi="Arial" w:cs="Arial"/>
          <w:b/>
          <w:bCs/>
          <w:color w:val="1F1F1F"/>
          <w:kern w:val="0"/>
          <w:szCs w:val="24"/>
          <w14:ligatures w14:val="none"/>
        </w:rPr>
        <w:t>Summary</w:t>
      </w:r>
    </w:p>
    <w:p w14:paraId="059A11A5" w14:textId="77777777" w:rsidR="00990ACC" w:rsidRPr="00990ACC" w:rsidRDefault="00990ACC" w:rsidP="00990ACC">
      <w:pPr>
        <w:shd w:val="clear" w:color="auto" w:fill="FFFFFF"/>
        <w:spacing w:after="12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lastRenderedPageBreak/>
        <w:t xml:space="preserve">You are pointing out the ultimate practical consequence of </w:t>
      </w:r>
      <w:r w:rsidRPr="00990ACC">
        <w:rPr>
          <w:rFonts w:ascii="Arial" w:eastAsia="Times New Roman" w:hAnsi="Arial" w:cs="Arial"/>
          <w:i/>
          <w:iCs/>
          <w:color w:val="1F1F1F"/>
          <w:kern w:val="0"/>
          <w:sz w:val="21"/>
          <w:szCs w:val="21"/>
          <w14:ligatures w14:val="none"/>
        </w:rPr>
        <w:t>Whittaker &amp; Daniels</w:t>
      </w:r>
      <w:r w:rsidRPr="00990ACC">
        <w:rPr>
          <w:rFonts w:ascii="Arial" w:eastAsia="Times New Roman" w:hAnsi="Arial" w:cs="Arial"/>
          <w:color w:val="1F1F1F"/>
          <w:kern w:val="0"/>
          <w:sz w:val="21"/>
          <w:szCs w:val="21"/>
          <w14:ligatures w14:val="none"/>
        </w:rPr>
        <w:t xml:space="preserve">: </w:t>
      </w:r>
      <w:r w:rsidRPr="00990ACC">
        <w:rPr>
          <w:rFonts w:ascii="Arial" w:eastAsia="Times New Roman" w:hAnsi="Arial" w:cs="Arial"/>
          <w:b/>
          <w:bCs/>
          <w:color w:val="1F1F1F"/>
          <w:kern w:val="0"/>
          <w:sz w:val="21"/>
          <w:szCs w:val="21"/>
          <w14:ligatures w14:val="none"/>
        </w:rPr>
        <w:t>it allows a solvent non-debtor (Brenntag) to buy a hard cap on its liability.</w:t>
      </w:r>
    </w:p>
    <w:p w14:paraId="02A38B70" w14:textId="77777777" w:rsidR="00990ACC" w:rsidRPr="00990ACC" w:rsidRDefault="00990ACC" w:rsidP="00990ACC">
      <w:pPr>
        <w:shd w:val="clear" w:color="auto" w:fill="FFFFFF"/>
        <w:spacing w:after="12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By classifying product-line successor claims as estate property under Section 541, federal bankruptcy law effectively strips individual tort victims of their ability to leverage a solvent buyer's full balance sheet, forcing them to accept a centralized, capped settlement in exchange for global finality.</w:t>
      </w:r>
    </w:p>
    <w:p w14:paraId="5728E668" w14:textId="77777777" w:rsidR="00990ACC" w:rsidRPr="00990ACC" w:rsidRDefault="00990ACC" w:rsidP="00990ACC">
      <w:pPr>
        <w:shd w:val="clear" w:color="auto" w:fill="FFFFFF"/>
        <w:spacing w:after="0" w:line="240" w:lineRule="auto"/>
        <w:rPr>
          <w:rFonts w:ascii="Arial" w:eastAsia="Times New Roman" w:hAnsi="Arial" w:cs="Arial"/>
          <w:color w:val="1F1F1F"/>
          <w:kern w:val="0"/>
          <w:sz w:val="18"/>
          <w:szCs w:val="18"/>
          <w14:ligatures w14:val="none"/>
        </w:rPr>
      </w:pPr>
      <w:r w:rsidRPr="00990ACC">
        <w:rPr>
          <w:rFonts w:ascii="Arial" w:eastAsia="Times New Roman" w:hAnsi="Arial" w:cs="Arial"/>
          <w:color w:val="1F1F1F"/>
          <w:kern w:val="0"/>
          <w:sz w:val="18"/>
          <w:szCs w:val="18"/>
          <w14:ligatures w14:val="none"/>
        </w:rPr>
        <w:t xml:space="preserve">If </w:t>
      </w:r>
      <w:proofErr w:type="spellStart"/>
      <w:r w:rsidRPr="00990ACC">
        <w:rPr>
          <w:rFonts w:ascii="Arial" w:eastAsia="Times New Roman" w:hAnsi="Arial" w:cs="Arial"/>
          <w:color w:val="1F1F1F"/>
          <w:kern w:val="0"/>
          <w:sz w:val="18"/>
          <w:szCs w:val="18"/>
          <w14:ligatures w14:val="none"/>
        </w:rPr>
        <w:t>Brenntage</w:t>
      </w:r>
      <w:proofErr w:type="spellEnd"/>
      <w:r w:rsidRPr="00990ACC">
        <w:rPr>
          <w:rFonts w:ascii="Arial" w:eastAsia="Times New Roman" w:hAnsi="Arial" w:cs="Arial"/>
          <w:color w:val="1F1F1F"/>
          <w:kern w:val="0"/>
          <w:sz w:val="18"/>
          <w:szCs w:val="18"/>
          <w14:ligatures w14:val="none"/>
        </w:rPr>
        <w:t xml:space="preserve"> </w:t>
      </w:r>
      <w:proofErr w:type="spellStart"/>
      <w:r w:rsidRPr="00990ACC">
        <w:rPr>
          <w:rFonts w:ascii="Arial" w:eastAsia="Times New Roman" w:hAnsi="Arial" w:cs="Arial"/>
          <w:color w:val="1F1F1F"/>
          <w:kern w:val="0"/>
          <w:sz w:val="18"/>
          <w:szCs w:val="18"/>
          <w14:ligatures w14:val="none"/>
        </w:rPr>
        <w:t>doid</w:t>
      </w:r>
      <w:proofErr w:type="spellEnd"/>
      <w:r w:rsidRPr="00990ACC">
        <w:rPr>
          <w:rFonts w:ascii="Arial" w:eastAsia="Times New Roman" w:hAnsi="Arial" w:cs="Arial"/>
          <w:color w:val="1F1F1F"/>
          <w:kern w:val="0"/>
          <w:sz w:val="18"/>
          <w:szCs w:val="18"/>
          <w14:ligatures w14:val="none"/>
        </w:rPr>
        <w:t xml:space="preserve"> not file indemnification claims against </w:t>
      </w:r>
      <w:proofErr w:type="spellStart"/>
      <w:r w:rsidRPr="00990ACC">
        <w:rPr>
          <w:rFonts w:ascii="Arial" w:eastAsia="Times New Roman" w:hAnsi="Arial" w:cs="Arial"/>
          <w:color w:val="1F1F1F"/>
          <w:kern w:val="0"/>
          <w:sz w:val="18"/>
          <w:szCs w:val="18"/>
          <w14:ligatures w14:val="none"/>
        </w:rPr>
        <w:t>whitaker</w:t>
      </w:r>
      <w:proofErr w:type="spellEnd"/>
      <w:r w:rsidRPr="00990ACC">
        <w:rPr>
          <w:rFonts w:ascii="Arial" w:eastAsia="Times New Roman" w:hAnsi="Arial" w:cs="Arial"/>
          <w:color w:val="1F1F1F"/>
          <w:kern w:val="0"/>
          <w:sz w:val="18"/>
          <w:szCs w:val="18"/>
          <w14:ligatures w14:val="none"/>
        </w:rPr>
        <w:t xml:space="preserve"> would </w:t>
      </w:r>
      <w:proofErr w:type="spellStart"/>
      <w:r w:rsidRPr="00990ACC">
        <w:rPr>
          <w:rFonts w:ascii="Arial" w:eastAsia="Times New Roman" w:hAnsi="Arial" w:cs="Arial"/>
          <w:color w:val="1F1F1F"/>
          <w:kern w:val="0"/>
          <w:sz w:val="18"/>
          <w:szCs w:val="18"/>
          <w14:ligatures w14:val="none"/>
        </w:rPr>
        <w:t>whitaker</w:t>
      </w:r>
      <w:proofErr w:type="spellEnd"/>
      <w:r w:rsidRPr="00990ACC">
        <w:rPr>
          <w:rFonts w:ascii="Arial" w:eastAsia="Times New Roman" w:hAnsi="Arial" w:cs="Arial"/>
          <w:color w:val="1F1F1F"/>
          <w:kern w:val="0"/>
          <w:sz w:val="18"/>
          <w:szCs w:val="18"/>
          <w14:ligatures w14:val="none"/>
        </w:rPr>
        <w:t xml:space="preserve"> still possess the derivative general tort claims </w:t>
      </w:r>
    </w:p>
    <w:p w14:paraId="571C0FC1" w14:textId="77777777" w:rsidR="00990ACC" w:rsidRPr="00990ACC" w:rsidRDefault="00990ACC" w:rsidP="00990ACC">
      <w:pPr>
        <w:shd w:val="clear" w:color="auto" w:fill="FFFFFF"/>
        <w:spacing w:after="120" w:line="330" w:lineRule="atLeast"/>
        <w:rPr>
          <w:rFonts w:ascii="Arial" w:eastAsia="Times New Roman" w:hAnsi="Arial" w:cs="Arial"/>
          <w:color w:val="1F1F1F"/>
          <w:kern w:val="0"/>
          <w:sz w:val="21"/>
          <w:szCs w:val="21"/>
          <w14:ligatures w14:val="none"/>
        </w:rPr>
      </w:pPr>
      <w:r w:rsidRPr="00990ACC">
        <w:rPr>
          <w:rFonts w:ascii="Arial" w:eastAsia="Times New Roman" w:hAnsi="Arial" w:cs="Arial"/>
          <w:b/>
          <w:bCs/>
          <w:color w:val="1F1F1F"/>
          <w:kern w:val="0"/>
          <w:sz w:val="21"/>
          <w:szCs w:val="21"/>
          <w14:ligatures w14:val="none"/>
        </w:rPr>
        <w:t>Yes, Whittaker would still possess the product-line derivative claims under Section 541(a)(1), regardless of whether Brenntag filed indemnification claims.</w:t>
      </w:r>
    </w:p>
    <w:p w14:paraId="6A954623" w14:textId="77777777" w:rsidR="00990ACC" w:rsidRPr="00990ACC" w:rsidRDefault="00990ACC" w:rsidP="00990ACC">
      <w:pPr>
        <w:shd w:val="clear" w:color="auto" w:fill="FFFFFF"/>
        <w:spacing w:after="12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 xml:space="preserve">The existence of an indemnification claim between Brenntag and Whittaker made the financial stakes higher, but it was </w:t>
      </w:r>
      <w:r w:rsidRPr="00990ACC">
        <w:rPr>
          <w:rFonts w:ascii="Arial" w:eastAsia="Times New Roman" w:hAnsi="Arial" w:cs="Arial"/>
          <w:b/>
          <w:bCs/>
          <w:color w:val="1F1F1F"/>
          <w:kern w:val="0"/>
          <w:sz w:val="21"/>
          <w:szCs w:val="21"/>
          <w14:ligatures w14:val="none"/>
        </w:rPr>
        <w:t>not</w:t>
      </w:r>
      <w:r w:rsidRPr="00990ACC">
        <w:rPr>
          <w:rFonts w:ascii="Arial" w:eastAsia="Times New Roman" w:hAnsi="Arial" w:cs="Arial"/>
          <w:color w:val="1F1F1F"/>
          <w:kern w:val="0"/>
          <w:sz w:val="21"/>
          <w:szCs w:val="21"/>
          <w14:ligatures w14:val="none"/>
        </w:rPr>
        <w:t xml:space="preserve"> the legal basis upon which the Third Circuit determined claim ownership under federal bankruptcy law.</w:t>
      </w:r>
    </w:p>
    <w:p w14:paraId="7BB0A38C" w14:textId="77777777" w:rsidR="00990ACC" w:rsidRPr="00990ACC" w:rsidRDefault="00990ACC" w:rsidP="00990ACC">
      <w:pPr>
        <w:shd w:val="clear" w:color="auto" w:fill="FFFFFF"/>
        <w:spacing w:after="12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Here is why:</w:t>
      </w:r>
    </w:p>
    <w:p w14:paraId="427F3535" w14:textId="77777777" w:rsidR="00990ACC" w:rsidRPr="00990ACC" w:rsidRDefault="00000000" w:rsidP="00990ACC">
      <w:pPr>
        <w:shd w:val="clear" w:color="auto" w:fill="FFFFFF"/>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144AC1A1">
          <v:rect id="_x0000_i1049" style="width:0;height:1.5pt" o:hralign="center" o:hrstd="t" o:hr="t" fillcolor="#a0a0a0" stroked="f"/>
        </w:pict>
      </w:r>
    </w:p>
    <w:p w14:paraId="25291C21" w14:textId="77777777" w:rsidR="00990ACC" w:rsidRPr="00990ACC" w:rsidRDefault="00990ACC" w:rsidP="00990ACC">
      <w:pPr>
        <w:shd w:val="clear" w:color="auto" w:fill="FFFFFF"/>
        <w:spacing w:before="420" w:after="60" w:line="360" w:lineRule="atLeast"/>
        <w:outlineLvl w:val="1"/>
        <w:rPr>
          <w:rFonts w:ascii="Arial" w:eastAsia="Times New Roman" w:hAnsi="Arial" w:cs="Arial"/>
          <w:b/>
          <w:bCs/>
          <w:color w:val="1F1F1F"/>
          <w:kern w:val="0"/>
          <w:szCs w:val="24"/>
          <w14:ligatures w14:val="none"/>
        </w:rPr>
      </w:pPr>
      <w:r w:rsidRPr="00990ACC">
        <w:rPr>
          <w:rFonts w:ascii="Arial" w:eastAsia="Times New Roman" w:hAnsi="Arial" w:cs="Arial"/>
          <w:b/>
          <w:bCs/>
          <w:color w:val="1F1F1F"/>
          <w:kern w:val="0"/>
          <w:szCs w:val="24"/>
          <w14:ligatures w14:val="none"/>
        </w:rPr>
        <w:t>1. Claim Ownership Turns on the Nature of the Injury, Not the Indemnity</w:t>
      </w:r>
    </w:p>
    <w:p w14:paraId="3528EAB7" w14:textId="77777777" w:rsidR="00990ACC" w:rsidRPr="00990ACC" w:rsidRDefault="00990ACC" w:rsidP="00990ACC">
      <w:pPr>
        <w:shd w:val="clear" w:color="auto" w:fill="FFFFFF"/>
        <w:spacing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 xml:space="preserve">Under the Third Circuit's holding in </w:t>
      </w:r>
      <w:proofErr w:type="gramStart"/>
      <w:r w:rsidRPr="00990ACC">
        <w:rPr>
          <w:rFonts w:ascii="Arial" w:eastAsia="Times New Roman" w:hAnsi="Arial" w:cs="Arial"/>
          <w:i/>
          <w:iCs/>
          <w:color w:val="1F1F1F"/>
          <w:kern w:val="0"/>
          <w:sz w:val="21"/>
          <w:szCs w:val="21"/>
          <w14:ligatures w14:val="none"/>
        </w:rPr>
        <w:t>In</w:t>
      </w:r>
      <w:proofErr w:type="gramEnd"/>
      <w:r w:rsidRPr="00990ACC">
        <w:rPr>
          <w:rFonts w:ascii="Arial" w:eastAsia="Times New Roman" w:hAnsi="Arial" w:cs="Arial"/>
          <w:i/>
          <w:iCs/>
          <w:color w:val="1F1F1F"/>
          <w:kern w:val="0"/>
          <w:sz w:val="21"/>
          <w:szCs w:val="21"/>
          <w14:ligatures w14:val="none"/>
        </w:rPr>
        <w:t xml:space="preserve"> re Whittaker, Clark &amp; Daniels, Inc.</w:t>
      </w:r>
      <w:r w:rsidRPr="00990ACC">
        <w:rPr>
          <w:rFonts w:ascii="Arial" w:eastAsia="Times New Roman" w:hAnsi="Arial" w:cs="Arial"/>
          <w:color w:val="1F1F1F"/>
          <w:kern w:val="0"/>
          <w:sz w:val="21"/>
          <w:szCs w:val="21"/>
          <w14:ligatures w14:val="none"/>
        </w:rPr>
        <w:t xml:space="preserve"> (reaffirming </w:t>
      </w:r>
      <w:proofErr w:type="gramStart"/>
      <w:r w:rsidRPr="00990ACC">
        <w:rPr>
          <w:rFonts w:ascii="Arial" w:eastAsia="Times New Roman" w:hAnsi="Arial" w:cs="Arial"/>
          <w:i/>
          <w:iCs/>
          <w:color w:val="1F1F1F"/>
          <w:kern w:val="0"/>
          <w:sz w:val="21"/>
          <w:szCs w:val="21"/>
          <w14:ligatures w14:val="none"/>
        </w:rPr>
        <w:t>In</w:t>
      </w:r>
      <w:proofErr w:type="gramEnd"/>
      <w:r w:rsidRPr="00990ACC">
        <w:rPr>
          <w:rFonts w:ascii="Arial" w:eastAsia="Times New Roman" w:hAnsi="Arial" w:cs="Arial"/>
          <w:i/>
          <w:iCs/>
          <w:color w:val="1F1F1F"/>
          <w:kern w:val="0"/>
          <w:sz w:val="21"/>
          <w:szCs w:val="21"/>
          <w14:ligatures w14:val="none"/>
        </w:rPr>
        <w:t xml:space="preserve"> re Emoral, Inc.</w:t>
      </w:r>
      <w:r w:rsidRPr="00990ACC">
        <w:rPr>
          <w:rFonts w:ascii="Arial" w:eastAsia="Times New Roman" w:hAnsi="Arial" w:cs="Arial"/>
          <w:color w:val="1F1F1F"/>
          <w:kern w:val="0"/>
          <w:sz w:val="21"/>
          <w:szCs w:val="21"/>
          <w14:ligatures w14:val="none"/>
        </w:rPr>
        <w:t xml:space="preserve">), whether a cause of action becomes property of the bankruptcy estate under 11 U.S.C. § 541(a)(1) depends entirely on </w:t>
      </w:r>
      <w:r w:rsidRPr="00990ACC">
        <w:rPr>
          <w:rFonts w:ascii="Arial" w:eastAsia="Times New Roman" w:hAnsi="Arial" w:cs="Arial"/>
          <w:b/>
          <w:bCs/>
          <w:color w:val="1F1F1F"/>
          <w:kern w:val="0"/>
          <w:sz w:val="21"/>
          <w:szCs w:val="21"/>
          <w14:ligatures w14:val="none"/>
        </w:rPr>
        <w:t>how the claim is structured legally</w:t>
      </w:r>
      <w:r w:rsidRPr="00990ACC">
        <w:rPr>
          <w:rFonts w:ascii="Arial" w:eastAsia="Times New Roman" w:hAnsi="Arial" w:cs="Arial"/>
          <w:color w:val="1F1F1F"/>
          <w:kern w:val="0"/>
          <w:sz w:val="21"/>
          <w:szCs w:val="21"/>
          <w14:ligatures w14:val="none"/>
        </w:rPr>
        <w:t>:</w:t>
      </w:r>
    </w:p>
    <w:p w14:paraId="7DC14851" w14:textId="77777777" w:rsidR="00990ACC" w:rsidRPr="00990ACC" w:rsidRDefault="00990ACC" w:rsidP="00990ACC">
      <w:pPr>
        <w:numPr>
          <w:ilvl w:val="0"/>
          <w:numId w:val="32"/>
        </w:numPr>
        <w:shd w:val="clear" w:color="auto" w:fill="FFFFFF"/>
        <w:spacing w:before="60"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b/>
          <w:bCs/>
          <w:color w:val="1F1F1F"/>
          <w:kern w:val="0"/>
          <w:sz w:val="21"/>
          <w:szCs w:val="21"/>
          <w14:ligatures w14:val="none"/>
        </w:rPr>
        <w:t>Generalized Harm:</w:t>
      </w:r>
      <w:r w:rsidRPr="00990ACC">
        <w:rPr>
          <w:rFonts w:ascii="Arial" w:eastAsia="Times New Roman" w:hAnsi="Arial" w:cs="Arial"/>
          <w:color w:val="1F1F1F"/>
          <w:kern w:val="0"/>
          <w:sz w:val="21"/>
          <w:szCs w:val="21"/>
          <w14:ligatures w14:val="none"/>
        </w:rPr>
        <w:t xml:space="preserve"> </w:t>
      </w:r>
      <w:r w:rsidRPr="00990ACC">
        <w:rPr>
          <w:rFonts w:ascii="Arial" w:eastAsia="Times New Roman" w:hAnsi="Arial" w:cs="Arial"/>
          <w:color w:val="1F1F1F"/>
          <w:kern w:val="0"/>
          <w:sz w:val="21"/>
          <w:szCs w:val="21"/>
          <w:highlight w:val="yellow"/>
          <w14:ligatures w14:val="none"/>
        </w:rPr>
        <w:t>Product-line successor liability claims assert that the buyer (Brenntag) is liable because it acquired the operating assets of the debtor (Whittaker) and continued the business line, leaving the seller an empty shell</w:t>
      </w:r>
      <w:r w:rsidRPr="00990ACC">
        <w:rPr>
          <w:rFonts w:ascii="Arial" w:eastAsia="Times New Roman" w:hAnsi="Arial" w:cs="Arial"/>
          <w:color w:val="1F1F1F"/>
          <w:kern w:val="0"/>
          <w:sz w:val="21"/>
          <w:szCs w:val="21"/>
          <w14:ligatures w14:val="none"/>
        </w:rPr>
        <w:t>.</w:t>
      </w:r>
    </w:p>
    <w:p w14:paraId="7B004375" w14:textId="77777777" w:rsidR="00990ACC" w:rsidRPr="00990ACC" w:rsidRDefault="00990ACC" w:rsidP="00990ACC">
      <w:pPr>
        <w:numPr>
          <w:ilvl w:val="0"/>
          <w:numId w:val="32"/>
        </w:numPr>
        <w:shd w:val="clear" w:color="auto" w:fill="FFFFFF"/>
        <w:spacing w:before="60"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b/>
          <w:bCs/>
          <w:color w:val="1F1F1F"/>
          <w:kern w:val="0"/>
          <w:sz w:val="21"/>
          <w:szCs w:val="21"/>
          <w14:ligatures w14:val="none"/>
        </w:rPr>
        <w:t>Derived from Debtor's Liability:</w:t>
      </w:r>
      <w:r w:rsidRPr="00990ACC">
        <w:rPr>
          <w:rFonts w:ascii="Arial" w:eastAsia="Times New Roman" w:hAnsi="Arial" w:cs="Arial"/>
          <w:color w:val="1F1F1F"/>
          <w:kern w:val="0"/>
          <w:sz w:val="21"/>
          <w:szCs w:val="21"/>
          <w14:ligatures w14:val="none"/>
        </w:rPr>
        <w:t xml:space="preserve"> </w:t>
      </w:r>
      <w:r w:rsidRPr="00990ACC">
        <w:rPr>
          <w:rFonts w:ascii="Arial" w:eastAsia="Times New Roman" w:hAnsi="Arial" w:cs="Arial"/>
          <w:color w:val="1F1F1F"/>
          <w:kern w:val="0"/>
          <w:sz w:val="21"/>
          <w:szCs w:val="21"/>
          <w:highlight w:val="yellow"/>
          <w14:ligatures w14:val="none"/>
        </w:rPr>
        <w:t xml:space="preserve">The claim does not allege an independent, direct tort committed by Brenntag (such as post-sale manufacturing defects). It seeks to hold Brenntag liable strictly for </w:t>
      </w:r>
      <w:r w:rsidRPr="00990ACC">
        <w:rPr>
          <w:rFonts w:ascii="Arial" w:eastAsia="Times New Roman" w:hAnsi="Arial" w:cs="Arial"/>
          <w:i/>
          <w:iCs/>
          <w:color w:val="1F1F1F"/>
          <w:kern w:val="0"/>
          <w:sz w:val="21"/>
          <w:szCs w:val="21"/>
          <w:highlight w:val="yellow"/>
          <w14:ligatures w14:val="none"/>
        </w:rPr>
        <w:t>Whittaker’s pre-existing corporate debts</w:t>
      </w:r>
      <w:r w:rsidRPr="00990ACC">
        <w:rPr>
          <w:rFonts w:ascii="Arial" w:eastAsia="Times New Roman" w:hAnsi="Arial" w:cs="Arial"/>
          <w:color w:val="1F1F1F"/>
          <w:kern w:val="0"/>
          <w:sz w:val="21"/>
          <w:szCs w:val="21"/>
          <w:highlight w:val="yellow"/>
          <w14:ligatures w14:val="none"/>
        </w:rPr>
        <w:t>.</w:t>
      </w:r>
    </w:p>
    <w:p w14:paraId="5428DF68" w14:textId="77777777" w:rsidR="00990ACC" w:rsidRPr="00990ACC" w:rsidRDefault="00990ACC" w:rsidP="00990ACC">
      <w:pPr>
        <w:shd w:val="clear" w:color="auto" w:fill="FFFFFF"/>
        <w:spacing w:after="12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 xml:space="preserve">Because the theory relies entirely on the transaction between the debtor and the buyer, the injury is legally classified as </w:t>
      </w:r>
      <w:r w:rsidRPr="00990ACC">
        <w:rPr>
          <w:rFonts w:ascii="Arial" w:eastAsia="Times New Roman" w:hAnsi="Arial" w:cs="Arial"/>
          <w:b/>
          <w:bCs/>
          <w:color w:val="1F1F1F"/>
          <w:kern w:val="0"/>
          <w:sz w:val="21"/>
          <w:szCs w:val="21"/>
          <w:highlight w:val="yellow"/>
          <w14:ligatures w14:val="none"/>
        </w:rPr>
        <w:t>general and derivative</w:t>
      </w:r>
      <w:r w:rsidRPr="00990ACC">
        <w:rPr>
          <w:rFonts w:ascii="Arial" w:eastAsia="Times New Roman" w:hAnsi="Arial" w:cs="Arial"/>
          <w:color w:val="1F1F1F"/>
          <w:kern w:val="0"/>
          <w:sz w:val="21"/>
          <w:szCs w:val="21"/>
          <w:highlight w:val="yellow"/>
          <w14:ligatures w14:val="none"/>
        </w:rPr>
        <w:t>.</w:t>
      </w:r>
      <w:r w:rsidRPr="00990ACC">
        <w:rPr>
          <w:rFonts w:ascii="Arial" w:eastAsia="Times New Roman" w:hAnsi="Arial" w:cs="Arial"/>
          <w:color w:val="1F1F1F"/>
          <w:kern w:val="0"/>
          <w:sz w:val="21"/>
          <w:szCs w:val="21"/>
          <w14:ligatures w14:val="none"/>
        </w:rPr>
        <w:t xml:space="preserve"> It becomes property of the estate the moment the Chapter 11 petition is filed—independently of any indemnity contracts between the corporate entities.</w:t>
      </w:r>
    </w:p>
    <w:p w14:paraId="3F0F7505" w14:textId="77777777" w:rsidR="00990ACC" w:rsidRPr="00990ACC" w:rsidRDefault="00000000" w:rsidP="00990ACC">
      <w:pPr>
        <w:shd w:val="clear" w:color="auto" w:fill="FFFFFF"/>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12F3032D">
          <v:rect id="_x0000_i1050" style="width:0;height:1.5pt" o:hralign="center" o:hrstd="t" o:hr="t" fillcolor="#a0a0a0" stroked="f"/>
        </w:pict>
      </w:r>
    </w:p>
    <w:p w14:paraId="4F090B4B" w14:textId="77777777" w:rsidR="00990ACC" w:rsidRPr="00990ACC" w:rsidRDefault="00990ACC" w:rsidP="00990ACC">
      <w:pPr>
        <w:shd w:val="clear" w:color="auto" w:fill="FFFFFF"/>
        <w:spacing w:before="420" w:after="60" w:line="360" w:lineRule="atLeast"/>
        <w:outlineLvl w:val="1"/>
        <w:rPr>
          <w:rFonts w:ascii="Arial" w:eastAsia="Times New Roman" w:hAnsi="Arial" w:cs="Arial"/>
          <w:b/>
          <w:bCs/>
          <w:color w:val="1F1F1F"/>
          <w:kern w:val="0"/>
          <w:szCs w:val="24"/>
          <w14:ligatures w14:val="none"/>
        </w:rPr>
      </w:pPr>
      <w:r w:rsidRPr="00990ACC">
        <w:rPr>
          <w:rFonts w:ascii="Arial" w:eastAsia="Times New Roman" w:hAnsi="Arial" w:cs="Arial"/>
          <w:b/>
          <w:bCs/>
          <w:color w:val="1F1F1F"/>
          <w:kern w:val="0"/>
          <w:szCs w:val="24"/>
          <w14:ligatures w14:val="none"/>
        </w:rPr>
        <w:t xml:space="preserve">2. Indemnification Was Economic Leverage, </w:t>
      </w:r>
      <w:proofErr w:type="gramStart"/>
      <w:r w:rsidRPr="00990ACC">
        <w:rPr>
          <w:rFonts w:ascii="Arial" w:eastAsia="Times New Roman" w:hAnsi="Arial" w:cs="Arial"/>
          <w:b/>
          <w:bCs/>
          <w:color w:val="1F1F1F"/>
          <w:kern w:val="0"/>
          <w:szCs w:val="24"/>
          <w14:ligatures w14:val="none"/>
        </w:rPr>
        <w:t>Not</w:t>
      </w:r>
      <w:proofErr w:type="gramEnd"/>
      <w:r w:rsidRPr="00990ACC">
        <w:rPr>
          <w:rFonts w:ascii="Arial" w:eastAsia="Times New Roman" w:hAnsi="Arial" w:cs="Arial"/>
          <w:b/>
          <w:bCs/>
          <w:color w:val="1F1F1F"/>
          <w:kern w:val="0"/>
          <w:szCs w:val="24"/>
          <w14:ligatures w14:val="none"/>
        </w:rPr>
        <w:t xml:space="preserve"> a Legal Prerequisite</w:t>
      </w:r>
    </w:p>
    <w:p w14:paraId="29032B37" w14:textId="77777777" w:rsidR="00990ACC" w:rsidRPr="00990ACC" w:rsidRDefault="00990ACC" w:rsidP="00990ACC">
      <w:pPr>
        <w:shd w:val="clear" w:color="auto" w:fill="FFFFFF"/>
        <w:spacing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 xml:space="preserve">Brenntag’s indemnification rights were an </w:t>
      </w:r>
      <w:r w:rsidRPr="00990ACC">
        <w:rPr>
          <w:rFonts w:ascii="Arial" w:eastAsia="Times New Roman" w:hAnsi="Arial" w:cs="Arial"/>
          <w:b/>
          <w:bCs/>
          <w:color w:val="1F1F1F"/>
          <w:kern w:val="0"/>
          <w:sz w:val="21"/>
          <w:szCs w:val="21"/>
          <w14:ligatures w14:val="none"/>
        </w:rPr>
        <w:t>economic link</w:t>
      </w:r>
      <w:r w:rsidRPr="00990ACC">
        <w:rPr>
          <w:rFonts w:ascii="Arial" w:eastAsia="Times New Roman" w:hAnsi="Arial" w:cs="Arial"/>
          <w:color w:val="1F1F1F"/>
          <w:kern w:val="0"/>
          <w:sz w:val="21"/>
          <w:szCs w:val="21"/>
          <w14:ligatures w14:val="none"/>
        </w:rPr>
        <w:t>, not the legal basis for § 541 estate property status:</w:t>
      </w:r>
    </w:p>
    <w:p w14:paraId="799DB731" w14:textId="77777777" w:rsidR="00990ACC" w:rsidRPr="00990ACC" w:rsidRDefault="00990ACC" w:rsidP="00990ACC">
      <w:pPr>
        <w:numPr>
          <w:ilvl w:val="0"/>
          <w:numId w:val="33"/>
        </w:numPr>
        <w:shd w:val="clear" w:color="auto" w:fill="FFFFFF"/>
        <w:spacing w:before="60"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b/>
          <w:bCs/>
          <w:color w:val="1F1F1F"/>
          <w:kern w:val="0"/>
          <w:sz w:val="21"/>
          <w:szCs w:val="21"/>
          <w14:ligatures w14:val="none"/>
        </w:rPr>
        <w:lastRenderedPageBreak/>
        <w:t>Without Indemnity:</w:t>
      </w:r>
      <w:r w:rsidRPr="00990ACC">
        <w:rPr>
          <w:rFonts w:ascii="Arial" w:eastAsia="Times New Roman" w:hAnsi="Arial" w:cs="Arial"/>
          <w:color w:val="1F1F1F"/>
          <w:kern w:val="0"/>
          <w:sz w:val="21"/>
          <w:szCs w:val="21"/>
          <w14:ligatures w14:val="none"/>
        </w:rPr>
        <w:t xml:space="preserve"> If Brenntag had no indemnification rights against Whittaker, the product-line claim would </w:t>
      </w:r>
      <w:r w:rsidRPr="00990ACC">
        <w:rPr>
          <w:rFonts w:ascii="Arial" w:eastAsia="Times New Roman" w:hAnsi="Arial" w:cs="Arial"/>
          <w:b/>
          <w:bCs/>
          <w:color w:val="1F1F1F"/>
          <w:kern w:val="0"/>
          <w:sz w:val="21"/>
          <w:szCs w:val="21"/>
          <w14:ligatures w14:val="none"/>
        </w:rPr>
        <w:t>still</w:t>
      </w:r>
      <w:r w:rsidRPr="00990ACC">
        <w:rPr>
          <w:rFonts w:ascii="Arial" w:eastAsia="Times New Roman" w:hAnsi="Arial" w:cs="Arial"/>
          <w:color w:val="1F1F1F"/>
          <w:kern w:val="0"/>
          <w:sz w:val="21"/>
          <w:szCs w:val="21"/>
          <w14:ligatures w14:val="none"/>
        </w:rPr>
        <w:t xml:space="preserve"> be a general/derivative claim belonging to Whittaker’s estate under § 541.</w:t>
      </w:r>
    </w:p>
    <w:p w14:paraId="3289C751" w14:textId="77777777" w:rsidR="00990ACC" w:rsidRPr="00990ACC" w:rsidRDefault="00990ACC" w:rsidP="00990ACC">
      <w:pPr>
        <w:numPr>
          <w:ilvl w:val="0"/>
          <w:numId w:val="33"/>
        </w:numPr>
        <w:shd w:val="clear" w:color="auto" w:fill="FFFFFF"/>
        <w:spacing w:before="60" w:after="60" w:line="330" w:lineRule="atLeast"/>
        <w:rPr>
          <w:rFonts w:ascii="Arial" w:eastAsia="Times New Roman" w:hAnsi="Arial" w:cs="Arial"/>
          <w:color w:val="1F1F1F"/>
          <w:kern w:val="0"/>
          <w:sz w:val="21"/>
          <w:szCs w:val="21"/>
          <w14:ligatures w14:val="none"/>
        </w:rPr>
      </w:pPr>
      <w:r w:rsidRPr="00990ACC">
        <w:rPr>
          <w:rFonts w:ascii="Arial" w:eastAsia="Times New Roman" w:hAnsi="Arial" w:cs="Arial"/>
          <w:b/>
          <w:bCs/>
          <w:color w:val="1F1F1F"/>
          <w:kern w:val="0"/>
          <w:sz w:val="21"/>
          <w:szCs w:val="21"/>
          <w14:ligatures w14:val="none"/>
        </w:rPr>
        <w:t>The Key Difference:</w:t>
      </w:r>
      <w:r w:rsidRPr="00990ACC">
        <w:rPr>
          <w:rFonts w:ascii="Arial" w:eastAsia="Times New Roman" w:hAnsi="Arial" w:cs="Arial"/>
          <w:color w:val="1F1F1F"/>
          <w:kern w:val="0"/>
          <w:sz w:val="21"/>
          <w:szCs w:val="21"/>
          <w14:ligatures w14:val="none"/>
        </w:rPr>
        <w:t xml:space="preserve"> The lack of indemnity would simply mean Brenntag couldn't claim a dollar-for-dollar offset against Whittaker's estate as a creditor. However, individual tort victims would </w:t>
      </w:r>
      <w:r w:rsidRPr="00990ACC">
        <w:rPr>
          <w:rFonts w:ascii="Arial" w:eastAsia="Times New Roman" w:hAnsi="Arial" w:cs="Arial"/>
          <w:i/>
          <w:iCs/>
          <w:color w:val="1F1F1F"/>
          <w:kern w:val="0"/>
          <w:sz w:val="21"/>
          <w:szCs w:val="21"/>
          <w14:ligatures w14:val="none"/>
        </w:rPr>
        <w:t>still</w:t>
      </w:r>
      <w:r w:rsidRPr="00990ACC">
        <w:rPr>
          <w:rFonts w:ascii="Arial" w:eastAsia="Times New Roman" w:hAnsi="Arial" w:cs="Arial"/>
          <w:color w:val="1F1F1F"/>
          <w:kern w:val="0"/>
          <w:sz w:val="21"/>
          <w:szCs w:val="21"/>
          <w14:ligatures w14:val="none"/>
        </w:rPr>
        <w:t xml:space="preserve"> lack standing to sue Brenntag outside of bankruptcy because the cause of action itself still belonged exclusively to the estate trustee/debtor-in-possession.</w:t>
      </w:r>
    </w:p>
    <w:p w14:paraId="6AB03348" w14:textId="77777777" w:rsidR="00990ACC" w:rsidRPr="00990ACC" w:rsidRDefault="00000000" w:rsidP="00990ACC">
      <w:pPr>
        <w:shd w:val="clear" w:color="auto" w:fill="FFFFFF"/>
        <w:spacing w:after="0" w:line="330" w:lineRule="atLeast"/>
        <w:rPr>
          <w:rFonts w:ascii="Arial" w:eastAsia="Times New Roman" w:hAnsi="Arial" w:cs="Arial"/>
          <w:color w:val="1F1F1F"/>
          <w:kern w:val="0"/>
          <w:sz w:val="21"/>
          <w:szCs w:val="21"/>
          <w14:ligatures w14:val="none"/>
        </w:rPr>
      </w:pPr>
      <w:r>
        <w:rPr>
          <w:rFonts w:ascii="Arial" w:eastAsia="Times New Roman" w:hAnsi="Arial" w:cs="Arial"/>
          <w:color w:val="1F1F1F"/>
          <w:kern w:val="0"/>
          <w:sz w:val="21"/>
          <w:szCs w:val="21"/>
          <w14:ligatures w14:val="none"/>
        </w:rPr>
        <w:pict w14:anchorId="0FCD85FB">
          <v:rect id="_x0000_i1051" style="width:0;height:1.5pt" o:hralign="center" o:hrstd="t" o:hr="t" fillcolor="#a0a0a0" stroked="f"/>
        </w:pict>
      </w:r>
    </w:p>
    <w:p w14:paraId="04AC4E97" w14:textId="77777777" w:rsidR="00990ACC" w:rsidRPr="00990ACC" w:rsidRDefault="00990ACC" w:rsidP="00990ACC">
      <w:pPr>
        <w:shd w:val="clear" w:color="auto" w:fill="FFFFFF"/>
        <w:spacing w:before="420" w:after="60" w:line="360" w:lineRule="atLeast"/>
        <w:outlineLvl w:val="1"/>
        <w:rPr>
          <w:rFonts w:ascii="Arial" w:eastAsia="Times New Roman" w:hAnsi="Arial" w:cs="Arial"/>
          <w:b/>
          <w:bCs/>
          <w:color w:val="1F1F1F"/>
          <w:kern w:val="0"/>
          <w:szCs w:val="24"/>
          <w14:ligatures w14:val="none"/>
        </w:rPr>
      </w:pPr>
      <w:r w:rsidRPr="00990ACC">
        <w:rPr>
          <w:rFonts w:ascii="Arial" w:eastAsia="Times New Roman" w:hAnsi="Arial" w:cs="Arial"/>
          <w:b/>
          <w:bCs/>
          <w:color w:val="1F1F1F"/>
          <w:kern w:val="0"/>
          <w:szCs w:val="24"/>
          <w14:ligatures w14:val="none"/>
        </w:rPr>
        <w:t>Summary</w:t>
      </w:r>
    </w:p>
    <w:p w14:paraId="614FACE1" w14:textId="77777777" w:rsidR="00990ACC" w:rsidRPr="00990ACC" w:rsidRDefault="00990ACC" w:rsidP="00990ACC">
      <w:pPr>
        <w:shd w:val="clear" w:color="auto" w:fill="FFFFFF"/>
        <w:spacing w:after="12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 xml:space="preserve">The Third Circuit's rule on </w:t>
      </w:r>
      <w:r w:rsidRPr="00990ACC">
        <w:rPr>
          <w:rFonts w:ascii="Arial" w:eastAsia="Times New Roman" w:hAnsi="Arial" w:cs="Arial"/>
          <w:color w:val="1F1F1F"/>
          <w:kern w:val="0"/>
          <w:sz w:val="21"/>
          <w:szCs w:val="21"/>
          <w:highlight w:val="yellow"/>
          <w14:ligatures w14:val="none"/>
        </w:rPr>
        <w:t xml:space="preserve">standing is driven by </w:t>
      </w:r>
      <w:r w:rsidRPr="00990ACC">
        <w:rPr>
          <w:rFonts w:ascii="Arial" w:eastAsia="Times New Roman" w:hAnsi="Arial" w:cs="Arial"/>
          <w:b/>
          <w:bCs/>
          <w:color w:val="1F1F1F"/>
          <w:kern w:val="0"/>
          <w:sz w:val="21"/>
          <w:szCs w:val="21"/>
          <w:highlight w:val="yellow"/>
          <w14:ligatures w14:val="none"/>
        </w:rPr>
        <w:t>the relationship between the buyer, the debtor, and the nature of the state-law tort claim</w:t>
      </w:r>
      <w:r w:rsidRPr="00990ACC">
        <w:rPr>
          <w:rFonts w:ascii="Arial" w:eastAsia="Times New Roman" w:hAnsi="Arial" w:cs="Arial"/>
          <w:color w:val="1F1F1F"/>
          <w:kern w:val="0"/>
          <w:sz w:val="21"/>
          <w:szCs w:val="21"/>
          <w:highlight w:val="yellow"/>
          <w14:ligatures w14:val="none"/>
        </w:rPr>
        <w:t>.</w:t>
      </w:r>
    </w:p>
    <w:p w14:paraId="48A80C27" w14:textId="77777777" w:rsidR="00990ACC" w:rsidRDefault="00990ACC" w:rsidP="00990ACC">
      <w:pPr>
        <w:shd w:val="clear" w:color="auto" w:fill="FFFFFF"/>
        <w:spacing w:after="120" w:line="330" w:lineRule="atLeast"/>
        <w:rPr>
          <w:rFonts w:ascii="Arial" w:eastAsia="Times New Roman" w:hAnsi="Arial" w:cs="Arial"/>
          <w:color w:val="1F1F1F"/>
          <w:kern w:val="0"/>
          <w:sz w:val="21"/>
          <w:szCs w:val="21"/>
          <w14:ligatures w14:val="none"/>
        </w:rPr>
      </w:pPr>
      <w:r w:rsidRPr="00990ACC">
        <w:rPr>
          <w:rFonts w:ascii="Arial" w:eastAsia="Times New Roman" w:hAnsi="Arial" w:cs="Arial"/>
          <w:color w:val="1F1F1F"/>
          <w:kern w:val="0"/>
          <w:sz w:val="21"/>
          <w:szCs w:val="21"/>
          <w14:ligatures w14:val="none"/>
        </w:rPr>
        <w:t xml:space="preserve">Even if Brenntag had zero indemnification rights against Whittaker, product-line successor liability </w:t>
      </w:r>
      <w:r w:rsidRPr="00990ACC">
        <w:rPr>
          <w:rFonts w:ascii="Arial" w:eastAsia="Times New Roman" w:hAnsi="Arial" w:cs="Arial"/>
          <w:color w:val="1F1F1F"/>
          <w:kern w:val="0"/>
          <w:sz w:val="21"/>
          <w:szCs w:val="21"/>
          <w:highlight w:val="yellow"/>
          <w14:ligatures w14:val="none"/>
        </w:rPr>
        <w:t xml:space="preserve">claims against Brenntag would </w:t>
      </w:r>
      <w:r w:rsidRPr="00990ACC">
        <w:rPr>
          <w:rFonts w:ascii="Arial" w:eastAsia="Times New Roman" w:hAnsi="Arial" w:cs="Arial"/>
          <w:b/>
          <w:bCs/>
          <w:color w:val="1F1F1F"/>
          <w:kern w:val="0"/>
          <w:sz w:val="21"/>
          <w:szCs w:val="21"/>
          <w:highlight w:val="yellow"/>
          <w14:ligatures w14:val="none"/>
        </w:rPr>
        <w:t>still</w:t>
      </w:r>
      <w:r w:rsidRPr="00990ACC">
        <w:rPr>
          <w:rFonts w:ascii="Arial" w:eastAsia="Times New Roman" w:hAnsi="Arial" w:cs="Arial"/>
          <w:color w:val="1F1F1F"/>
          <w:kern w:val="0"/>
          <w:sz w:val="21"/>
          <w:szCs w:val="21"/>
          <w:highlight w:val="yellow"/>
          <w14:ligatures w14:val="none"/>
        </w:rPr>
        <w:t xml:space="preserve"> be classified as general/derivative property of the bankruptcy estate under Section 541(a)(1), stripping individual plaintiffs of standing to sue separately in state</w:t>
      </w:r>
      <w:r w:rsidRPr="00990ACC">
        <w:rPr>
          <w:rFonts w:ascii="Arial" w:eastAsia="Times New Roman" w:hAnsi="Arial" w:cs="Arial"/>
          <w:color w:val="1F1F1F"/>
          <w:kern w:val="0"/>
          <w:sz w:val="21"/>
          <w:szCs w:val="21"/>
          <w14:ligatures w14:val="none"/>
        </w:rPr>
        <w:t xml:space="preserve"> </w:t>
      </w:r>
      <w:proofErr w:type="gramStart"/>
      <w:r w:rsidRPr="00990ACC">
        <w:rPr>
          <w:rFonts w:ascii="Arial" w:eastAsia="Times New Roman" w:hAnsi="Arial" w:cs="Arial"/>
          <w:color w:val="1F1F1F"/>
          <w:kern w:val="0"/>
          <w:sz w:val="21"/>
          <w:szCs w:val="21"/>
          <w14:ligatures w14:val="none"/>
        </w:rPr>
        <w:t>court</w:t>
      </w:r>
      <w:proofErr w:type="gramEnd"/>
    </w:p>
    <w:p w14:paraId="0B862A43" w14:textId="77777777" w:rsidR="00B84220" w:rsidRPr="00990ACC" w:rsidRDefault="00B84220" w:rsidP="00990ACC">
      <w:pPr>
        <w:shd w:val="clear" w:color="auto" w:fill="FFFFFF"/>
        <w:spacing w:after="120" w:line="330" w:lineRule="atLeast"/>
        <w:rPr>
          <w:rFonts w:ascii="Arial" w:eastAsia="Times New Roman" w:hAnsi="Arial" w:cs="Arial"/>
          <w:color w:val="1F1F1F"/>
          <w:kern w:val="0"/>
          <w:sz w:val="21"/>
          <w:szCs w:val="21"/>
          <w14:ligatures w14:val="none"/>
        </w:rPr>
      </w:pPr>
    </w:p>
    <w:p w14:paraId="7E6AB30F" w14:textId="77777777" w:rsidR="00B84220" w:rsidRPr="00B84220" w:rsidRDefault="00B84220" w:rsidP="00B84220">
      <w:r w:rsidRPr="00B84220">
        <w:t xml:space="preserve">Understood, but what if </w:t>
      </w:r>
      <w:proofErr w:type="spellStart"/>
      <w:r w:rsidRPr="00B84220">
        <w:t>brenntag</w:t>
      </w:r>
      <w:proofErr w:type="spellEnd"/>
      <w:r w:rsidRPr="00B84220">
        <w:t xml:space="preserve"> did not contribute $535 million, standing on its right to be indemnified</w:t>
      </w:r>
    </w:p>
    <w:p w14:paraId="5E6444B4" w14:textId="77777777" w:rsidR="00B84220" w:rsidRPr="00B84220" w:rsidRDefault="00B84220" w:rsidP="00B84220">
      <w:pPr>
        <w:numPr>
          <w:ilvl w:val="0"/>
          <w:numId w:val="34"/>
        </w:numPr>
      </w:pPr>
    </w:p>
    <w:p w14:paraId="47AC89C7" w14:textId="77777777" w:rsidR="00B84220" w:rsidRPr="00B84220" w:rsidRDefault="00B84220" w:rsidP="00B84220">
      <w:r w:rsidRPr="00B84220">
        <w:t xml:space="preserve">If Brenntag had refused to settle and insisted on enforcing its indemnification rights, Whittaker, Clark &amp; Daniels (WCD) would have had </w:t>
      </w:r>
      <w:r w:rsidRPr="00B84220">
        <w:rPr>
          <w:b/>
          <w:bCs/>
        </w:rPr>
        <w:t>virtually no direct cash or liquid operating assets</w:t>
      </w:r>
      <w:r w:rsidRPr="00B84220">
        <w:t xml:space="preserve"> of its own to pay tort claimants.</w:t>
      </w:r>
    </w:p>
    <w:p w14:paraId="412E6FB5" w14:textId="77777777" w:rsidR="00B84220" w:rsidRPr="00B84220" w:rsidRDefault="00B84220" w:rsidP="00B84220">
      <w:r w:rsidRPr="00B84220">
        <w:t>Following the 2004 asset sale to Brenntag, WCD remained merely a shell company whose operational capital was largely exhausted by legacy liabilities. If Brenntag stood on its indemnification rights rather than contributing settlement funds, the recovery for tort claimants would have depended on three alternative funding avenues:</w:t>
      </w:r>
    </w:p>
    <w:p w14:paraId="2D80597B" w14:textId="77777777" w:rsidR="00B84220" w:rsidRPr="00B84220" w:rsidRDefault="00B84220" w:rsidP="00B84220">
      <w:r w:rsidRPr="00B84220">
        <w:rPr>
          <w:b/>
          <w:bCs/>
        </w:rPr>
        <w:t>1. Insurance Backstops (Berkshire Hathaway / National Indemnity)</w:t>
      </w:r>
    </w:p>
    <w:p w14:paraId="2FF59EA6" w14:textId="77777777" w:rsidR="00B84220" w:rsidRPr="00B84220" w:rsidRDefault="00B84220" w:rsidP="00B84220">
      <w:pPr>
        <w:numPr>
          <w:ilvl w:val="0"/>
          <w:numId w:val="35"/>
        </w:numPr>
      </w:pPr>
      <w:r w:rsidRPr="00B84220">
        <w:rPr>
          <w:b/>
          <w:bCs/>
        </w:rPr>
        <w:t>The Obligation:</w:t>
      </w:r>
      <w:r w:rsidRPr="00B84220">
        <w:t xml:space="preserve"> Behind WCD’s corporate shell stands Berkshire Hathaway’s subsidiary, </w:t>
      </w:r>
      <w:r w:rsidRPr="00B84220">
        <w:rPr>
          <w:b/>
          <w:bCs/>
        </w:rPr>
        <w:t>National Indemnity Company</w:t>
      </w:r>
      <w:r w:rsidRPr="00B84220">
        <w:t xml:space="preserve"> (along with fellow Berkshire affiliate Ringwalt &amp; </w:t>
      </w:r>
      <w:proofErr w:type="spellStart"/>
      <w:r w:rsidRPr="00B84220">
        <w:t>Liesche</w:t>
      </w:r>
      <w:proofErr w:type="spellEnd"/>
      <w:r w:rsidRPr="00B84220">
        <w:t xml:space="preserve"> Co., WCD's parent company).</w:t>
      </w:r>
    </w:p>
    <w:p w14:paraId="7CD40D69" w14:textId="77777777" w:rsidR="00B84220" w:rsidRPr="00B84220" w:rsidRDefault="00B84220" w:rsidP="00B84220">
      <w:pPr>
        <w:numPr>
          <w:ilvl w:val="0"/>
          <w:numId w:val="35"/>
        </w:numPr>
      </w:pPr>
      <w:r w:rsidRPr="00B84220">
        <w:rPr>
          <w:b/>
          <w:bCs/>
        </w:rPr>
        <w:t>Mechanism:</w:t>
      </w:r>
      <w:r w:rsidRPr="00B84220">
        <w:t xml:space="preserve"> Through legacy insurance policies and a chain of indemnity agreements, National Indemnity backstops WCD's asbestos and talc liabilities.</w:t>
      </w:r>
    </w:p>
    <w:p w14:paraId="6E135D71" w14:textId="77777777" w:rsidR="00B84220" w:rsidRPr="00B84220" w:rsidRDefault="00B84220" w:rsidP="00B84220">
      <w:pPr>
        <w:numPr>
          <w:ilvl w:val="0"/>
          <w:numId w:val="35"/>
        </w:numPr>
      </w:pPr>
      <w:r w:rsidRPr="00B84220">
        <w:rPr>
          <w:b/>
          <w:bCs/>
        </w:rPr>
        <w:lastRenderedPageBreak/>
        <w:t>Outcome:</w:t>
      </w:r>
      <w:r w:rsidRPr="00B84220">
        <w:t xml:space="preserve"> If Brenntag had refused to contribute, claimants would have had to seek recovery directly from WCD’s remaining insurance coverage assets and backstop agreements managed by National Indemnity through the Chapter 11 plan.</w:t>
      </w:r>
    </w:p>
    <w:p w14:paraId="77F4B241" w14:textId="77777777" w:rsidR="00B84220" w:rsidRPr="00B84220" w:rsidRDefault="00B84220" w:rsidP="00B84220">
      <w:r w:rsidRPr="00B84220">
        <w:rPr>
          <w:b/>
          <w:bCs/>
        </w:rPr>
        <w:t>2. Prosecution of Litigation Claims Against Brenntag</w:t>
      </w:r>
    </w:p>
    <w:p w14:paraId="016771B6" w14:textId="77777777" w:rsidR="00B84220" w:rsidRPr="00B84220" w:rsidRDefault="00B84220" w:rsidP="00B84220">
      <w:pPr>
        <w:numPr>
          <w:ilvl w:val="0"/>
          <w:numId w:val="36"/>
        </w:numPr>
      </w:pPr>
      <w:r w:rsidRPr="00B84220">
        <w:rPr>
          <w:b/>
          <w:bCs/>
        </w:rPr>
        <w:t>The Asset:</w:t>
      </w:r>
      <w:r w:rsidRPr="00B84220">
        <w:t xml:space="preserve"> Because the court ruled that successor liability and "mere continuation" claims belong </w:t>
      </w:r>
      <w:r w:rsidRPr="00B84220">
        <w:rPr>
          <w:b/>
          <w:bCs/>
        </w:rPr>
        <w:t>exclusively to WCD's bankruptcy estate</w:t>
      </w:r>
      <w:r w:rsidRPr="00B84220">
        <w:t xml:space="preserve"> (and not to individual tort plaintiffs), those litigation claims became estate property under 11 U.S.C. § 541.</w:t>
      </w:r>
    </w:p>
    <w:p w14:paraId="7881FD99" w14:textId="77777777" w:rsidR="00B84220" w:rsidRPr="00B84220" w:rsidRDefault="00B84220" w:rsidP="00B84220">
      <w:pPr>
        <w:numPr>
          <w:ilvl w:val="0"/>
          <w:numId w:val="36"/>
        </w:numPr>
      </w:pPr>
      <w:r w:rsidRPr="00B84220">
        <w:rPr>
          <w:b/>
          <w:bCs/>
        </w:rPr>
        <w:t>Mechanism:</w:t>
      </w:r>
      <w:r w:rsidRPr="00B84220">
        <w:t xml:space="preserve"> Had Brenntag refused a voluntary settlement, the bankruptcy trustee/debtor would have aggressively prosecuted those successor liability and fraudulent transfer claims directly against Brenntag in court on behalf of the entire estate.</w:t>
      </w:r>
    </w:p>
    <w:p w14:paraId="2DEAD66A" w14:textId="77777777" w:rsidR="00B84220" w:rsidRPr="00B84220" w:rsidRDefault="00B84220" w:rsidP="00B84220">
      <w:pPr>
        <w:numPr>
          <w:ilvl w:val="0"/>
          <w:numId w:val="36"/>
        </w:numPr>
      </w:pPr>
      <w:r w:rsidRPr="00B84220">
        <w:rPr>
          <w:b/>
          <w:bCs/>
        </w:rPr>
        <w:t>Outcome:</w:t>
      </w:r>
      <w:r w:rsidRPr="00B84220">
        <w:t xml:space="preserve"> Rather than receiving guaranteed settlement cash </w:t>
      </w:r>
      <w:proofErr w:type="spellStart"/>
      <w:r w:rsidRPr="00B84220">
        <w:t>upfront</w:t>
      </w:r>
      <w:proofErr w:type="spellEnd"/>
      <w:r w:rsidRPr="00B84220">
        <w:t>, any payout to tort claimants would rely on the bankruptcy estate winning a litigated judgment or damages award against Brenntag.</w:t>
      </w:r>
    </w:p>
    <w:p w14:paraId="25305AE1" w14:textId="77777777" w:rsidR="00B84220" w:rsidRPr="00B84220" w:rsidRDefault="00B84220" w:rsidP="00B84220">
      <w:r w:rsidRPr="00B84220">
        <w:rPr>
          <w:b/>
          <w:bCs/>
        </w:rPr>
        <w:t>3. Direct Indemnification Claims Against WCD's Minimal Residual Assets</w:t>
      </w:r>
    </w:p>
    <w:p w14:paraId="4B1B3052" w14:textId="77777777" w:rsidR="00B84220" w:rsidRPr="00B84220" w:rsidRDefault="00B84220" w:rsidP="00B84220">
      <w:pPr>
        <w:numPr>
          <w:ilvl w:val="0"/>
          <w:numId w:val="37"/>
        </w:numPr>
      </w:pPr>
      <w:r w:rsidRPr="00B84220">
        <w:rPr>
          <w:b/>
          <w:bCs/>
        </w:rPr>
        <w:t>Mechanism:</w:t>
      </w:r>
      <w:r w:rsidRPr="00B84220">
        <w:t xml:space="preserve"> If Brenntag was sued by external plaintiffs, paid out damages, and then asserted an administrative indemnification claim against WCD, WCD’s estate would have been further insolvent.</w:t>
      </w:r>
    </w:p>
    <w:p w14:paraId="6D1997AC" w14:textId="77777777" w:rsidR="00B84220" w:rsidRPr="00B84220" w:rsidRDefault="00B84220" w:rsidP="00B84220">
      <w:pPr>
        <w:numPr>
          <w:ilvl w:val="0"/>
          <w:numId w:val="37"/>
        </w:numPr>
      </w:pPr>
      <w:r w:rsidRPr="00B84220">
        <w:rPr>
          <w:b/>
          <w:bCs/>
        </w:rPr>
        <w:t>Outcome:</w:t>
      </w:r>
      <w:r w:rsidRPr="00B84220">
        <w:t xml:space="preserve"> Under this scenario, </w:t>
      </w:r>
      <w:r w:rsidRPr="006F2B13">
        <w:rPr>
          <w:highlight w:val="yellow"/>
        </w:rPr>
        <w:t>tort claimants and Brenntag would become competing creditors fighting over WCD’s nominal estate assets and insurance policy limits</w:t>
      </w:r>
      <w:r w:rsidRPr="00B84220">
        <w:t>, yielding pennies on the dollar for personal injury claims without the extra capital provided by a global resolution.</w:t>
      </w:r>
    </w:p>
    <w:p w14:paraId="09DC922E" w14:textId="77777777" w:rsidR="00B84220" w:rsidRPr="00B84220" w:rsidRDefault="00B84220" w:rsidP="00B84220">
      <w:r w:rsidRPr="00B84220">
        <w:t xml:space="preserve">Without the settlement, WCD's primary asset to pay tort claimants was </w:t>
      </w:r>
      <w:r w:rsidRPr="00B84220">
        <w:rPr>
          <w:b/>
          <w:bCs/>
        </w:rPr>
        <w:t>litigation value</w:t>
      </w:r>
      <w:r w:rsidRPr="00B84220">
        <w:t>—the estate's legal power to sue Brenntag for successor liability and draw upon National Indemnity's insurance backstops.</w:t>
      </w:r>
    </w:p>
    <w:p w14:paraId="0D3860C4" w14:textId="77777777" w:rsidR="00C624D6" w:rsidRDefault="00C624D6"/>
    <w:sectPr w:rsidR="00C624D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9B960" w14:textId="77777777" w:rsidR="00BC1369" w:rsidRDefault="00BC1369" w:rsidP="00906FFD">
      <w:pPr>
        <w:spacing w:after="0" w:line="240" w:lineRule="auto"/>
      </w:pPr>
      <w:r>
        <w:separator/>
      </w:r>
    </w:p>
  </w:endnote>
  <w:endnote w:type="continuationSeparator" w:id="0">
    <w:p w14:paraId="58EF5AC9" w14:textId="77777777" w:rsidR="00BC1369" w:rsidRDefault="00BC1369" w:rsidP="00906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3734091"/>
      <w:docPartObj>
        <w:docPartGallery w:val="Page Numbers (Bottom of Page)"/>
        <w:docPartUnique/>
      </w:docPartObj>
    </w:sdtPr>
    <w:sdtEndPr>
      <w:rPr>
        <w:color w:val="7F7F7F" w:themeColor="background1" w:themeShade="7F"/>
        <w:spacing w:val="60"/>
      </w:rPr>
    </w:sdtEndPr>
    <w:sdtContent>
      <w:p w14:paraId="2907F5E0" w14:textId="74DA43B6" w:rsidR="00906FFD" w:rsidRDefault="00906FF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1D28742" w14:textId="77777777" w:rsidR="00906FFD" w:rsidRDefault="00906F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C4741" w14:textId="77777777" w:rsidR="00BC1369" w:rsidRDefault="00BC1369" w:rsidP="00906FFD">
      <w:pPr>
        <w:spacing w:after="0" w:line="240" w:lineRule="auto"/>
      </w:pPr>
      <w:r>
        <w:separator/>
      </w:r>
    </w:p>
  </w:footnote>
  <w:footnote w:type="continuationSeparator" w:id="0">
    <w:p w14:paraId="576F59D3" w14:textId="77777777" w:rsidR="00BC1369" w:rsidRDefault="00BC1369" w:rsidP="00906F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6088"/>
    <w:multiLevelType w:val="multilevel"/>
    <w:tmpl w:val="0CBC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3F54"/>
    <w:multiLevelType w:val="multilevel"/>
    <w:tmpl w:val="72CA4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F7161"/>
    <w:multiLevelType w:val="multilevel"/>
    <w:tmpl w:val="A850B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69531E"/>
    <w:multiLevelType w:val="multilevel"/>
    <w:tmpl w:val="CB587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B3F18"/>
    <w:multiLevelType w:val="multilevel"/>
    <w:tmpl w:val="5AD4F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C35A80"/>
    <w:multiLevelType w:val="multilevel"/>
    <w:tmpl w:val="5F607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3D7E92"/>
    <w:multiLevelType w:val="multilevel"/>
    <w:tmpl w:val="17DE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C10057"/>
    <w:multiLevelType w:val="multilevel"/>
    <w:tmpl w:val="4B3C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3273F4"/>
    <w:multiLevelType w:val="multilevel"/>
    <w:tmpl w:val="7140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787673"/>
    <w:multiLevelType w:val="multilevel"/>
    <w:tmpl w:val="B0B4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446538"/>
    <w:multiLevelType w:val="multilevel"/>
    <w:tmpl w:val="E28A6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5F38F8"/>
    <w:multiLevelType w:val="multilevel"/>
    <w:tmpl w:val="66BCC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6E2C67"/>
    <w:multiLevelType w:val="multilevel"/>
    <w:tmpl w:val="64BE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0D68C3"/>
    <w:multiLevelType w:val="multilevel"/>
    <w:tmpl w:val="BC98A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716B1E"/>
    <w:multiLevelType w:val="multilevel"/>
    <w:tmpl w:val="3A36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A25BBD"/>
    <w:multiLevelType w:val="multilevel"/>
    <w:tmpl w:val="3F84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AB2766"/>
    <w:multiLevelType w:val="multilevel"/>
    <w:tmpl w:val="3CAA9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2C484F"/>
    <w:multiLevelType w:val="multilevel"/>
    <w:tmpl w:val="7F00C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BF3D40"/>
    <w:multiLevelType w:val="multilevel"/>
    <w:tmpl w:val="0CF68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9B13C9"/>
    <w:multiLevelType w:val="multilevel"/>
    <w:tmpl w:val="6C36C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8C0202"/>
    <w:multiLevelType w:val="multilevel"/>
    <w:tmpl w:val="5016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BC75C1"/>
    <w:multiLevelType w:val="multilevel"/>
    <w:tmpl w:val="5C3C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F72A51"/>
    <w:multiLevelType w:val="multilevel"/>
    <w:tmpl w:val="48D80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F37DD1"/>
    <w:multiLevelType w:val="multilevel"/>
    <w:tmpl w:val="18C8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806375"/>
    <w:multiLevelType w:val="multilevel"/>
    <w:tmpl w:val="842E5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A72AEC"/>
    <w:multiLevelType w:val="multilevel"/>
    <w:tmpl w:val="BEEE5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2628F5"/>
    <w:multiLevelType w:val="multilevel"/>
    <w:tmpl w:val="10C6C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A92A6B"/>
    <w:multiLevelType w:val="multilevel"/>
    <w:tmpl w:val="1B502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9E3DEE"/>
    <w:multiLevelType w:val="multilevel"/>
    <w:tmpl w:val="0824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61D28BA"/>
    <w:multiLevelType w:val="multilevel"/>
    <w:tmpl w:val="619A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FB586F"/>
    <w:multiLevelType w:val="multilevel"/>
    <w:tmpl w:val="D09ED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2F6116D"/>
    <w:multiLevelType w:val="multilevel"/>
    <w:tmpl w:val="51989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444FB8"/>
    <w:multiLevelType w:val="multilevel"/>
    <w:tmpl w:val="115EB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7787D03"/>
    <w:multiLevelType w:val="multilevel"/>
    <w:tmpl w:val="5ED8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C62E8D"/>
    <w:multiLevelType w:val="multilevel"/>
    <w:tmpl w:val="1680A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9100AD"/>
    <w:multiLevelType w:val="multilevel"/>
    <w:tmpl w:val="3FB21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922635"/>
    <w:multiLevelType w:val="multilevel"/>
    <w:tmpl w:val="FC888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8634154">
    <w:abstractNumId w:val="35"/>
  </w:num>
  <w:num w:numId="2" w16cid:durableId="1905796411">
    <w:abstractNumId w:val="17"/>
  </w:num>
  <w:num w:numId="3" w16cid:durableId="134103986">
    <w:abstractNumId w:val="31"/>
  </w:num>
  <w:num w:numId="4" w16cid:durableId="78216740">
    <w:abstractNumId w:val="19"/>
  </w:num>
  <w:num w:numId="5" w16cid:durableId="1080981550">
    <w:abstractNumId w:val="4"/>
  </w:num>
  <w:num w:numId="6" w16cid:durableId="1843079725">
    <w:abstractNumId w:val="0"/>
  </w:num>
  <w:num w:numId="7" w16cid:durableId="1248033784">
    <w:abstractNumId w:val="20"/>
  </w:num>
  <w:num w:numId="8" w16cid:durableId="1660621036">
    <w:abstractNumId w:val="15"/>
  </w:num>
  <w:num w:numId="9" w16cid:durableId="1521505254">
    <w:abstractNumId w:val="29"/>
  </w:num>
  <w:num w:numId="10" w16cid:durableId="1722636524">
    <w:abstractNumId w:val="30"/>
  </w:num>
  <w:num w:numId="11" w16cid:durableId="1059983657">
    <w:abstractNumId w:val="13"/>
  </w:num>
  <w:num w:numId="12" w16cid:durableId="728921763">
    <w:abstractNumId w:val="23"/>
  </w:num>
  <w:num w:numId="13" w16cid:durableId="334503132">
    <w:abstractNumId w:val="9"/>
  </w:num>
  <w:num w:numId="14" w16cid:durableId="1072004140">
    <w:abstractNumId w:val="24"/>
  </w:num>
  <w:num w:numId="15" w16cid:durableId="593442929">
    <w:abstractNumId w:val="34"/>
  </w:num>
  <w:num w:numId="16" w16cid:durableId="852955560">
    <w:abstractNumId w:val="33"/>
  </w:num>
  <w:num w:numId="17" w16cid:durableId="2018606876">
    <w:abstractNumId w:val="5"/>
  </w:num>
  <w:num w:numId="18" w16cid:durableId="1798139401">
    <w:abstractNumId w:val="14"/>
  </w:num>
  <w:num w:numId="19" w16cid:durableId="1486700082">
    <w:abstractNumId w:val="10"/>
  </w:num>
  <w:num w:numId="20" w16cid:durableId="1837259527">
    <w:abstractNumId w:val="16"/>
  </w:num>
  <w:num w:numId="21" w16cid:durableId="1788039327">
    <w:abstractNumId w:val="36"/>
  </w:num>
  <w:num w:numId="22" w16cid:durableId="272712847">
    <w:abstractNumId w:val="7"/>
  </w:num>
  <w:num w:numId="23" w16cid:durableId="105272718">
    <w:abstractNumId w:val="28"/>
  </w:num>
  <w:num w:numId="24" w16cid:durableId="2001342789">
    <w:abstractNumId w:val="1"/>
  </w:num>
  <w:num w:numId="25" w16cid:durableId="1722709110">
    <w:abstractNumId w:val="25"/>
  </w:num>
  <w:num w:numId="26" w16cid:durableId="1979650247">
    <w:abstractNumId w:val="8"/>
  </w:num>
  <w:num w:numId="27" w16cid:durableId="1478230521">
    <w:abstractNumId w:val="22"/>
  </w:num>
  <w:num w:numId="28" w16cid:durableId="509836671">
    <w:abstractNumId w:val="26"/>
  </w:num>
  <w:num w:numId="29" w16cid:durableId="1514687319">
    <w:abstractNumId w:val="21"/>
  </w:num>
  <w:num w:numId="30" w16cid:durableId="1011686648">
    <w:abstractNumId w:val="11"/>
  </w:num>
  <w:num w:numId="31" w16cid:durableId="1328291115">
    <w:abstractNumId w:val="6"/>
  </w:num>
  <w:num w:numId="32" w16cid:durableId="184250631">
    <w:abstractNumId w:val="12"/>
  </w:num>
  <w:num w:numId="33" w16cid:durableId="1041397781">
    <w:abstractNumId w:val="27"/>
  </w:num>
  <w:num w:numId="34" w16cid:durableId="941839325">
    <w:abstractNumId w:val="3"/>
  </w:num>
  <w:num w:numId="35" w16cid:durableId="643658627">
    <w:abstractNumId w:val="2"/>
  </w:num>
  <w:num w:numId="36" w16cid:durableId="723678909">
    <w:abstractNumId w:val="18"/>
  </w:num>
  <w:num w:numId="37" w16cid:durableId="124611535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309"/>
    <w:rsid w:val="00014EB8"/>
    <w:rsid w:val="002D7416"/>
    <w:rsid w:val="003C6BC9"/>
    <w:rsid w:val="00410309"/>
    <w:rsid w:val="00491D7D"/>
    <w:rsid w:val="00615DAF"/>
    <w:rsid w:val="006B611A"/>
    <w:rsid w:val="006F2B13"/>
    <w:rsid w:val="007213F0"/>
    <w:rsid w:val="008D29FC"/>
    <w:rsid w:val="008D3DED"/>
    <w:rsid w:val="00906FFD"/>
    <w:rsid w:val="00990ACC"/>
    <w:rsid w:val="00A0619A"/>
    <w:rsid w:val="00B60B0B"/>
    <w:rsid w:val="00B84220"/>
    <w:rsid w:val="00BB670C"/>
    <w:rsid w:val="00BC1369"/>
    <w:rsid w:val="00C624D6"/>
    <w:rsid w:val="00C654FF"/>
    <w:rsid w:val="00C95781"/>
    <w:rsid w:val="00C971A6"/>
    <w:rsid w:val="00CF6B83"/>
    <w:rsid w:val="00D127BE"/>
    <w:rsid w:val="00E20955"/>
    <w:rsid w:val="00F02DD0"/>
    <w:rsid w:val="00F70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F9322"/>
  <w15:chartTrackingRefBased/>
  <w15:docId w15:val="{667A8E02-DA02-4EC0-8ABD-D2EB99793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3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03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03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03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1030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1030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030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030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030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3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03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030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030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1030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103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03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03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03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03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3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30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3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0309"/>
    <w:pPr>
      <w:spacing w:before="160"/>
      <w:jc w:val="center"/>
    </w:pPr>
    <w:rPr>
      <w:i/>
      <w:iCs/>
      <w:color w:val="404040" w:themeColor="text1" w:themeTint="BF"/>
    </w:rPr>
  </w:style>
  <w:style w:type="character" w:customStyle="1" w:styleId="QuoteChar">
    <w:name w:val="Quote Char"/>
    <w:basedOn w:val="DefaultParagraphFont"/>
    <w:link w:val="Quote"/>
    <w:uiPriority w:val="29"/>
    <w:rsid w:val="00410309"/>
    <w:rPr>
      <w:i/>
      <w:iCs/>
      <w:color w:val="404040" w:themeColor="text1" w:themeTint="BF"/>
    </w:rPr>
  </w:style>
  <w:style w:type="paragraph" w:styleId="ListParagraph">
    <w:name w:val="List Paragraph"/>
    <w:basedOn w:val="Normal"/>
    <w:uiPriority w:val="34"/>
    <w:qFormat/>
    <w:rsid w:val="00410309"/>
    <w:pPr>
      <w:ind w:left="720"/>
      <w:contextualSpacing/>
    </w:pPr>
  </w:style>
  <w:style w:type="character" w:styleId="IntenseEmphasis">
    <w:name w:val="Intense Emphasis"/>
    <w:basedOn w:val="DefaultParagraphFont"/>
    <w:uiPriority w:val="21"/>
    <w:qFormat/>
    <w:rsid w:val="00410309"/>
    <w:rPr>
      <w:i/>
      <w:iCs/>
      <w:color w:val="0F4761" w:themeColor="accent1" w:themeShade="BF"/>
    </w:rPr>
  </w:style>
  <w:style w:type="paragraph" w:styleId="IntenseQuote">
    <w:name w:val="Intense Quote"/>
    <w:basedOn w:val="Normal"/>
    <w:next w:val="Normal"/>
    <w:link w:val="IntenseQuoteChar"/>
    <w:uiPriority w:val="30"/>
    <w:qFormat/>
    <w:rsid w:val="004103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0309"/>
    <w:rPr>
      <w:i/>
      <w:iCs/>
      <w:color w:val="0F4761" w:themeColor="accent1" w:themeShade="BF"/>
    </w:rPr>
  </w:style>
  <w:style w:type="character" w:styleId="IntenseReference">
    <w:name w:val="Intense Reference"/>
    <w:basedOn w:val="DefaultParagraphFont"/>
    <w:uiPriority w:val="32"/>
    <w:qFormat/>
    <w:rsid w:val="00410309"/>
    <w:rPr>
      <w:b/>
      <w:bCs/>
      <w:smallCaps/>
      <w:color w:val="0F4761" w:themeColor="accent1" w:themeShade="BF"/>
      <w:spacing w:val="5"/>
    </w:rPr>
  </w:style>
  <w:style w:type="character" w:styleId="Hyperlink">
    <w:name w:val="Hyperlink"/>
    <w:basedOn w:val="DefaultParagraphFont"/>
    <w:uiPriority w:val="99"/>
    <w:unhideWhenUsed/>
    <w:rsid w:val="00410309"/>
    <w:rPr>
      <w:color w:val="467886" w:themeColor="hyperlink"/>
      <w:u w:val="single"/>
    </w:rPr>
  </w:style>
  <w:style w:type="character" w:styleId="UnresolvedMention">
    <w:name w:val="Unresolved Mention"/>
    <w:basedOn w:val="DefaultParagraphFont"/>
    <w:uiPriority w:val="99"/>
    <w:semiHidden/>
    <w:unhideWhenUsed/>
    <w:rsid w:val="00410309"/>
    <w:rPr>
      <w:color w:val="605E5C"/>
      <w:shd w:val="clear" w:color="auto" w:fill="E1DFDD"/>
    </w:rPr>
  </w:style>
  <w:style w:type="paragraph" w:styleId="Header">
    <w:name w:val="header"/>
    <w:basedOn w:val="Normal"/>
    <w:link w:val="HeaderChar"/>
    <w:uiPriority w:val="99"/>
    <w:unhideWhenUsed/>
    <w:rsid w:val="00906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FFD"/>
  </w:style>
  <w:style w:type="paragraph" w:styleId="Footer">
    <w:name w:val="footer"/>
    <w:basedOn w:val="Normal"/>
    <w:link w:val="FooterChar"/>
    <w:uiPriority w:val="99"/>
    <w:unhideWhenUsed/>
    <w:rsid w:val="00906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F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chert.com/knowledge/re-torts/2026/6/Third-Circuit-Clarifies-that-Product-Line-Successor-Liability-Claims-are-Property-of-the-Bankruptcy-Estate.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aw.justia.com/cases/federal/appellate-courts/ca3/24-2211/24-2211-2026-04-2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15</Pages>
  <Words>4775</Words>
  <Characters>27222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Rabiej</dc:creator>
  <cp:keywords/>
  <dc:description/>
  <cp:lastModifiedBy>John Rabiej</cp:lastModifiedBy>
  <cp:revision>14</cp:revision>
  <cp:lastPrinted>2026-08-01T14:31:00Z</cp:lastPrinted>
  <dcterms:created xsi:type="dcterms:W3CDTF">2026-08-01T13:38:00Z</dcterms:created>
  <dcterms:modified xsi:type="dcterms:W3CDTF">2026-08-02T13:36:00Z</dcterms:modified>
</cp:coreProperties>
</file>