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093D4" w14:textId="77777777" w:rsidR="001305B0" w:rsidRDefault="001305B0" w:rsidP="001305B0">
      <w:pPr>
        <w:spacing w:after="0" w:line="240" w:lineRule="auto"/>
        <w:ind w:left="720" w:right="720"/>
        <w:contextualSpacing/>
        <w:jc w:val="both"/>
        <w:rPr>
          <w:rFonts w:eastAsia="Times New Roman" w:cs="Times New Roman"/>
          <w:b/>
          <w:bCs/>
          <w:color w:val="000000"/>
          <w:kern w:val="0"/>
          <w:szCs w:val="24"/>
          <w14:ligatures w14:val="none"/>
        </w:rPr>
      </w:pPr>
    </w:p>
    <w:p w14:paraId="6819FD36" w14:textId="77777777" w:rsidR="001305B0" w:rsidRDefault="001305B0" w:rsidP="001305B0">
      <w:pPr>
        <w:spacing w:after="0" w:line="240" w:lineRule="auto"/>
        <w:ind w:left="720" w:right="720"/>
        <w:contextualSpacing/>
        <w:jc w:val="both"/>
        <w:rPr>
          <w:rFonts w:eastAsia="Times New Roman" w:cs="Times New Roman"/>
          <w:b/>
          <w:bCs/>
          <w:color w:val="000000"/>
          <w:kern w:val="0"/>
          <w:szCs w:val="24"/>
          <w14:ligatures w14:val="none"/>
        </w:rPr>
      </w:pPr>
    </w:p>
    <w:p w14:paraId="3F095126" w14:textId="0DFC4DF5" w:rsidR="001305B0" w:rsidRDefault="001305B0" w:rsidP="001305B0">
      <w:pPr>
        <w:spacing w:after="0" w:line="240" w:lineRule="auto"/>
        <w:ind w:left="720" w:right="720"/>
        <w:contextualSpacing/>
        <w:jc w:val="both"/>
        <w:rPr>
          <w:rFonts w:eastAsia="Times New Roman" w:cs="Times New Roman"/>
          <w:b/>
          <w:bCs/>
          <w:color w:val="000000"/>
          <w:kern w:val="0"/>
          <w:szCs w:val="24"/>
          <w14:ligatures w14:val="none"/>
        </w:rPr>
      </w:pPr>
      <w:r>
        <w:rPr>
          <w:noProof/>
        </w:rPr>
        <w:drawing>
          <wp:inline distT="0" distB="0" distL="0" distR="0" wp14:anchorId="23476116" wp14:editId="00CA7AFB">
            <wp:extent cx="5943600" cy="828675"/>
            <wp:effectExtent l="0" t="0" r="0" b="9525"/>
            <wp:docPr id="5" name="Picture 5" descr="Graphical user interface, 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imeline&#10;&#10;Description automatically generated with medium confidence"/>
                    <pic:cNvPicPr>
                      <a:picLocks noChangeAspect="1" noChangeArrowheads="1"/>
                    </pic:cNvPicPr>
                  </pic:nvPicPr>
                  <pic:blipFill rotWithShape="1">
                    <a:blip r:embed="rId6">
                      <a:extLst>
                        <a:ext uri="{28A0092B-C50C-407E-A947-70E740481C1C}">
                          <a14:useLocalDpi xmlns:a14="http://schemas.microsoft.com/office/drawing/2010/main" val="0"/>
                        </a:ext>
                      </a:extLst>
                    </a:blip>
                    <a:srcRect l="-481" t="18882" r="481" b="63826"/>
                    <a:stretch/>
                  </pic:blipFill>
                  <pic:spPr bwMode="auto">
                    <a:xfrm>
                      <a:off x="0" y="0"/>
                      <a:ext cx="5943600" cy="828675"/>
                    </a:xfrm>
                    <a:prstGeom prst="rect">
                      <a:avLst/>
                    </a:prstGeom>
                    <a:noFill/>
                    <a:ln>
                      <a:noFill/>
                    </a:ln>
                    <a:extLst>
                      <a:ext uri="{53640926-AAD7-44D8-BBD7-CCE9431645EC}">
                        <a14:shadowObscured xmlns:a14="http://schemas.microsoft.com/office/drawing/2010/main"/>
                      </a:ext>
                    </a:extLst>
                  </pic:spPr>
                </pic:pic>
              </a:graphicData>
            </a:graphic>
          </wp:inline>
        </w:drawing>
      </w:r>
    </w:p>
    <w:p w14:paraId="043E8FEB" w14:textId="77777777" w:rsidR="001305B0" w:rsidRDefault="001305B0" w:rsidP="001305B0">
      <w:pPr>
        <w:jc w:val="center"/>
        <w:rPr>
          <w:b/>
          <w:sz w:val="28"/>
          <w:szCs w:val="28"/>
        </w:rPr>
      </w:pPr>
    </w:p>
    <w:p w14:paraId="6C472E1E" w14:textId="1DA580DF" w:rsidR="001305B0" w:rsidRPr="001305B0" w:rsidRDefault="001305B0" w:rsidP="001305B0">
      <w:pPr>
        <w:pStyle w:val="NoSpacing"/>
        <w:jc w:val="center"/>
        <w:rPr>
          <w:b/>
          <w:bCs/>
          <w:sz w:val="28"/>
          <w:szCs w:val="28"/>
        </w:rPr>
      </w:pPr>
      <w:r w:rsidRPr="001305B0">
        <w:rPr>
          <w:b/>
          <w:bCs/>
          <w:sz w:val="28"/>
          <w:szCs w:val="28"/>
        </w:rPr>
        <w:t>COMPENDIUM OF MASS-TORT MDL</w:t>
      </w:r>
    </w:p>
    <w:p w14:paraId="01C115A3" w14:textId="77777777" w:rsidR="001305B0" w:rsidRDefault="001305B0" w:rsidP="001305B0">
      <w:pPr>
        <w:pStyle w:val="NoSpacing"/>
        <w:jc w:val="center"/>
        <w:rPr>
          <w:rFonts w:cs="Times New Roman"/>
          <w:b/>
          <w:bCs/>
          <w:sz w:val="28"/>
          <w:szCs w:val="28"/>
        </w:rPr>
      </w:pPr>
      <w:r w:rsidRPr="001305B0">
        <w:rPr>
          <w:b/>
          <w:bCs/>
          <w:sz w:val="28"/>
          <w:szCs w:val="28"/>
        </w:rPr>
        <w:t>GUIDELINES AND BEST PRACTICES</w:t>
      </w:r>
      <w:r w:rsidRPr="001305B0">
        <w:rPr>
          <w:rFonts w:cs="Times New Roman"/>
          <w:b/>
          <w:bCs/>
          <w:sz w:val="28"/>
          <w:szCs w:val="28"/>
        </w:rPr>
        <w:t>*</w:t>
      </w:r>
    </w:p>
    <w:p w14:paraId="49EE3145" w14:textId="77777777" w:rsidR="001305B0" w:rsidRPr="001305B0" w:rsidRDefault="001305B0" w:rsidP="001305B0">
      <w:pPr>
        <w:pStyle w:val="NoSpacing"/>
        <w:jc w:val="center"/>
        <w:rPr>
          <w:rFonts w:cs="Times New Roman"/>
          <w:b/>
          <w:bCs/>
          <w:sz w:val="28"/>
          <w:szCs w:val="28"/>
        </w:rPr>
      </w:pPr>
    </w:p>
    <w:p w14:paraId="6767AE82" w14:textId="77777777" w:rsidR="001305B0" w:rsidRDefault="001305B0" w:rsidP="001305B0">
      <w:pPr>
        <w:jc w:val="center"/>
        <w:rPr>
          <w:rFonts w:cs="Times New Roman"/>
          <w:b/>
          <w:sz w:val="28"/>
          <w:szCs w:val="28"/>
        </w:rPr>
      </w:pPr>
      <w:r>
        <w:rPr>
          <w:rFonts w:cs="Times New Roman"/>
          <w:b/>
          <w:sz w:val="28"/>
          <w:szCs w:val="28"/>
        </w:rPr>
        <w:t>August 7, 2026</w:t>
      </w:r>
    </w:p>
    <w:p w14:paraId="7CF86243" w14:textId="77777777" w:rsidR="001305B0" w:rsidRDefault="001305B0" w:rsidP="001305B0">
      <w:pPr>
        <w:spacing w:after="0" w:line="240" w:lineRule="auto"/>
        <w:ind w:left="720" w:right="720"/>
        <w:contextualSpacing/>
        <w:jc w:val="both"/>
        <w:rPr>
          <w:rFonts w:eastAsia="Times New Roman" w:cs="Times New Roman"/>
          <w:b/>
          <w:bCs/>
          <w:color w:val="000000"/>
          <w:kern w:val="0"/>
          <w:szCs w:val="24"/>
          <w14:ligatures w14:val="none"/>
        </w:rPr>
      </w:pPr>
    </w:p>
    <w:p w14:paraId="5BB65EE1" w14:textId="0640630A" w:rsidR="001305B0" w:rsidRDefault="001305B0" w:rsidP="001305B0">
      <w:pPr>
        <w:spacing w:after="0" w:line="240" w:lineRule="auto"/>
        <w:ind w:left="720" w:right="720"/>
        <w:contextualSpacing/>
        <w:jc w:val="center"/>
        <w:rPr>
          <w:rFonts w:eastAsia="Times New Roman" w:cs="Times New Roman"/>
          <w:b/>
          <w:bCs/>
          <w:color w:val="000000"/>
          <w:kern w:val="0"/>
          <w:szCs w:val="24"/>
          <w14:ligatures w14:val="none"/>
        </w:rPr>
      </w:pPr>
      <w:r>
        <w:rPr>
          <w:rFonts w:eastAsia="Times New Roman" w:cs="Times New Roman"/>
          <w:b/>
          <w:bCs/>
          <w:color w:val="000000"/>
          <w:kern w:val="0"/>
          <w:szCs w:val="24"/>
          <w14:ligatures w14:val="none"/>
        </w:rPr>
        <w:t>* * * * * * * * * *</w:t>
      </w:r>
    </w:p>
    <w:p w14:paraId="782DBEC4" w14:textId="77777777" w:rsidR="001305B0" w:rsidRDefault="001305B0" w:rsidP="001305B0">
      <w:pPr>
        <w:spacing w:after="0" w:line="240" w:lineRule="auto"/>
        <w:ind w:left="720" w:right="720"/>
        <w:contextualSpacing/>
        <w:jc w:val="both"/>
        <w:rPr>
          <w:rFonts w:eastAsia="Times New Roman" w:cs="Times New Roman"/>
          <w:b/>
          <w:bCs/>
          <w:color w:val="000000"/>
          <w:kern w:val="0"/>
          <w:szCs w:val="24"/>
          <w14:ligatures w14:val="none"/>
        </w:rPr>
      </w:pPr>
    </w:p>
    <w:p w14:paraId="101B9920" w14:textId="5FDE8F56" w:rsidR="001305B0" w:rsidRPr="001305B0" w:rsidRDefault="001305B0" w:rsidP="001305B0">
      <w:pPr>
        <w:spacing w:after="0" w:line="240" w:lineRule="auto"/>
        <w:ind w:left="720" w:right="720"/>
        <w:contextualSpacing/>
        <w:jc w:val="both"/>
        <w:rPr>
          <w:rFonts w:cs="Times New Roman"/>
          <w:kern w:val="0"/>
          <w:szCs w:val="24"/>
          <w14:ligatures w14:val="none"/>
        </w:rPr>
      </w:pPr>
      <w:r w:rsidRPr="001305B0">
        <w:rPr>
          <w:rFonts w:eastAsia="Times New Roman" w:cs="Times New Roman"/>
          <w:b/>
          <w:bCs/>
          <w:color w:val="000000"/>
          <w:kern w:val="0"/>
          <w:szCs w:val="24"/>
          <w14:ligatures w14:val="none"/>
        </w:rPr>
        <w:t xml:space="preserve">Best Practice MDL-§ 20(c): </w:t>
      </w:r>
      <w:r w:rsidRPr="001305B0">
        <w:rPr>
          <w:rFonts w:eastAsia="Times New Roman" w:cs="Times New Roman"/>
          <w:color w:val="000000"/>
          <w:kern w:val="0"/>
          <w:szCs w:val="24"/>
          <w14:ligatures w14:val="none"/>
        </w:rPr>
        <w:t xml:space="preserve">In a mass-tort bankruptcy, the Trust Distribution Procedures (TDP) within the proposed plan of reorganization </w:t>
      </w:r>
      <w:r w:rsidRPr="001305B0">
        <w:rPr>
          <w:color w:val="000000" w:themeColor="text1"/>
          <w:kern w:val="0"/>
          <w:szCs w:val="24"/>
          <w14:ligatures w14:val="none"/>
        </w:rPr>
        <w:t xml:space="preserve">should incorporate measures to mitigate </w:t>
      </w:r>
      <w:r w:rsidRPr="001305B0">
        <w:rPr>
          <w:rFonts w:eastAsia="Times New Roman" w:cs="Times New Roman"/>
          <w:color w:val="000000"/>
          <w:kern w:val="0"/>
          <w:szCs w:val="24"/>
          <w14:ligatures w14:val="none"/>
        </w:rPr>
        <w:t xml:space="preserve">unreasonable and excessive contingency fees of individually retained lawyers whose retainer agreement was signed after a petition commencing a bankruptcy is filed.  </w:t>
      </w:r>
    </w:p>
    <w:p w14:paraId="0DCE142E" w14:textId="77777777" w:rsidR="001305B0" w:rsidRPr="001305B0" w:rsidRDefault="001305B0" w:rsidP="001305B0">
      <w:pPr>
        <w:spacing w:after="0" w:line="240" w:lineRule="auto"/>
        <w:jc w:val="both"/>
        <w:rPr>
          <w:color w:val="000000" w:themeColor="text1"/>
          <w:kern w:val="0"/>
          <w:szCs w:val="24"/>
          <w14:ligatures w14:val="none"/>
        </w:rPr>
      </w:pPr>
    </w:p>
    <w:p w14:paraId="35E8DAFD" w14:textId="77777777" w:rsidR="001305B0" w:rsidRPr="001305B0" w:rsidRDefault="001305B0" w:rsidP="001305B0">
      <w:pPr>
        <w:spacing w:after="0" w:line="360" w:lineRule="auto"/>
        <w:ind w:firstLine="720"/>
        <w:jc w:val="both"/>
        <w:rPr>
          <w:color w:val="000000" w:themeColor="text1"/>
          <w:kern w:val="0"/>
          <w:szCs w:val="24"/>
          <w14:ligatures w14:val="none"/>
        </w:rPr>
      </w:pPr>
      <w:r w:rsidRPr="001305B0">
        <w:rPr>
          <w:color w:val="000000" w:themeColor="text1"/>
          <w:kern w:val="0"/>
          <w:szCs w:val="24"/>
          <w14:ligatures w14:val="none"/>
        </w:rPr>
        <w:t>The public loses faith in the courts when law firms reap millions in fees for rendering only perfunctory services to mass-tort plaintiffs who file claims in a bankruptcy.</w:t>
      </w:r>
      <w:r w:rsidRPr="001305B0">
        <w:rPr>
          <w:color w:val="000000" w:themeColor="text1"/>
          <w:kern w:val="0"/>
          <w:szCs w:val="24"/>
          <w:vertAlign w:val="superscript"/>
          <w14:ligatures w14:val="none"/>
        </w:rPr>
        <w:footnoteReference w:id="1"/>
      </w:r>
      <w:r w:rsidRPr="001305B0">
        <w:rPr>
          <w:color w:val="000000" w:themeColor="text1"/>
          <w:kern w:val="0"/>
          <w:szCs w:val="24"/>
          <w14:ligatures w14:val="none"/>
        </w:rPr>
        <w:t xml:space="preserve"> </w:t>
      </w:r>
      <w:r w:rsidRPr="001305B0">
        <w:rPr>
          <w:rFonts w:eastAsia="Times New Roman" w:cs="Times New Roman"/>
          <w:kern w:val="0"/>
          <w:szCs w:val="24"/>
          <w14:ligatures w14:val="none"/>
        </w:rPr>
        <w:t>While a 33% to 40%</w:t>
      </w:r>
      <w:r w:rsidRPr="001305B0">
        <w:rPr>
          <w:rFonts w:ascii="Arial" w:eastAsia="Times New Roman" w:hAnsi="Arial" w:cs="Arial"/>
          <w:kern w:val="0"/>
          <w:szCs w:val="24"/>
          <w14:ligatures w14:val="none"/>
        </w:rPr>
        <w:t xml:space="preserve"> </w:t>
      </w:r>
      <w:r w:rsidRPr="001305B0">
        <w:rPr>
          <w:rFonts w:eastAsia="Times New Roman" w:cs="Times New Roman"/>
          <w:kern w:val="0"/>
          <w:szCs w:val="24"/>
          <w14:ligatures w14:val="none"/>
        </w:rPr>
        <w:t>fee is standard for individual tort litigation, which accounts for the attorneys’ substantial risks and out-of-pocket expenses, it becomes unreasonable and excessive when firms earn millions for simply filing claims and processing payments for hundreds of plaintiffs without providing substantive legal services.</w:t>
      </w:r>
      <w:r w:rsidRPr="001305B0">
        <w:rPr>
          <w:rFonts w:eastAsia="Times New Roman" w:cs="Times New Roman"/>
          <w:kern w:val="0"/>
          <w:szCs w:val="24"/>
          <w:vertAlign w:val="superscript"/>
          <w14:ligatures w14:val="none"/>
        </w:rPr>
        <w:footnoteReference w:id="2"/>
      </w:r>
    </w:p>
    <w:p w14:paraId="4125F12E" w14:textId="77777777" w:rsidR="001305B0" w:rsidRPr="001305B0" w:rsidRDefault="001305B0" w:rsidP="001305B0">
      <w:pPr>
        <w:spacing w:after="0" w:line="360" w:lineRule="auto"/>
        <w:ind w:firstLine="720"/>
        <w:jc w:val="both"/>
        <w:rPr>
          <w:color w:val="000000" w:themeColor="text1"/>
          <w:kern w:val="0"/>
          <w:szCs w:val="24"/>
          <w14:ligatures w14:val="none"/>
        </w:rPr>
      </w:pPr>
      <w:r w:rsidRPr="001305B0">
        <w:rPr>
          <w:color w:val="000000" w:themeColor="text1"/>
          <w:kern w:val="0"/>
          <w:szCs w:val="24"/>
          <w14:ligatures w14:val="none"/>
        </w:rPr>
        <w:t xml:space="preserve">Contingency-fee agreements are designed for individual tort litigation where attorneys commit significant time and bear the full financial risk of the case.  But when tort claims are first </w:t>
      </w:r>
      <w:r w:rsidRPr="001305B0">
        <w:rPr>
          <w:color w:val="000000" w:themeColor="text1"/>
          <w:kern w:val="0"/>
          <w:szCs w:val="24"/>
          <w14:ligatures w14:val="none"/>
        </w:rPr>
        <w:lastRenderedPageBreak/>
        <w:t xml:space="preserve">filed after a bankruptcy case has commenced, the core substantive work shifts to counsel for the Official Creditors’ Committee.  During the pendency of the bankruptcy, the role of the Individually Retained Plaintiff Attorney (IRPA) is generally routine and mechanical representation. Once a plan of reorganization is effective and a Trust Fund for claimant distributions is created, the IRPA’s duties remain largely ministerial, focused on processing their client claims in accordance with the TDP.  The distinct structures of civil tort litigation and bankruptcy fundamentally change the risk and time requirements for IRPAs. A 40% contingency fee may be justifiable in standard civil litigation, but a different evaluation is required when setting fees for services in </w:t>
      </w:r>
      <w:proofErr w:type="gramStart"/>
      <w:r w:rsidRPr="001305B0">
        <w:rPr>
          <w:color w:val="000000" w:themeColor="text1"/>
          <w:kern w:val="0"/>
          <w:szCs w:val="24"/>
          <w14:ligatures w14:val="none"/>
        </w:rPr>
        <w:t>a bankruptcy</w:t>
      </w:r>
      <w:proofErr w:type="gramEnd"/>
      <w:r w:rsidRPr="001305B0">
        <w:rPr>
          <w:color w:val="000000" w:themeColor="text1"/>
          <w:kern w:val="0"/>
          <w:szCs w:val="24"/>
          <w14:ligatures w14:val="none"/>
        </w:rPr>
        <w:t>.</w:t>
      </w:r>
    </w:p>
    <w:p w14:paraId="67A2404F" w14:textId="77777777" w:rsidR="001305B0" w:rsidRPr="001305B0" w:rsidRDefault="001305B0" w:rsidP="001305B0">
      <w:pPr>
        <w:spacing w:after="0" w:line="360" w:lineRule="auto"/>
        <w:ind w:firstLine="720"/>
        <w:jc w:val="both"/>
        <w:rPr>
          <w:color w:val="000000" w:themeColor="text1"/>
          <w:kern w:val="0"/>
          <w:szCs w:val="24"/>
          <w14:ligatures w14:val="none"/>
        </w:rPr>
      </w:pPr>
      <w:r w:rsidRPr="001305B0">
        <w:rPr>
          <w:color w:val="000000" w:themeColor="text1"/>
          <w:kern w:val="0"/>
          <w:szCs w:val="24"/>
          <w14:ligatures w14:val="none"/>
        </w:rPr>
        <w:t>Addressing the IRPAs’ fees in the TDP offers a practical means for managing and limiting unreasonable and excessive contingency fees in mass-tort bankruptcies. While standard fees remain presumably reasonable for attorneys who assumed pre-petition risks and costs, preparing and filing a bankruptcy claim generally involves significantly less risk, lower overhead, and reduced attorney time. These factors are further magnified when representing hundreds of clients, allowing for significant cost savings through economies of scale. The proposed TDP should incorporate fee-regulation mechanisms for counsel, ensuring that compensation remains proportional to the reduced time and resource commitments required for bankruptcy claims.</w:t>
      </w:r>
      <w:r w:rsidRPr="001305B0">
        <w:rPr>
          <w:color w:val="000000" w:themeColor="text1"/>
          <w:kern w:val="0"/>
          <w:szCs w:val="24"/>
          <w:vertAlign w:val="superscript"/>
          <w14:ligatures w14:val="none"/>
        </w:rPr>
        <w:footnoteReference w:id="3"/>
      </w:r>
      <w:r w:rsidRPr="001305B0">
        <w:rPr>
          <w:color w:val="000000" w:themeColor="text1"/>
          <w:kern w:val="0"/>
          <w:szCs w:val="24"/>
          <w14:ligatures w14:val="none"/>
        </w:rPr>
        <w:t xml:space="preserve">   Given the absence of contingent risk typically found in civil filings, IRPAs’ fees in bankruptcy should be based on </w:t>
      </w:r>
      <w:r w:rsidRPr="001305B0">
        <w:rPr>
          <w:i/>
          <w:iCs/>
          <w:color w:val="000000" w:themeColor="text1"/>
          <w:kern w:val="0"/>
          <w:szCs w:val="24"/>
          <w14:ligatures w14:val="none"/>
        </w:rPr>
        <w:t>quantum meruit</w:t>
      </w:r>
      <w:r w:rsidRPr="001305B0">
        <w:rPr>
          <w:color w:val="000000" w:themeColor="text1"/>
          <w:kern w:val="0"/>
          <w:szCs w:val="24"/>
          <w14:ligatures w14:val="none"/>
        </w:rPr>
        <w:t xml:space="preserve"> principles.</w:t>
      </w:r>
    </w:p>
    <w:p w14:paraId="568A054B" w14:textId="77777777" w:rsidR="001305B0" w:rsidRPr="001305B0" w:rsidRDefault="001305B0" w:rsidP="001305B0">
      <w:pPr>
        <w:spacing w:after="0" w:line="360" w:lineRule="auto"/>
        <w:ind w:firstLine="720"/>
        <w:jc w:val="both"/>
        <w:rPr>
          <w:rFonts w:cs="Times New Roman"/>
          <w:kern w:val="0"/>
          <w:szCs w:val="24"/>
          <w14:ligatures w14:val="none"/>
        </w:rPr>
      </w:pPr>
      <w:r w:rsidRPr="001305B0">
        <w:rPr>
          <w:rFonts w:cs="Times New Roman"/>
          <w:kern w:val="0"/>
          <w:szCs w:val="24"/>
          <w14:ligatures w14:val="none"/>
        </w:rPr>
        <w:t>The 40% contingency fee typical of individual tort cases often results in an unreasonable windfall for IRPAs in bankruptcy, justifying the adoption of a lower reasonable default rate in the TDP. For example, the Dow Corning TDP implemented a graduated fee structure for each claimant: 10% on the initial $10,000; 22.5% on the subsequent $40,000; and 30% on any recovery exceeding $50,000.</w:t>
      </w:r>
      <w:r w:rsidRPr="001305B0">
        <w:rPr>
          <w:rFonts w:cs="Times New Roman"/>
          <w:kern w:val="0"/>
          <w:szCs w:val="24"/>
          <w:vertAlign w:val="superscript"/>
          <w14:ligatures w14:val="none"/>
        </w:rPr>
        <w:footnoteReference w:id="4"/>
      </w:r>
      <w:r w:rsidRPr="001305B0">
        <w:rPr>
          <w:rFonts w:cs="Times New Roman"/>
          <w:kern w:val="0"/>
          <w:szCs w:val="24"/>
          <w14:ligatures w14:val="none"/>
        </w:rPr>
        <w:t xml:space="preserve"> Benchmarks from other forms of aggregate litigation -- such as the 25% cap </w:t>
      </w:r>
      <w:r w:rsidRPr="001305B0">
        <w:rPr>
          <w:rFonts w:cs="Times New Roman"/>
          <w:kern w:val="0"/>
          <w:szCs w:val="24"/>
          <w14:ligatures w14:val="none"/>
        </w:rPr>
        <w:lastRenderedPageBreak/>
        <w:t>often seen in Rule 23 class actions -- serve as helpful guidance. Mass-tort MDLs are also instructive, with judicial precedents establishing caps between 10% and 25% when the legal work performed is primarily administrative or ministerial and there is no, or little, contingency risk.</w:t>
      </w:r>
      <w:r w:rsidRPr="001305B0">
        <w:rPr>
          <w:rFonts w:cs="Times New Roman"/>
          <w:kern w:val="0"/>
          <w:szCs w:val="24"/>
          <w:vertAlign w:val="superscript"/>
          <w14:ligatures w14:val="none"/>
        </w:rPr>
        <w:footnoteReference w:id="5"/>
      </w:r>
      <w:r w:rsidRPr="001305B0">
        <w:rPr>
          <w:rFonts w:cs="Times New Roman"/>
          <w:kern w:val="0"/>
          <w:szCs w:val="24"/>
          <w14:ligatures w14:val="none"/>
        </w:rPr>
        <w:t xml:space="preserve"> </w:t>
      </w:r>
    </w:p>
    <w:p w14:paraId="07F9EBFC" w14:textId="77777777" w:rsidR="001305B0" w:rsidRPr="001305B0" w:rsidRDefault="001305B0" w:rsidP="001305B0">
      <w:pPr>
        <w:spacing w:after="0" w:line="360" w:lineRule="auto"/>
        <w:ind w:firstLine="720"/>
        <w:jc w:val="both"/>
        <w:rPr>
          <w:rFonts w:cs="Times New Roman"/>
          <w:kern w:val="0"/>
          <w:szCs w:val="24"/>
          <w14:ligatures w14:val="none"/>
        </w:rPr>
      </w:pPr>
      <w:r w:rsidRPr="001305B0">
        <w:rPr>
          <w:rFonts w:cs="Times New Roman"/>
          <w:kern w:val="0"/>
          <w:szCs w:val="24"/>
          <w14:ligatures w14:val="none"/>
        </w:rPr>
        <w:t>While governed by ethical standards, state statutes,</w:t>
      </w:r>
      <w:r w:rsidRPr="001305B0">
        <w:rPr>
          <w:rFonts w:cs="Times New Roman"/>
          <w:kern w:val="0"/>
          <w:szCs w:val="24"/>
          <w:vertAlign w:val="superscript"/>
          <w14:ligatures w14:val="none"/>
        </w:rPr>
        <w:footnoteReference w:id="6"/>
      </w:r>
      <w:r w:rsidRPr="001305B0">
        <w:rPr>
          <w:rFonts w:cs="Times New Roman"/>
          <w:kern w:val="0"/>
          <w:szCs w:val="24"/>
          <w14:ligatures w14:val="none"/>
        </w:rPr>
        <w:t xml:space="preserve"> and state bar oversight, the question of whether fees are unreasonable and excessive in complex litigation usually depends on the specific context and the extent of the legal services rendered.  Even so, a standardized fee schedule with presumptive caps is appropriate for bankruptcy claims because of how systematically these claims are handled. Although individual circumstances undoubtedly vary, the core evaluative criteria -- such as client recruitment costs, litigation risk, and time investment -- are sufficiently uniform for preparing and processing a bankruptcy claim to warrant a consistent fee structure, always allowing for exceptions for cause shown.</w:t>
      </w:r>
      <w:r w:rsidRPr="001305B0">
        <w:rPr>
          <w:rFonts w:cs="Times New Roman"/>
          <w:kern w:val="0"/>
          <w:szCs w:val="24"/>
          <w:vertAlign w:val="superscript"/>
          <w14:ligatures w14:val="none"/>
        </w:rPr>
        <w:footnoteReference w:id="7"/>
      </w:r>
      <w:r w:rsidRPr="001305B0">
        <w:rPr>
          <w:rFonts w:cs="Times New Roman"/>
          <w:kern w:val="0"/>
          <w:szCs w:val="24"/>
          <w14:ligatures w14:val="none"/>
        </w:rPr>
        <w:t xml:space="preserve">  </w:t>
      </w:r>
    </w:p>
    <w:p w14:paraId="19DEDEF1" w14:textId="77777777" w:rsidR="001305B0" w:rsidRPr="001305B0" w:rsidRDefault="001305B0" w:rsidP="001305B0">
      <w:pPr>
        <w:spacing w:after="0" w:line="360" w:lineRule="auto"/>
        <w:ind w:firstLine="720"/>
        <w:jc w:val="both"/>
        <w:rPr>
          <w:rFonts w:cs="Times New Roman"/>
          <w:kern w:val="0"/>
          <w:szCs w:val="24"/>
          <w14:ligatures w14:val="none"/>
        </w:rPr>
      </w:pPr>
      <w:r w:rsidRPr="001305B0">
        <w:rPr>
          <w:rFonts w:cs="Times New Roman"/>
          <w:kern w:val="0"/>
          <w:szCs w:val="24"/>
          <w14:ligatures w14:val="none"/>
        </w:rPr>
        <w:t xml:space="preserve">Guidance derived from mass-tort MDL and class-action experience support the adoption of a 15%–25% default contingency fee range as a recommended baseline for proponents during plan formulation. While such caps are higher than a 10% limit imposed </w:t>
      </w:r>
      <w:proofErr w:type="gramStart"/>
      <w:r w:rsidRPr="001305B0">
        <w:rPr>
          <w:rFonts w:cs="Times New Roman"/>
          <w:kern w:val="0"/>
          <w:szCs w:val="24"/>
          <w14:ligatures w14:val="none"/>
        </w:rPr>
        <w:t>in</w:t>
      </w:r>
      <w:proofErr w:type="gramEnd"/>
      <w:r w:rsidRPr="001305B0">
        <w:rPr>
          <w:rFonts w:cs="Times New Roman"/>
          <w:kern w:val="0"/>
          <w:szCs w:val="24"/>
          <w14:ligatures w14:val="none"/>
        </w:rPr>
        <w:t xml:space="preserve"> some mass-tort MDLs, it is a justifiable rate when considering the recruitment costs to identify and assist plaintiffs who might not have otherwise filed claims, while still ensuring a viable business model. To account for </w:t>
      </w:r>
      <w:r w:rsidRPr="001305B0">
        <w:rPr>
          <w:rFonts w:cs="Times New Roman"/>
          <w:kern w:val="0"/>
          <w:szCs w:val="24"/>
          <w14:ligatures w14:val="none"/>
        </w:rPr>
        <w:lastRenderedPageBreak/>
        <w:t>extraordinary circumstances, the plan should provide a mechanism for exceptions when counsel demonstrates that a specific claim demanded significant legal labor beyond routine processing.</w:t>
      </w:r>
      <w:r w:rsidRPr="001305B0">
        <w:rPr>
          <w:rFonts w:cs="Times New Roman"/>
          <w:kern w:val="0"/>
          <w:szCs w:val="24"/>
          <w:vertAlign w:val="superscript"/>
          <w14:ligatures w14:val="none"/>
        </w:rPr>
        <w:footnoteReference w:id="8"/>
      </w:r>
    </w:p>
    <w:p w14:paraId="161B8677" w14:textId="77777777" w:rsidR="001305B0" w:rsidRPr="001305B0" w:rsidRDefault="001305B0" w:rsidP="001305B0">
      <w:pPr>
        <w:spacing w:after="0" w:line="240" w:lineRule="auto"/>
        <w:ind w:left="720" w:right="720"/>
        <w:jc w:val="both"/>
        <w:rPr>
          <w:color w:val="000000" w:themeColor="text1"/>
          <w:kern w:val="0"/>
          <w:szCs w:val="24"/>
          <w14:ligatures w14:val="none"/>
        </w:rPr>
      </w:pPr>
      <w:r w:rsidRPr="001305B0">
        <w:rPr>
          <w:rFonts w:eastAsia="Times New Roman" w:cs="Times New Roman"/>
          <w:b/>
          <w:bCs/>
          <w:color w:val="000000"/>
          <w:kern w:val="0"/>
          <w:szCs w:val="24"/>
          <w14:ligatures w14:val="none"/>
        </w:rPr>
        <w:t xml:space="preserve">Best Practice MDL-§ 20(d): </w:t>
      </w:r>
      <w:r w:rsidRPr="001305B0">
        <w:rPr>
          <w:color w:val="000000" w:themeColor="text1"/>
          <w:kern w:val="0"/>
          <w:szCs w:val="24"/>
          <w14:ligatures w14:val="none"/>
        </w:rPr>
        <w:t xml:space="preserve">The bankruptcy judge should inform plan proponents of the expectation for reasonable IRPAs’ contingency-fee provisions and signal that judicial scrutiny may be triggered by compensation levels that exceed suggested benchmarks. </w:t>
      </w:r>
    </w:p>
    <w:p w14:paraId="39023E93" w14:textId="77777777" w:rsidR="001305B0" w:rsidRPr="001305B0" w:rsidRDefault="001305B0" w:rsidP="001305B0">
      <w:pPr>
        <w:spacing w:after="0" w:line="240" w:lineRule="auto"/>
        <w:jc w:val="both"/>
        <w:rPr>
          <w:color w:val="000000" w:themeColor="text1"/>
          <w:kern w:val="0"/>
          <w:szCs w:val="24"/>
          <w14:ligatures w14:val="none"/>
        </w:rPr>
      </w:pPr>
    </w:p>
    <w:p w14:paraId="262761D9" w14:textId="77777777" w:rsidR="001305B0" w:rsidRPr="001305B0" w:rsidRDefault="001305B0" w:rsidP="001305B0">
      <w:pPr>
        <w:spacing w:after="0" w:line="360" w:lineRule="auto"/>
        <w:ind w:firstLine="720"/>
        <w:jc w:val="both"/>
        <w:rPr>
          <w:color w:val="000000" w:themeColor="text1"/>
          <w:kern w:val="0"/>
          <w:szCs w:val="24"/>
          <w14:ligatures w14:val="none"/>
        </w:rPr>
      </w:pPr>
      <w:r w:rsidRPr="001305B0">
        <w:rPr>
          <w:color w:val="000000" w:themeColor="text1"/>
          <w:kern w:val="0"/>
          <w:szCs w:val="24"/>
          <w14:ligatures w14:val="none"/>
        </w:rPr>
        <w:t>Practitioners are primarily responsible for self-regulating their contingency fees to meet ethical and reasonable standards.  But the judiciary maintains a concurrent duty to uphold public trust in the integrity of the bankruptcy system.</w:t>
      </w:r>
      <w:r w:rsidRPr="001305B0">
        <w:rPr>
          <w:color w:val="000000" w:themeColor="text1"/>
          <w:kern w:val="0"/>
          <w:szCs w:val="24"/>
          <w:vertAlign w:val="superscript"/>
          <w14:ligatures w14:val="none"/>
        </w:rPr>
        <w:footnoteReference w:id="9"/>
      </w:r>
      <w:r w:rsidRPr="001305B0">
        <w:rPr>
          <w:color w:val="000000" w:themeColor="text1"/>
          <w:kern w:val="0"/>
          <w:szCs w:val="24"/>
          <w14:ligatures w14:val="none"/>
        </w:rPr>
        <w:t xml:space="preserve"> Judicial oversight is especially critical when attorneys manage a large volume of plaintiffs recruited for the first time after a bankruptcy case has commenced, when the actual work performed is generally ministerial and modest, often restricted to filing claim forms and facilitating settlement distributions.</w:t>
      </w:r>
      <w:r w:rsidRPr="001305B0">
        <w:rPr>
          <w:color w:val="000000" w:themeColor="text1"/>
          <w:kern w:val="0"/>
          <w:szCs w:val="24"/>
          <w:vertAlign w:val="superscript"/>
          <w14:ligatures w14:val="none"/>
        </w:rPr>
        <w:footnoteReference w:id="10"/>
      </w:r>
    </w:p>
    <w:p w14:paraId="4FE19082" w14:textId="77777777" w:rsidR="001305B0" w:rsidRPr="001305B0" w:rsidRDefault="001305B0" w:rsidP="001305B0">
      <w:pPr>
        <w:spacing w:after="0" w:line="360" w:lineRule="auto"/>
        <w:ind w:firstLine="720"/>
        <w:jc w:val="both"/>
        <w:rPr>
          <w:color w:val="000000" w:themeColor="text1"/>
          <w:kern w:val="0"/>
          <w:szCs w:val="24"/>
          <w14:ligatures w14:val="none"/>
        </w:rPr>
      </w:pPr>
      <w:r w:rsidRPr="001305B0">
        <w:rPr>
          <w:color w:val="000000" w:themeColor="text1"/>
          <w:kern w:val="0"/>
          <w:szCs w:val="24"/>
          <w14:ligatures w14:val="none"/>
        </w:rPr>
        <w:t xml:space="preserve">A court’s warning in complex cases that high contingency fees are disfavored usually ensures compliance, with IRPAs often voluntarily lowering their rates to avoid unreasonable outcomes. In line with this practice, the court should signal its expectations for reasonable </w:t>
      </w:r>
      <w:r w:rsidRPr="001305B0">
        <w:rPr>
          <w:color w:val="000000" w:themeColor="text1"/>
          <w:kern w:val="0"/>
          <w:szCs w:val="24"/>
          <w14:ligatures w14:val="none"/>
        </w:rPr>
        <w:lastRenderedPageBreak/>
        <w:t>contingency fees for preparation and processing of bankruptcy claims as part of its deliberation on the acceptance of a TDP within a proposed plan of reorganization.</w:t>
      </w:r>
      <w:r w:rsidRPr="001305B0">
        <w:rPr>
          <w:color w:val="000000" w:themeColor="text1"/>
          <w:kern w:val="0"/>
          <w:szCs w:val="24"/>
          <w:vertAlign w:val="superscript"/>
          <w14:ligatures w14:val="none"/>
        </w:rPr>
        <w:footnoteReference w:id="11"/>
      </w:r>
      <w:r w:rsidRPr="001305B0">
        <w:rPr>
          <w:color w:val="000000" w:themeColor="text1"/>
          <w:kern w:val="0"/>
          <w:szCs w:val="24"/>
          <w14:ligatures w14:val="none"/>
        </w:rPr>
        <w:t xml:space="preserve"> </w:t>
      </w:r>
    </w:p>
    <w:p w14:paraId="1B719A6E" w14:textId="77777777" w:rsidR="001305B0" w:rsidRPr="001305B0" w:rsidRDefault="001305B0" w:rsidP="001305B0">
      <w:pPr>
        <w:spacing w:after="0" w:line="360" w:lineRule="auto"/>
        <w:ind w:firstLine="720"/>
        <w:jc w:val="both"/>
        <w:rPr>
          <w:color w:val="000000" w:themeColor="text1"/>
          <w:kern w:val="0"/>
          <w:szCs w:val="24"/>
          <w14:ligatures w14:val="none"/>
        </w:rPr>
      </w:pPr>
      <w:r w:rsidRPr="001305B0">
        <w:rPr>
          <w:color w:val="000000" w:themeColor="text1"/>
          <w:kern w:val="0"/>
          <w:szCs w:val="24"/>
          <w14:ligatures w14:val="none"/>
        </w:rPr>
        <w:t>While IRPAs in MDLs have demonstrated a willingness to modify fee arrangements (usually at the urging of the court), plan proponents should prepare for pushback from voting IRPAs who may object.</w:t>
      </w:r>
      <w:r w:rsidRPr="001305B0">
        <w:rPr>
          <w:color w:val="000000" w:themeColor="text1"/>
          <w:kern w:val="0"/>
          <w:szCs w:val="24"/>
          <w:vertAlign w:val="superscript"/>
          <w14:ligatures w14:val="none"/>
        </w:rPr>
        <w:footnoteReference w:id="12"/>
      </w:r>
      <w:r w:rsidRPr="001305B0">
        <w:rPr>
          <w:color w:val="000000" w:themeColor="text1"/>
          <w:kern w:val="0"/>
          <w:szCs w:val="24"/>
          <w14:ligatures w14:val="none"/>
        </w:rPr>
        <w:t xml:space="preserve"> The court can address these concerns by issuing early guidance that it intends to scrutinize and potentially disallow any plan featuring excessive or unreasonable IRPA fees.</w:t>
      </w:r>
      <w:r w:rsidRPr="001305B0">
        <w:rPr>
          <w:color w:val="000000" w:themeColor="text1"/>
          <w:kern w:val="0"/>
          <w:szCs w:val="24"/>
          <w:vertAlign w:val="superscript"/>
          <w14:ligatures w14:val="none"/>
        </w:rPr>
        <w:footnoteReference w:id="13"/>
      </w:r>
      <w:r w:rsidRPr="001305B0">
        <w:rPr>
          <w:color w:val="000000" w:themeColor="text1"/>
          <w:kern w:val="0"/>
          <w:szCs w:val="24"/>
          <w14:ligatures w14:val="none"/>
        </w:rPr>
        <w:t xml:space="preserve"> Should a reorganization plan and its TDP reach confirmation without resolving excessive fee structures, however, the court should follow-up its warning and decline to confirm it.</w:t>
      </w:r>
      <w:r w:rsidRPr="001305B0">
        <w:rPr>
          <w:color w:val="000000" w:themeColor="text1"/>
          <w:kern w:val="0"/>
          <w:szCs w:val="24"/>
          <w:vertAlign w:val="superscript"/>
          <w14:ligatures w14:val="none"/>
        </w:rPr>
        <w:footnoteReference w:id="14"/>
      </w:r>
      <w:r w:rsidRPr="001305B0">
        <w:rPr>
          <w:color w:val="000000" w:themeColor="text1"/>
          <w:kern w:val="0"/>
          <w:szCs w:val="24"/>
          <w14:ligatures w14:val="none"/>
        </w:rPr>
        <w:t xml:space="preserve">  </w:t>
      </w:r>
    </w:p>
    <w:p w14:paraId="703E2136" w14:textId="77777777" w:rsidR="001305B0" w:rsidRPr="001305B0" w:rsidRDefault="001305B0" w:rsidP="001305B0">
      <w:pPr>
        <w:spacing w:after="0" w:line="360" w:lineRule="auto"/>
        <w:ind w:firstLine="720"/>
        <w:jc w:val="both"/>
        <w:rPr>
          <w:color w:val="000000" w:themeColor="text1"/>
          <w:kern w:val="0"/>
          <w:szCs w:val="24"/>
          <w14:ligatures w14:val="none"/>
        </w:rPr>
      </w:pPr>
      <w:r w:rsidRPr="001305B0">
        <w:rPr>
          <w:color w:val="000000" w:themeColor="text1"/>
          <w:kern w:val="0"/>
          <w:szCs w:val="24"/>
          <w14:ligatures w14:val="none"/>
        </w:rPr>
        <w:t>In the alternative, the court should consider exercising its inherent authority to directly reduce unreasonable charges.</w:t>
      </w:r>
      <w:r w:rsidRPr="001305B0">
        <w:rPr>
          <w:color w:val="000000" w:themeColor="text1"/>
          <w:kern w:val="0"/>
          <w:szCs w:val="24"/>
          <w:vertAlign w:val="superscript"/>
          <w14:ligatures w14:val="none"/>
        </w:rPr>
        <w:footnoteReference w:id="15"/>
      </w:r>
      <w:r w:rsidRPr="001305B0">
        <w:rPr>
          <w:color w:val="000000" w:themeColor="text1"/>
          <w:kern w:val="0"/>
          <w:szCs w:val="24"/>
          <w14:ligatures w14:val="none"/>
        </w:rPr>
        <w:t xml:space="preserve">  There is considerable caselaw supporting a judge’s power in a civil tort action to reduce contingency fees that are found to be unreasonable and excessive.</w:t>
      </w:r>
      <w:r w:rsidRPr="001305B0">
        <w:rPr>
          <w:color w:val="000000" w:themeColor="text1"/>
          <w:kern w:val="0"/>
          <w:szCs w:val="24"/>
          <w:vertAlign w:val="superscript"/>
          <w14:ligatures w14:val="none"/>
        </w:rPr>
        <w:footnoteReference w:id="16"/>
      </w:r>
      <w:r w:rsidRPr="001305B0">
        <w:rPr>
          <w:color w:val="000000" w:themeColor="text1"/>
          <w:kern w:val="0"/>
          <w:szCs w:val="24"/>
          <w14:ligatures w14:val="none"/>
        </w:rPr>
        <w:t xml:space="preserve">  </w:t>
      </w:r>
      <w:r w:rsidRPr="001305B0">
        <w:rPr>
          <w:color w:val="000000" w:themeColor="text1"/>
          <w:kern w:val="0"/>
          <w:szCs w:val="24"/>
          <w14:ligatures w14:val="none"/>
        </w:rPr>
        <w:lastRenderedPageBreak/>
        <w:t>Courts have invoked three primary sources of authority: their inherent powers, the terms of the settlement agreement, and their responsibility to supervise professional conduct.</w:t>
      </w:r>
      <w:r w:rsidRPr="001305B0">
        <w:rPr>
          <w:color w:val="000000" w:themeColor="text1"/>
          <w:kern w:val="0"/>
          <w:szCs w:val="24"/>
          <w:vertAlign w:val="superscript"/>
          <w14:ligatures w14:val="none"/>
        </w:rPr>
        <w:footnoteReference w:id="17"/>
      </w:r>
      <w:r w:rsidRPr="001305B0">
        <w:rPr>
          <w:color w:val="000000" w:themeColor="text1"/>
          <w:kern w:val="0"/>
          <w:szCs w:val="24"/>
          <w14:ligatures w14:val="none"/>
        </w:rPr>
        <w:t xml:space="preserve"> </w:t>
      </w:r>
    </w:p>
    <w:p w14:paraId="1A8CF7C0" w14:textId="77777777" w:rsidR="001305B0" w:rsidRPr="001305B0" w:rsidRDefault="001305B0" w:rsidP="001305B0">
      <w:pPr>
        <w:spacing w:after="0" w:line="360" w:lineRule="auto"/>
        <w:ind w:firstLine="720"/>
        <w:jc w:val="both"/>
        <w:rPr>
          <w:color w:val="000000" w:themeColor="text1"/>
          <w:kern w:val="0"/>
          <w:szCs w:val="24"/>
          <w14:ligatures w14:val="none"/>
        </w:rPr>
      </w:pPr>
      <w:r w:rsidRPr="001305B0">
        <w:rPr>
          <w:color w:val="000000" w:themeColor="text1"/>
          <w:kern w:val="0"/>
          <w:szCs w:val="24"/>
          <w14:ligatures w14:val="none"/>
        </w:rPr>
        <w:t>Precedent is less definitive on whether a bankruptcy judge can intervene in IRPA fee agreements. The assertion of subject-matter jurisdiction over these agreements as “arising in” Title 11 or “related to” -- predicated on the court’s oversight of the bankruptcy estate -- has been challenged.</w:t>
      </w:r>
      <w:r w:rsidRPr="001305B0">
        <w:rPr>
          <w:color w:val="000000" w:themeColor="text1"/>
          <w:kern w:val="0"/>
          <w:szCs w:val="24"/>
          <w:vertAlign w:val="superscript"/>
          <w14:ligatures w14:val="none"/>
        </w:rPr>
        <w:footnoteReference w:id="18"/>
      </w:r>
      <w:r w:rsidRPr="001305B0">
        <w:rPr>
          <w:color w:val="000000" w:themeColor="text1"/>
          <w:kern w:val="0"/>
          <w:szCs w:val="24"/>
          <w14:ligatures w14:val="none"/>
        </w:rPr>
        <w:t xml:space="preserve">  But separate from this jurisdictional challenge, the court’s authority to supervise professional conduct stands independently.</w:t>
      </w:r>
      <w:r w:rsidRPr="001305B0">
        <w:rPr>
          <w:color w:val="000000" w:themeColor="text1"/>
          <w:kern w:val="0"/>
          <w:szCs w:val="24"/>
          <w:vertAlign w:val="superscript"/>
          <w14:ligatures w14:val="none"/>
        </w:rPr>
        <w:footnoteReference w:id="19"/>
      </w:r>
      <w:r w:rsidRPr="001305B0">
        <w:rPr>
          <w:color w:val="000000" w:themeColor="text1"/>
          <w:kern w:val="0"/>
          <w:szCs w:val="24"/>
          <w14:ligatures w14:val="none"/>
        </w:rPr>
        <w:t xml:space="preserve"> It is well established that IRPAs making an appearance in bankruptcy cases subject themselves to the jurisdiction of the court, including supervision of professional conduct.</w:t>
      </w:r>
      <w:r w:rsidRPr="001305B0">
        <w:rPr>
          <w:color w:val="000000" w:themeColor="text1"/>
          <w:kern w:val="0"/>
          <w:szCs w:val="24"/>
          <w:vertAlign w:val="superscript"/>
          <w14:ligatures w14:val="none"/>
        </w:rPr>
        <w:footnoteReference w:id="20"/>
      </w:r>
      <w:r w:rsidRPr="001305B0">
        <w:rPr>
          <w:color w:val="000000" w:themeColor="text1"/>
          <w:kern w:val="0"/>
          <w:szCs w:val="24"/>
          <w14:ligatures w14:val="none"/>
        </w:rPr>
        <w:t xml:space="preserve"> These independent grounds for exercising jurisdiction over IRPAs’ fee agreements are well established in civil actions and have been favorably relied upon in a few bankruptcy cases.</w:t>
      </w:r>
      <w:r w:rsidRPr="001305B0">
        <w:rPr>
          <w:color w:val="000000" w:themeColor="text1"/>
          <w:kern w:val="0"/>
          <w:szCs w:val="24"/>
          <w:vertAlign w:val="superscript"/>
          <w14:ligatures w14:val="none"/>
        </w:rPr>
        <w:footnoteReference w:id="21"/>
      </w:r>
      <w:r w:rsidRPr="001305B0">
        <w:rPr>
          <w:color w:val="000000" w:themeColor="text1"/>
          <w:kern w:val="0"/>
          <w:szCs w:val="24"/>
          <w14:ligatures w14:val="none"/>
        </w:rPr>
        <w:t xml:space="preserve">  But despite the significant parallels to civil litigation and some precedents, the matter remains unsettled with no definitive standards established.</w:t>
      </w:r>
      <w:r w:rsidRPr="001305B0">
        <w:rPr>
          <w:color w:val="000000" w:themeColor="text1"/>
          <w:kern w:val="0"/>
          <w:szCs w:val="24"/>
          <w:vertAlign w:val="superscript"/>
          <w14:ligatures w14:val="none"/>
        </w:rPr>
        <w:t xml:space="preserve"> </w:t>
      </w:r>
      <w:r w:rsidRPr="001305B0">
        <w:rPr>
          <w:color w:val="000000" w:themeColor="text1"/>
          <w:kern w:val="0"/>
          <w:szCs w:val="24"/>
          <w:vertAlign w:val="superscript"/>
          <w14:ligatures w14:val="none"/>
        </w:rPr>
        <w:footnoteReference w:id="22"/>
      </w:r>
      <w:r w:rsidRPr="001305B0">
        <w:rPr>
          <w:i/>
          <w:iCs/>
          <w:color w:val="000000" w:themeColor="text1"/>
          <w:kern w:val="0"/>
          <w:szCs w:val="24"/>
          <w14:ligatures w14:val="none"/>
        </w:rPr>
        <w:t xml:space="preserve">  </w:t>
      </w:r>
    </w:p>
    <w:p w14:paraId="2D094037" w14:textId="77777777" w:rsidR="001305B0" w:rsidRPr="001305B0" w:rsidRDefault="001305B0" w:rsidP="001305B0">
      <w:pPr>
        <w:spacing w:after="0" w:line="360" w:lineRule="auto"/>
        <w:jc w:val="both"/>
        <w:rPr>
          <w:color w:val="000000" w:themeColor="text1"/>
          <w:kern w:val="0"/>
          <w:szCs w:val="24"/>
          <w14:ligatures w14:val="none"/>
        </w:rPr>
      </w:pPr>
      <w:r w:rsidRPr="001305B0">
        <w:rPr>
          <w:color w:val="000000" w:themeColor="text1"/>
          <w:kern w:val="0"/>
          <w:szCs w:val="24"/>
          <w14:ligatures w14:val="none"/>
        </w:rPr>
        <w:t xml:space="preserve">While definitive standards are currently lacking, to prevent unreasonable and excessive contingency fees, the court should explicitly reserve the authority to ensure that fees of IRPAs do not exceed between 15% and 25% for retainer agreements signed after the petition commencing </w:t>
      </w:r>
      <w:proofErr w:type="gramStart"/>
      <w:r w:rsidRPr="001305B0">
        <w:rPr>
          <w:color w:val="000000" w:themeColor="text1"/>
          <w:kern w:val="0"/>
          <w:szCs w:val="24"/>
          <w14:ligatures w14:val="none"/>
        </w:rPr>
        <w:lastRenderedPageBreak/>
        <w:t>the bankruptcy</w:t>
      </w:r>
      <w:proofErr w:type="gramEnd"/>
      <w:r w:rsidRPr="001305B0">
        <w:rPr>
          <w:color w:val="000000" w:themeColor="text1"/>
          <w:kern w:val="0"/>
          <w:szCs w:val="24"/>
          <w14:ligatures w14:val="none"/>
        </w:rPr>
        <w:t xml:space="preserve"> is filed. The likelihood that an IRPA has performed minimal substantive legal work is most acute after the petition is filed and the prosecution of the case is handled by the Official Creditors Committee and its attorneys. This discretionary measure would serve as a necessary last resort to maintain fee integrity throughout the proceedings.</w:t>
      </w:r>
      <w:r w:rsidRPr="001305B0">
        <w:rPr>
          <w:color w:val="000000" w:themeColor="text1"/>
          <w:kern w:val="0"/>
          <w:szCs w:val="24"/>
          <w:vertAlign w:val="superscript"/>
          <w14:ligatures w14:val="none"/>
        </w:rPr>
        <w:footnoteReference w:id="23"/>
      </w:r>
      <w:r w:rsidRPr="001305B0">
        <w:rPr>
          <w:color w:val="000000" w:themeColor="text1"/>
          <w:kern w:val="0"/>
          <w:szCs w:val="24"/>
          <w14:ligatures w14:val="none"/>
        </w:rPr>
        <w:t xml:space="preserve"> Absent such judicial signals,</w:t>
      </w:r>
      <w:r w:rsidRPr="001305B0">
        <w:rPr>
          <w:i/>
          <w:iCs/>
          <w:color w:val="000000" w:themeColor="text1"/>
          <w:kern w:val="0"/>
          <w:szCs w:val="24"/>
          <w14:ligatures w14:val="none"/>
        </w:rPr>
        <w:t xml:space="preserve"> </w:t>
      </w:r>
      <w:r w:rsidRPr="001305B0">
        <w:rPr>
          <w:color w:val="000000" w:themeColor="text1"/>
          <w:kern w:val="0"/>
          <w:szCs w:val="24"/>
          <w14:ligatures w14:val="none"/>
        </w:rPr>
        <w:t>the plan proponents may not be able to overcome the objections of voting IRPAs.</w:t>
      </w:r>
    </w:p>
    <w:p w14:paraId="3DA3E0AD" w14:textId="77777777" w:rsidR="00C624D6" w:rsidRDefault="00C624D6"/>
    <w:sectPr w:rsidR="00C624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DBBEB" w14:textId="77777777" w:rsidR="0053558C" w:rsidRDefault="0053558C" w:rsidP="001305B0">
      <w:pPr>
        <w:spacing w:after="0" w:line="240" w:lineRule="auto"/>
      </w:pPr>
      <w:r>
        <w:separator/>
      </w:r>
    </w:p>
  </w:endnote>
  <w:endnote w:type="continuationSeparator" w:id="0">
    <w:p w14:paraId="23FEDDDB" w14:textId="77777777" w:rsidR="0053558C" w:rsidRDefault="0053558C" w:rsidP="00130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1CAD8" w14:textId="77777777" w:rsidR="0053558C" w:rsidRDefault="0053558C" w:rsidP="001305B0">
      <w:pPr>
        <w:spacing w:after="0" w:line="240" w:lineRule="auto"/>
      </w:pPr>
      <w:r>
        <w:separator/>
      </w:r>
    </w:p>
  </w:footnote>
  <w:footnote w:type="continuationSeparator" w:id="0">
    <w:p w14:paraId="3DD52A5A" w14:textId="77777777" w:rsidR="0053558C" w:rsidRDefault="0053558C" w:rsidP="001305B0">
      <w:pPr>
        <w:spacing w:after="0" w:line="240" w:lineRule="auto"/>
      </w:pPr>
      <w:r>
        <w:continuationSeparator/>
      </w:r>
    </w:p>
  </w:footnote>
  <w:footnote w:id="1">
    <w:p w14:paraId="56F1520D" w14:textId="77777777" w:rsidR="001305B0" w:rsidRPr="00D843BC" w:rsidRDefault="001305B0" w:rsidP="001305B0">
      <w:pPr>
        <w:pStyle w:val="FootnoteText"/>
        <w:jc w:val="both"/>
      </w:pPr>
      <w:r>
        <w:rPr>
          <w:rStyle w:val="FootnoteReference"/>
        </w:rPr>
        <w:footnoteRef/>
      </w:r>
      <w:r>
        <w:t xml:space="preserve"> </w:t>
      </w:r>
      <w:r w:rsidRPr="00745D61">
        <w:rPr>
          <w:i/>
          <w:iCs/>
        </w:rPr>
        <w:t>See</w:t>
      </w:r>
      <w:r w:rsidRPr="00A45EC6">
        <w:rPr>
          <w:i/>
          <w:iCs/>
        </w:rPr>
        <w:t xml:space="preserve"> </w:t>
      </w:r>
      <w:r>
        <w:rPr>
          <w:i/>
          <w:iCs/>
        </w:rPr>
        <w:t xml:space="preserve">In Re National Prescription Opiate, </w:t>
      </w:r>
      <w:r w:rsidRPr="00B31170">
        <w:t>M</w:t>
      </w:r>
      <w:r w:rsidRPr="00D843BC">
        <w:t>DL 2804, Order, Doc. 3814, p. 7 (August 6, 2021) (“When attorneys’ contingent fee contracts yield unreasonable or excessive amounts, the outsized payments to lawyers can undermine public faith in the judicial system.”);</w:t>
      </w:r>
      <w:r w:rsidRPr="00D843BC">
        <w:rPr>
          <w:i/>
          <w:iCs/>
        </w:rPr>
        <w:t xml:space="preserve"> see also Boys Scouts of America and Delaware BSA, LLC</w:t>
      </w:r>
      <w:r w:rsidRPr="00D843BC">
        <w:t>, Case No. 20-10343, Motion for an Order Allowing Substitution of Attorneys and Denying Fees to Slater Law Firm, Doc. 13181, p. 5 (October 14, 2025) (movants allege that plaintiff attorneys’ 40% contingency fee arrangements with 14,600 post-petition clients who might elect option of an express payment of $3,500 would be eligible for compensation of more than $200 million).</w:t>
      </w:r>
    </w:p>
  </w:footnote>
  <w:footnote w:id="2">
    <w:p w14:paraId="02E58EEC" w14:textId="77777777" w:rsidR="001305B0" w:rsidRPr="00D843BC" w:rsidRDefault="001305B0" w:rsidP="001305B0">
      <w:pPr>
        <w:pStyle w:val="FootnoteText"/>
        <w:jc w:val="both"/>
      </w:pPr>
      <w:r w:rsidRPr="00D843BC">
        <w:rPr>
          <w:rStyle w:val="FootnoteReference"/>
        </w:rPr>
        <w:footnoteRef/>
      </w:r>
      <w:r w:rsidRPr="00D843BC">
        <w:t xml:space="preserve"> </w:t>
      </w:r>
      <w:r w:rsidRPr="00D843BC">
        <w:rPr>
          <w:i/>
          <w:iCs/>
        </w:rPr>
        <w:t>See</w:t>
      </w:r>
      <w:r w:rsidRPr="00D843BC">
        <w:t xml:space="preserve"> </w:t>
      </w:r>
      <w:r w:rsidRPr="00D843BC">
        <w:rPr>
          <w:i/>
          <w:iCs/>
        </w:rPr>
        <w:t>In Re: Vioxx,</w:t>
      </w:r>
      <w:r w:rsidRPr="00D843BC">
        <w:t xml:space="preserve"> MDL No. 1657, Order and Reasons, Doc. 15722, p. 12 (August 27, 2008) (court noted that many IRPAs’ contingent fees in </w:t>
      </w:r>
      <w:r w:rsidRPr="00D843BC">
        <w:rPr>
          <w:i/>
          <w:iCs/>
        </w:rPr>
        <w:t>Vioxx</w:t>
      </w:r>
      <w:r w:rsidRPr="00D843BC">
        <w:t xml:space="preserve"> were 33% of the claimant’s net recovery, but others were 40% and “even 50% contingent fee contracts”); </w:t>
      </w:r>
      <w:r w:rsidRPr="00D843BC">
        <w:rPr>
          <w:i/>
          <w:iCs/>
        </w:rPr>
        <w:t>see also</w:t>
      </w:r>
      <w:r w:rsidRPr="00D843BC">
        <w:t xml:space="preserve"> Dennis Curtis &amp; Judith Resnick, Contingent Fees in Mass Torts, 47 DePaul Law Review 425, 434-35 (1998) (enumerating six reasons given in case law for reducing IRPAs unreasonable and excessive contingency fees).</w:t>
      </w:r>
    </w:p>
  </w:footnote>
  <w:footnote w:id="3">
    <w:p w14:paraId="3BA8B12D" w14:textId="77777777" w:rsidR="001305B0" w:rsidRPr="001F6D39" w:rsidRDefault="001305B0" w:rsidP="001305B0">
      <w:pPr>
        <w:pStyle w:val="FootnoteText"/>
        <w:jc w:val="both"/>
      </w:pPr>
      <w:r w:rsidRPr="00D843BC">
        <w:rPr>
          <w:rStyle w:val="FootnoteReference"/>
        </w:rPr>
        <w:footnoteRef/>
      </w:r>
      <w:r w:rsidRPr="00D843BC">
        <w:t xml:space="preserve"> Although some attorneys in pre-petition civil litigation may also provide little services beyond client acquisition -- </w:t>
      </w:r>
      <w:r w:rsidRPr="001F6D39">
        <w:t>much like those handling post-petition claims -- the likelihood that significant pre-petition work was performed is higher. Consequently, while these contingency fees should logically be subject to reduction, any such adjustment would necessitate more rigorous, individualized scrutiny. (</w:t>
      </w:r>
      <w:r w:rsidRPr="001F6D39">
        <w:rPr>
          <w:i/>
          <w:iCs/>
        </w:rPr>
        <w:t>See</w:t>
      </w:r>
      <w:r w:rsidRPr="001F6D39">
        <w:t xml:space="preserve"> 11 U.S.C. </w:t>
      </w:r>
      <w:r w:rsidRPr="001F6D39">
        <w:rPr>
          <w:rFonts w:cs="Times New Roman"/>
        </w:rPr>
        <w:t>§</w:t>
      </w:r>
      <w:r w:rsidRPr="001F6D39">
        <w:t xml:space="preserve"> 330(a) for factors requiring individualized scrutiny to consider when awarding compensation to professional persons, including attorneys, employed by Official Creditors Committee.) Additionally, unlike post-petition claims, pre-petition filings involve real financial risk and out-of-pocket expenses for IRPAs. This reinforces the argument for focusing fee reductions on post-petition claims, though pre-petition fees should still be scrutinized, when necessary, </w:t>
      </w:r>
      <w:r w:rsidRPr="001F6D39">
        <w:rPr>
          <w:i/>
          <w:iCs/>
        </w:rPr>
        <w:t>e.g</w:t>
      </w:r>
      <w:r w:rsidRPr="001F6D39">
        <w:t xml:space="preserve">., claims filed shortly before bankruptcy filing.   </w:t>
      </w:r>
    </w:p>
  </w:footnote>
  <w:footnote w:id="4">
    <w:p w14:paraId="51A1E317" w14:textId="77777777" w:rsidR="001305B0" w:rsidRPr="001F6D39" w:rsidRDefault="001305B0" w:rsidP="001305B0">
      <w:pPr>
        <w:pStyle w:val="FootnoteText"/>
        <w:jc w:val="both"/>
      </w:pPr>
      <w:r w:rsidRPr="001F6D39">
        <w:rPr>
          <w:rStyle w:val="FootnoteReference"/>
        </w:rPr>
        <w:footnoteRef/>
      </w:r>
      <w:r w:rsidRPr="001F6D39">
        <w:t xml:space="preserve"> </w:t>
      </w:r>
      <w:r w:rsidRPr="001F6D39">
        <w:rPr>
          <w:i/>
          <w:iCs/>
        </w:rPr>
        <w:t>See</w:t>
      </w:r>
      <w:r w:rsidRPr="001F6D39">
        <w:t xml:space="preserve"> Final Plan Documents, Annex A to the Settlement Facility Agreement, Claims Resolution Procedures, Claimants’ Advisory Committee, Dow Corning Chapter 11 bankruptcy at </w:t>
      </w:r>
      <w:hyperlink r:id="rId1" w:history="1">
        <w:r w:rsidRPr="001F6D39">
          <w:rPr>
            <w:rStyle w:val="Hyperlink"/>
          </w:rPr>
          <w:t>https://www.tortcomm.org/plandocs.shtml</w:t>
        </w:r>
      </w:hyperlink>
      <w:r w:rsidRPr="001F6D39">
        <w:t xml:space="preserve"> (Claimants’ Advisory Committee created by district court on May 20, 2004, with indefinite duration. Website contains various agreements reached between the Tort Claimants’ Committee and Dow Corning Corporation.).</w:t>
      </w:r>
    </w:p>
  </w:footnote>
  <w:footnote w:id="5">
    <w:p w14:paraId="4A91CEBC" w14:textId="77777777" w:rsidR="001305B0" w:rsidRPr="001F6D39" w:rsidRDefault="001305B0" w:rsidP="001305B0">
      <w:pPr>
        <w:pStyle w:val="FootnoteText"/>
        <w:jc w:val="both"/>
      </w:pPr>
      <w:r w:rsidRPr="001F6D39">
        <w:rPr>
          <w:rStyle w:val="FootnoteReference"/>
        </w:rPr>
        <w:footnoteRef/>
      </w:r>
      <w:r w:rsidRPr="001F6D39">
        <w:t xml:space="preserve"> </w:t>
      </w:r>
      <w:r w:rsidRPr="001F6D39">
        <w:rPr>
          <w:i/>
          <w:iCs/>
        </w:rPr>
        <w:t xml:space="preserve">See In Re National Prescription Opiate, </w:t>
      </w:r>
      <w:r w:rsidRPr="001F6D39">
        <w:t xml:space="preserve">MDL 2804, Order, Doc. 3814, p. 1 (August 6, 2021) (capping contingent fee agreements at 15%); </w:t>
      </w:r>
      <w:r w:rsidRPr="001F6D39">
        <w:rPr>
          <w:i/>
          <w:iCs/>
        </w:rPr>
        <w:t>see also In Re: Vioxx,</w:t>
      </w:r>
      <w:r w:rsidRPr="001F6D39">
        <w:t xml:space="preserve"> MDL No. 1657, Order and Reasons, Doc. 15722, p. 1, 17-18 (August 27, 2008) (while capping IRPAs’ fees “at 32% plus reasonable costs” court noted decisions by other MDL courts, including</w:t>
      </w:r>
      <w:r w:rsidRPr="001F6D39">
        <w:rPr>
          <w:i/>
          <w:iCs/>
        </w:rPr>
        <w:t xml:space="preserve"> In Re Guidant</w:t>
      </w:r>
      <w:r w:rsidRPr="001F6D39">
        <w:t xml:space="preserve"> fees capped at 20%; </w:t>
      </w:r>
      <w:r w:rsidRPr="001F6D39">
        <w:rPr>
          <w:i/>
          <w:iCs/>
        </w:rPr>
        <w:t xml:space="preserve">In Re Silicone Gel Breast Implant </w:t>
      </w:r>
      <w:r w:rsidRPr="001F6D39">
        <w:t xml:space="preserve">fees capped at 25%; and </w:t>
      </w:r>
      <w:r w:rsidRPr="001F6D39">
        <w:rPr>
          <w:i/>
          <w:iCs/>
        </w:rPr>
        <w:t>In Re Zyprexa</w:t>
      </w:r>
      <w:r w:rsidRPr="001F6D39">
        <w:t xml:space="preserve"> fees capped at 35%); </w:t>
      </w:r>
      <w:r w:rsidRPr="001F6D39">
        <w:rPr>
          <w:i/>
          <w:iCs/>
        </w:rPr>
        <w:t>see also In Re: Syngenta AG Mir 162 Litigation MDL,</w:t>
      </w:r>
      <w:r w:rsidRPr="001F6D39">
        <w:t xml:space="preserve"> (4</w:t>
      </w:r>
      <w:r w:rsidRPr="001F6D39">
        <w:rPr>
          <w:vertAlign w:val="superscript"/>
        </w:rPr>
        <w:t>th</w:t>
      </w:r>
      <w:r w:rsidRPr="001F6D39">
        <w:t xml:space="preserve"> Cir. 2023) (Court approved lower court’s capping IRPAs’ contingency fee at 10%, favorably viewing the court’s conclusion that “As the court saw it, the rub was that other counsel ‘relieved’ the IRPAs from ‘having to do any work to advance their clients’ lawsuits or to add value to their claims.” The lower court also concluded that “the time and expense that IRPAs incurred in recruiting and communicating with clients, filling out forms, monitoring the litigation, and the like did not contribute to the ultimate recovery.”); s</w:t>
      </w:r>
      <w:r w:rsidRPr="001F6D39">
        <w:rPr>
          <w:i/>
          <w:iCs/>
        </w:rPr>
        <w:t>ee also In Re: National Football League Players’ Concussion Injury</w:t>
      </w:r>
      <w:r w:rsidRPr="001F6D39">
        <w:t xml:space="preserve">, MDL No. 2323, Doc. 9860, p. 2 (April 5, 2018) (court capped IRPAs’ contingency fee at 11%); </w:t>
      </w:r>
      <w:r w:rsidRPr="001F6D39">
        <w:rPr>
          <w:i/>
          <w:iCs/>
        </w:rPr>
        <w:t>see also In Re Flint Water Cases</w:t>
      </w:r>
      <w:r w:rsidRPr="001F6D39">
        <w:t>, Case 5:16-cv-10444-JEL-EAS, Opinion and Order, ECF No. 2105, PageID.72046, p. 58 (E.D. Mich. Feb. 4, 2022) (court reduced contingency fee from 10% to 8% for IRPAs filing claims after the settlement was announced to account for lower risk and reduced time).</w:t>
      </w:r>
    </w:p>
  </w:footnote>
  <w:footnote w:id="6">
    <w:p w14:paraId="56B4D2EB" w14:textId="77777777" w:rsidR="001305B0" w:rsidRPr="001F6D39" w:rsidRDefault="001305B0" w:rsidP="001305B0">
      <w:pPr>
        <w:pStyle w:val="FootnoteText"/>
        <w:jc w:val="both"/>
      </w:pPr>
      <w:r w:rsidRPr="001F6D39">
        <w:rPr>
          <w:rStyle w:val="FootnoteReference"/>
        </w:rPr>
        <w:footnoteRef/>
      </w:r>
      <w:r w:rsidRPr="001F6D39">
        <w:t xml:space="preserve"> </w:t>
      </w:r>
      <w:r w:rsidRPr="001F6D39">
        <w:rPr>
          <w:i/>
          <w:iCs/>
        </w:rPr>
        <w:t>See</w:t>
      </w:r>
      <w:r w:rsidRPr="001F6D39">
        <w:t xml:space="preserve"> </w:t>
      </w:r>
      <w:r w:rsidRPr="001F6D39">
        <w:rPr>
          <w:i/>
          <w:iCs/>
        </w:rPr>
        <w:t>In Re: Vioxx,</w:t>
      </w:r>
      <w:r w:rsidRPr="001F6D39">
        <w:t xml:space="preserve"> MDL No. 1657, Order and Reasons, Doc. 15722, p. 15 (August 27, 2008) (describing various state laws capping IRPAs’ contingency fees, several on a sliding scale from 33% to 20% based on the settlement amounts); </w:t>
      </w:r>
      <w:r w:rsidRPr="001F6D39">
        <w:rPr>
          <w:i/>
          <w:iCs/>
        </w:rPr>
        <w:t>see also In Re Zyprexa</w:t>
      </w:r>
      <w:r w:rsidRPr="001F6D39">
        <w:t>, 424 F. Supp 2d 488, 495 (E.D.N.Y. 2006) (after surveying courts found that the trend in the states is to limit “contingent fees in substantial cases to 33% or less of net recovery where fees are large”).</w:t>
      </w:r>
    </w:p>
  </w:footnote>
  <w:footnote w:id="7">
    <w:p w14:paraId="720C6C4B" w14:textId="77777777" w:rsidR="001305B0" w:rsidRPr="001F6D39" w:rsidRDefault="001305B0" w:rsidP="001305B0">
      <w:pPr>
        <w:pStyle w:val="FootnoteText"/>
        <w:jc w:val="both"/>
      </w:pPr>
      <w:r w:rsidRPr="001F6D39">
        <w:rPr>
          <w:rStyle w:val="FootnoteReference"/>
        </w:rPr>
        <w:footnoteRef/>
      </w:r>
      <w:r w:rsidRPr="001F6D39">
        <w:t xml:space="preserve"> </w:t>
      </w:r>
      <w:r w:rsidRPr="001F6D39">
        <w:rPr>
          <w:i/>
          <w:iCs/>
        </w:rPr>
        <w:t>See</w:t>
      </w:r>
      <w:r w:rsidRPr="001F6D39">
        <w:t xml:space="preserve"> </w:t>
      </w:r>
      <w:r w:rsidRPr="001F6D39">
        <w:rPr>
          <w:i/>
          <w:iCs/>
        </w:rPr>
        <w:t>In Re A.H. Robins Co., Inc.,</w:t>
      </w:r>
      <w:r w:rsidRPr="001F6D39">
        <w:t>86 F. 3d 364 (4</w:t>
      </w:r>
      <w:r w:rsidRPr="001F6D39">
        <w:rPr>
          <w:vertAlign w:val="superscript"/>
        </w:rPr>
        <w:t>th</w:t>
      </w:r>
      <w:r w:rsidRPr="001F6D39">
        <w:t xml:space="preserve"> Cir. 1996) (Court approved imposition of an across-the-board fee reduction and rejected argument that the order capping fees and placing burden of proof as to the reasonableness of fees on all IRPAs violated due process because IRPAs were given an opportunity to show cause for a departure.).</w:t>
      </w:r>
    </w:p>
  </w:footnote>
  <w:footnote w:id="8">
    <w:p w14:paraId="61A35ACD" w14:textId="77777777" w:rsidR="001305B0" w:rsidRPr="001F6D39" w:rsidRDefault="001305B0" w:rsidP="001305B0">
      <w:pPr>
        <w:pStyle w:val="FootnoteText"/>
        <w:jc w:val="both"/>
      </w:pPr>
      <w:r w:rsidRPr="001F6D39">
        <w:rPr>
          <w:rStyle w:val="FootnoteReference"/>
        </w:rPr>
        <w:footnoteRef/>
      </w:r>
      <w:r w:rsidRPr="001F6D39">
        <w:t xml:space="preserve"> </w:t>
      </w:r>
      <w:r w:rsidRPr="001F6D39">
        <w:rPr>
          <w:i/>
          <w:iCs/>
        </w:rPr>
        <w:t>See In Re National Prescription Opiate</w:t>
      </w:r>
      <w:r w:rsidRPr="001F6D39">
        <w:t xml:space="preserve">, MDL 2804, Order, Doc. 3814, p. 16 (Aug. 6, 2021) (Court establishes procedures for an IRPA to seek an upward fee departure for “extraordinary” work. But an assessment of fee reasonableness in the bankruptcy context must weigh such work against the absence of the traditional litigation burdens that justify a standard 40% contingency fee, which may include not only “extraordinary work” in facilitating distributions, but also claim investigation, pleading, discovery, expert testimony, and depositions. Because bankruptcy proceedings largely omit these tasks and involve significantly lower contingency risks, counsel faces a high bar in justifying a standard litigation percentage based solely on “extraordinary work” performed on a single task </w:t>
      </w:r>
    </w:p>
  </w:footnote>
  <w:footnote w:id="9">
    <w:p w14:paraId="52DF577E" w14:textId="77777777" w:rsidR="001305B0" w:rsidRPr="001F6D39" w:rsidRDefault="001305B0" w:rsidP="001305B0">
      <w:pPr>
        <w:pStyle w:val="FootnoteText"/>
        <w:jc w:val="both"/>
      </w:pPr>
      <w:r w:rsidRPr="001F6D39">
        <w:rPr>
          <w:rStyle w:val="FootnoteReference"/>
        </w:rPr>
        <w:footnoteRef/>
      </w:r>
      <w:r w:rsidRPr="001F6D39">
        <w:t xml:space="preserve"> S</w:t>
      </w:r>
      <w:r w:rsidRPr="001F6D39">
        <w:rPr>
          <w:i/>
          <w:iCs/>
        </w:rPr>
        <w:t>ee In Re A.H. Robins Co., Inc.,</w:t>
      </w:r>
      <w:r w:rsidRPr="001F6D39">
        <w:t>86 F. 3d 364 (4</w:t>
      </w:r>
      <w:r w:rsidRPr="001F6D39">
        <w:rPr>
          <w:vertAlign w:val="superscript"/>
        </w:rPr>
        <w:t>th</w:t>
      </w:r>
      <w:r w:rsidRPr="001F6D39">
        <w:t xml:space="preserve"> Cir. 1996) (“The court’s authority to supervise members of the bar, its inherent powers to regulate attorney-client relations and compliance with ethical standards by attorneys, the equitable powers of the court under 11 U.S.C. </w:t>
      </w:r>
      <w:r w:rsidRPr="001F6D39">
        <w:rPr>
          <w:rFonts w:cs="Times New Roman"/>
        </w:rPr>
        <w:t>§</w:t>
      </w:r>
      <w:r w:rsidRPr="001F6D39">
        <w:t xml:space="preserve"> 105(a) and the inherent equitable powers of the court, render the contingent fee contract of attorneys representing </w:t>
      </w:r>
      <w:proofErr w:type="spellStart"/>
      <w:r w:rsidRPr="001F6D39">
        <w:t>Dalkon</w:t>
      </w:r>
      <w:proofErr w:type="spellEnd"/>
      <w:r w:rsidRPr="001F6D39">
        <w:t xml:space="preserve"> Shield subject to the supervision of this court to ensure that excessive or unreasonable fees are not charged or recovered by counsel.”); </w:t>
      </w:r>
      <w:r w:rsidRPr="001F6D39">
        <w:rPr>
          <w:i/>
          <w:iCs/>
        </w:rPr>
        <w:t>see also</w:t>
      </w:r>
      <w:r w:rsidRPr="001F6D39">
        <w:t xml:space="preserve"> </w:t>
      </w:r>
      <w:r w:rsidRPr="001F6D39">
        <w:rPr>
          <w:i/>
          <w:iCs/>
        </w:rPr>
        <w:t>In re Diocese of Camden, New Jersey</w:t>
      </w:r>
      <w:r w:rsidRPr="001F6D39">
        <w:t>, 653 B.R. 309, 361 (</w:t>
      </w:r>
      <w:proofErr w:type="spellStart"/>
      <w:r w:rsidRPr="001F6D39">
        <w:t>Bankr</w:t>
      </w:r>
      <w:proofErr w:type="spellEnd"/>
      <w:r w:rsidRPr="001F6D39">
        <w:t xml:space="preserve">. D.N.J. 2023) (“Courts have inherent authority, indeed ‘responsibility to supervise the members of its bar in both individual and mass actions, including the right to review contingency fee contracts for fairness.’”); </w:t>
      </w:r>
      <w:r w:rsidRPr="001F6D39">
        <w:rPr>
          <w:i/>
          <w:iCs/>
        </w:rPr>
        <w:t>see also</w:t>
      </w:r>
      <w:r w:rsidRPr="001F6D39">
        <w:t xml:space="preserve"> Common Benefit Fees In Multidistrict Litigation, Hon. Eldon Fallon, 74 Louisiana Law Review, No. 2, p. 371, 379 (2014) (courts rely on several legal bases  to review and alter contingent fee contracts, including: (1) court’s equitable  authority to oversee administration of settlement; (2) inherent authority to exercise ethical supervision over the parties; and (3) court’s express authority pursuant  to terms of settlement agreement).</w:t>
      </w:r>
    </w:p>
  </w:footnote>
  <w:footnote w:id="10">
    <w:p w14:paraId="5D2C61A0" w14:textId="77777777" w:rsidR="001305B0" w:rsidRPr="001F6D39" w:rsidRDefault="001305B0" w:rsidP="001305B0">
      <w:pPr>
        <w:pStyle w:val="FootnoteText"/>
        <w:jc w:val="both"/>
      </w:pPr>
      <w:r w:rsidRPr="001F6D39">
        <w:rPr>
          <w:rStyle w:val="FootnoteReference"/>
        </w:rPr>
        <w:footnoteRef/>
      </w:r>
      <w:r w:rsidRPr="001F6D39">
        <w:t xml:space="preserve"> </w:t>
      </w:r>
      <w:r w:rsidRPr="001F6D39">
        <w:rPr>
          <w:i/>
          <w:iCs/>
        </w:rPr>
        <w:t>In Re: Vioxx,</w:t>
      </w:r>
      <w:r w:rsidRPr="001F6D39">
        <w:t xml:space="preserve"> MDL No. 1657, Order and Reasons, Doc. 15722, p. 11 (August 27, 2008) (“The potential harm to the public’s perception of the judicial process is especially acute in the instant case because of the large number of claimants participating in the settlement.”);</w:t>
      </w:r>
      <w:r w:rsidRPr="001F6D39">
        <w:rPr>
          <w:i/>
          <w:iCs/>
        </w:rPr>
        <w:t xml:space="preserve"> see also Boys Scouts of America and Delaware BSA, LLC</w:t>
      </w:r>
      <w:r w:rsidRPr="001F6D39">
        <w:t xml:space="preserve">, Case No. 20-10343, Motion for an Order Allowing Substitution of Attorneys and Denying Fees to Slater Law Firm, Doc. 13181, p. 15 (October 14, 2025) (movants allege that the  “’heavy lifting’ at the settlement negotiation table was done by the Official Tort Claimants Committee. Slater did not litigate any issue and did not perform any significant or meaningful legal work.  Slater did not do any work beyond that of a paralegal at best.”). </w:t>
      </w:r>
    </w:p>
  </w:footnote>
  <w:footnote w:id="11">
    <w:p w14:paraId="0AAA23B3" w14:textId="77777777" w:rsidR="001305B0" w:rsidRPr="001F6D39" w:rsidRDefault="001305B0" w:rsidP="001305B0">
      <w:pPr>
        <w:pStyle w:val="FootnoteText"/>
        <w:jc w:val="both"/>
      </w:pPr>
      <w:r w:rsidRPr="001F6D39">
        <w:rPr>
          <w:rStyle w:val="FootnoteReference"/>
        </w:rPr>
        <w:footnoteRef/>
      </w:r>
      <w:r w:rsidRPr="001F6D39">
        <w:t xml:space="preserve"> </w:t>
      </w:r>
      <w:r w:rsidRPr="001F6D39">
        <w:rPr>
          <w:i/>
          <w:iCs/>
        </w:rPr>
        <w:t>See</w:t>
      </w:r>
      <w:r w:rsidRPr="001F6D39">
        <w:t xml:space="preserve"> </w:t>
      </w:r>
      <w:r w:rsidRPr="001F6D39">
        <w:rPr>
          <w:i/>
          <w:iCs/>
        </w:rPr>
        <w:t>In re Vail Development, LLC</w:t>
      </w:r>
      <w:r w:rsidRPr="001F6D39">
        <w:t>, Case No. 08-26920 HRT, Doc. 639 (</w:t>
      </w:r>
      <w:proofErr w:type="spellStart"/>
      <w:r w:rsidRPr="001F6D39">
        <w:t>Bankr</w:t>
      </w:r>
      <w:proofErr w:type="spellEnd"/>
      <w:r w:rsidRPr="001F6D39">
        <w:t xml:space="preserve">. D. Col. 2010) (court recommended that plan proponents modify their plan to provide for court review of IRPAs’ fee arrangements); </w:t>
      </w:r>
      <w:r w:rsidRPr="001F6D39">
        <w:rPr>
          <w:i/>
          <w:iCs/>
        </w:rPr>
        <w:t>see also</w:t>
      </w:r>
      <w:r w:rsidRPr="001F6D39">
        <w:t xml:space="preserve"> </w:t>
      </w:r>
      <w:proofErr w:type="gramStart"/>
      <w:r w:rsidRPr="001F6D39">
        <w:rPr>
          <w:i/>
          <w:iCs/>
        </w:rPr>
        <w:t>In</w:t>
      </w:r>
      <w:proofErr w:type="gramEnd"/>
      <w:r w:rsidRPr="001F6D39">
        <w:rPr>
          <w:i/>
          <w:iCs/>
        </w:rPr>
        <w:t xml:space="preserve"> re Diocese of Camden, New Jersey</w:t>
      </w:r>
      <w:r w:rsidRPr="001F6D39">
        <w:t>, 653 B.R. 309, 361–62 (</w:t>
      </w:r>
      <w:proofErr w:type="spellStart"/>
      <w:r w:rsidRPr="001F6D39">
        <w:t>Bankr</w:t>
      </w:r>
      <w:proofErr w:type="spellEnd"/>
      <w:r w:rsidRPr="001F6D39">
        <w:t xml:space="preserve">. D.N.J. 2023) (declining plan confirmation, in part, on the grounds that proposed IRPAs’ contingency fees were unreasonable and excessive); </w:t>
      </w:r>
      <w:r w:rsidRPr="001F6D39">
        <w:rPr>
          <w:i/>
          <w:iCs/>
        </w:rPr>
        <w:t>see also In Re Flint Water Cases</w:t>
      </w:r>
      <w:r w:rsidRPr="001F6D39">
        <w:t>, Case 5:16-cv-10444-JEL-EAS, Opinion and Order, ECF No. 2105, PageID.72046, (E.D. Mich. Feb. 4, 2022) (reducing IRPAs’ contingency fees for claims filed after the settlement was announced on grounds that “the risk of non-recovery, and therefore the contingent nature of counsel’s work, dropped dramatically and ultimately disappeared.”).</w:t>
      </w:r>
    </w:p>
  </w:footnote>
  <w:footnote w:id="12">
    <w:p w14:paraId="3C284512" w14:textId="77777777" w:rsidR="001305B0" w:rsidRPr="001F6D39" w:rsidRDefault="001305B0" w:rsidP="001305B0">
      <w:pPr>
        <w:pStyle w:val="FootnoteText"/>
        <w:jc w:val="both"/>
      </w:pPr>
      <w:r w:rsidRPr="001F6D39">
        <w:rPr>
          <w:rStyle w:val="FootnoteReference"/>
        </w:rPr>
        <w:footnoteRef/>
      </w:r>
      <w:r w:rsidRPr="001F6D39">
        <w:t xml:space="preserve"> </w:t>
      </w:r>
      <w:r w:rsidRPr="001F6D39">
        <w:rPr>
          <w:i/>
          <w:iCs/>
        </w:rPr>
        <w:t xml:space="preserve">See In Re National Prescription Opiate, </w:t>
      </w:r>
      <w:r w:rsidRPr="001F6D39">
        <w:t>MDL 2804, Order, Doc. 3814, p. 8 (August 6, 2021) (“orders capping fees are often unpopular with the plaintiffs’ bar).  Furthermore, if every tort claim is assigned a uniform value of $1, a small number of IRPAs with extensive inventories of modest claims could effectively veto any proposed plan that incorporates fee reductions – another reason supporting a best practice that estimates the value of every tort claim.</w:t>
      </w:r>
    </w:p>
  </w:footnote>
  <w:footnote w:id="13">
    <w:p w14:paraId="6FEEA278" w14:textId="77777777" w:rsidR="001305B0" w:rsidRPr="001F6D39" w:rsidRDefault="001305B0" w:rsidP="001305B0">
      <w:pPr>
        <w:pStyle w:val="FootnoteText"/>
        <w:jc w:val="both"/>
      </w:pPr>
      <w:r w:rsidRPr="001F6D39">
        <w:rPr>
          <w:rStyle w:val="FootnoteReference"/>
        </w:rPr>
        <w:footnoteRef/>
      </w:r>
      <w:r w:rsidRPr="001F6D39">
        <w:t xml:space="preserve"> </w:t>
      </w:r>
      <w:r w:rsidRPr="001F6D39">
        <w:rPr>
          <w:i/>
          <w:iCs/>
        </w:rPr>
        <w:t>See</w:t>
      </w:r>
      <w:r w:rsidRPr="001F6D39">
        <w:t xml:space="preserve"> </w:t>
      </w:r>
      <w:r w:rsidRPr="001F6D39">
        <w:rPr>
          <w:i/>
          <w:iCs/>
        </w:rPr>
        <w:t>In re Diocese of Camden, New Jersey</w:t>
      </w:r>
      <w:r w:rsidRPr="001F6D39">
        <w:t>, 653 B.R. 309, 361–62 (</w:t>
      </w:r>
      <w:proofErr w:type="spellStart"/>
      <w:r w:rsidRPr="001F6D39">
        <w:t>Bankr</w:t>
      </w:r>
      <w:proofErr w:type="spellEnd"/>
      <w:r w:rsidRPr="001F6D39">
        <w:t>. D.N.J. 2023) (declining to confirm the proposed reorganization plan, finding in part that the contingency fees sought by IRPAs were both excessive and unreasonable).</w:t>
      </w:r>
    </w:p>
  </w:footnote>
  <w:footnote w:id="14">
    <w:p w14:paraId="30DBDB1E" w14:textId="77777777" w:rsidR="001305B0" w:rsidRDefault="001305B0" w:rsidP="001305B0">
      <w:pPr>
        <w:jc w:val="both"/>
      </w:pPr>
      <w:r w:rsidRPr="002D11A8">
        <w:rPr>
          <w:rStyle w:val="FootnoteReference"/>
          <w:sz w:val="20"/>
          <w:szCs w:val="20"/>
        </w:rPr>
        <w:footnoteRef/>
      </w:r>
      <w:r w:rsidRPr="002D11A8">
        <w:rPr>
          <w:sz w:val="20"/>
          <w:szCs w:val="20"/>
        </w:rPr>
        <w:t xml:space="preserve"> </w:t>
      </w:r>
      <w:r w:rsidRPr="00B339CF">
        <w:rPr>
          <w:i/>
          <w:iCs/>
          <w:sz w:val="20"/>
          <w:szCs w:val="20"/>
        </w:rPr>
        <w:t>See</w:t>
      </w:r>
      <w:r w:rsidRPr="002D11A8">
        <w:rPr>
          <w:sz w:val="20"/>
          <w:szCs w:val="20"/>
        </w:rPr>
        <w:t xml:space="preserve"> 11 U.S.C. </w:t>
      </w:r>
      <w:r w:rsidRPr="002D11A8">
        <w:rPr>
          <w:rFonts w:cs="Times New Roman"/>
          <w:sz w:val="20"/>
          <w:szCs w:val="20"/>
        </w:rPr>
        <w:t>§</w:t>
      </w:r>
      <w:r w:rsidRPr="002D11A8">
        <w:rPr>
          <w:sz w:val="20"/>
          <w:szCs w:val="20"/>
        </w:rPr>
        <w:t xml:space="preserve"> 1129(a)(4</w:t>
      </w:r>
      <w:r w:rsidRPr="006B08EE">
        <w:rPr>
          <w:sz w:val="20"/>
          <w:szCs w:val="20"/>
        </w:rPr>
        <w:t xml:space="preserve">), the court must approve any payment made by the </w:t>
      </w:r>
      <w:r>
        <w:rPr>
          <w:sz w:val="20"/>
          <w:szCs w:val="20"/>
        </w:rPr>
        <w:t>debtor</w:t>
      </w:r>
      <w:r w:rsidRPr="006B08EE">
        <w:rPr>
          <w:sz w:val="20"/>
          <w:szCs w:val="20"/>
        </w:rPr>
        <w:t xml:space="preserve"> </w:t>
      </w:r>
      <w:r>
        <w:rPr>
          <w:sz w:val="20"/>
          <w:szCs w:val="20"/>
        </w:rPr>
        <w:t>“</w:t>
      </w:r>
      <w:r w:rsidRPr="006B08EE">
        <w:rPr>
          <w:sz w:val="20"/>
          <w:szCs w:val="20"/>
        </w:rPr>
        <w:t>in connection with the plan and incident to the case</w:t>
      </w:r>
      <w:r>
        <w:rPr>
          <w:sz w:val="20"/>
          <w:szCs w:val="20"/>
        </w:rPr>
        <w:t>”</w:t>
      </w:r>
      <w:r w:rsidRPr="006B08EE">
        <w:rPr>
          <w:sz w:val="20"/>
          <w:szCs w:val="20"/>
        </w:rPr>
        <w:t xml:space="preserve"> during the confirmation of a reorganization plan.</w:t>
      </w:r>
      <w:r>
        <w:t xml:space="preserve"> </w:t>
      </w:r>
      <w:r w:rsidRPr="00B339CF">
        <w:rPr>
          <w:sz w:val="20"/>
          <w:szCs w:val="20"/>
        </w:rPr>
        <w:t xml:space="preserve">While not definitive, a debtor’s satisfaction of tort claims arguably constitutes a cost </w:t>
      </w:r>
      <w:r>
        <w:rPr>
          <w:sz w:val="20"/>
          <w:szCs w:val="20"/>
        </w:rPr>
        <w:t>“</w:t>
      </w:r>
      <w:r w:rsidRPr="00B339CF">
        <w:rPr>
          <w:sz w:val="20"/>
          <w:szCs w:val="20"/>
        </w:rPr>
        <w:t>in connection with the case,</w:t>
      </w:r>
      <w:r>
        <w:rPr>
          <w:sz w:val="20"/>
          <w:szCs w:val="20"/>
        </w:rPr>
        <w:t>”</w:t>
      </w:r>
      <w:r w:rsidRPr="00B339CF">
        <w:rPr>
          <w:sz w:val="20"/>
          <w:szCs w:val="20"/>
        </w:rPr>
        <w:t xml:space="preserve"> just as the underlying contingency fee agreement is </w:t>
      </w:r>
      <w:r>
        <w:rPr>
          <w:sz w:val="20"/>
          <w:szCs w:val="20"/>
        </w:rPr>
        <w:t>“</w:t>
      </w:r>
      <w:r w:rsidRPr="00B339CF">
        <w:rPr>
          <w:sz w:val="20"/>
          <w:szCs w:val="20"/>
        </w:rPr>
        <w:t>incident' to it.</w:t>
      </w:r>
      <w:r w:rsidRPr="00613547">
        <w:rPr>
          <w:sz w:val="20"/>
          <w:szCs w:val="20"/>
        </w:rPr>
        <w:t>”;</w:t>
      </w:r>
      <w:r w:rsidRPr="00613547">
        <w:rPr>
          <w:i/>
          <w:iCs/>
          <w:sz w:val="20"/>
          <w:szCs w:val="20"/>
        </w:rPr>
        <w:t xml:space="preserve"> </w:t>
      </w:r>
      <w:r>
        <w:rPr>
          <w:i/>
          <w:iCs/>
          <w:sz w:val="20"/>
          <w:szCs w:val="20"/>
        </w:rPr>
        <w:t>s</w:t>
      </w:r>
      <w:r w:rsidRPr="00613547">
        <w:rPr>
          <w:i/>
          <w:iCs/>
          <w:sz w:val="20"/>
          <w:szCs w:val="20"/>
        </w:rPr>
        <w:t>ee</w:t>
      </w:r>
      <w:r w:rsidRPr="00613547">
        <w:rPr>
          <w:sz w:val="20"/>
          <w:szCs w:val="20"/>
        </w:rPr>
        <w:t xml:space="preserve"> </w:t>
      </w:r>
      <w:r w:rsidRPr="00B339CF">
        <w:rPr>
          <w:i/>
          <w:iCs/>
          <w:sz w:val="20"/>
          <w:szCs w:val="20"/>
        </w:rPr>
        <w:t>also</w:t>
      </w:r>
      <w:r>
        <w:rPr>
          <w:sz w:val="20"/>
          <w:szCs w:val="20"/>
        </w:rPr>
        <w:t xml:space="preserve"> </w:t>
      </w:r>
      <w:proofErr w:type="gramStart"/>
      <w:r w:rsidRPr="00613547">
        <w:rPr>
          <w:i/>
          <w:iCs/>
          <w:sz w:val="20"/>
          <w:szCs w:val="20"/>
        </w:rPr>
        <w:t>In</w:t>
      </w:r>
      <w:proofErr w:type="gramEnd"/>
      <w:r w:rsidRPr="00613547">
        <w:rPr>
          <w:i/>
          <w:iCs/>
          <w:sz w:val="20"/>
          <w:szCs w:val="20"/>
        </w:rPr>
        <w:t xml:space="preserve"> re Diocese of Camden, New Jersey</w:t>
      </w:r>
      <w:r w:rsidRPr="00613547">
        <w:rPr>
          <w:sz w:val="20"/>
          <w:szCs w:val="20"/>
        </w:rPr>
        <w:t>, 653 B.R. 309, 361 (</w:t>
      </w:r>
      <w:proofErr w:type="spellStart"/>
      <w:r w:rsidRPr="00613547">
        <w:rPr>
          <w:sz w:val="20"/>
          <w:szCs w:val="20"/>
        </w:rPr>
        <w:t>Bankr</w:t>
      </w:r>
      <w:proofErr w:type="spellEnd"/>
      <w:r w:rsidRPr="00613547">
        <w:rPr>
          <w:sz w:val="20"/>
          <w:szCs w:val="20"/>
        </w:rPr>
        <w:t>. D.N.J. 2023).</w:t>
      </w:r>
      <w:r w:rsidRPr="001F6D39">
        <w:t xml:space="preserve"> </w:t>
      </w:r>
      <w:r>
        <w:rPr>
          <w:sz w:val="20"/>
          <w:szCs w:val="20"/>
        </w:rPr>
        <w:t xml:space="preserve"> (</w:t>
      </w:r>
      <w:r w:rsidRPr="002F1330">
        <w:rPr>
          <w:sz w:val="20"/>
          <w:szCs w:val="20"/>
        </w:rPr>
        <w:t>court declines to confirm plan</w:t>
      </w:r>
      <w:r>
        <w:rPr>
          <w:sz w:val="20"/>
          <w:szCs w:val="20"/>
        </w:rPr>
        <w:t xml:space="preserve"> for, among other reasons, excessive and unreasonable IRPAs’ contingency fees, relying primarily on inherent authority to supervise members of the bar who subject themselves to the “jurisdiction of the bankruptcy court to hear all matters related to the allowance of that claim”).</w:t>
      </w:r>
    </w:p>
  </w:footnote>
  <w:footnote w:id="15">
    <w:p w14:paraId="7D71DBBF" w14:textId="77777777" w:rsidR="001305B0" w:rsidRPr="001F6D39" w:rsidRDefault="001305B0" w:rsidP="001305B0">
      <w:pPr>
        <w:pStyle w:val="FootnoteText"/>
        <w:jc w:val="both"/>
      </w:pPr>
      <w:r w:rsidRPr="001F6D39">
        <w:rPr>
          <w:rStyle w:val="FootnoteReference"/>
        </w:rPr>
        <w:footnoteRef/>
      </w:r>
      <w:r w:rsidRPr="001F6D39">
        <w:t xml:space="preserve"> </w:t>
      </w:r>
      <w:r w:rsidRPr="001F6D39">
        <w:rPr>
          <w:i/>
          <w:iCs/>
        </w:rPr>
        <w:t>See In Re 3M Combat Arms Earplug</w:t>
      </w:r>
      <w:r w:rsidRPr="001F6D39">
        <w:t xml:space="preserve">, MDL No. 2885, CMO No. 57, Doc. 3811, p. 37 (August 29, 2023) (“Similar to other MDL courts, the Court intends to review closely such fee arrangements for Litigating Plaintiffs and also may impose a limitation or cap on all fee arrangements for Litigating Plaintiffs.”). </w:t>
      </w:r>
    </w:p>
  </w:footnote>
  <w:footnote w:id="16">
    <w:p w14:paraId="14082407" w14:textId="77777777" w:rsidR="001305B0" w:rsidRPr="001F6D39" w:rsidRDefault="001305B0" w:rsidP="001305B0">
      <w:pPr>
        <w:pStyle w:val="FootnoteText"/>
        <w:jc w:val="both"/>
      </w:pPr>
      <w:r w:rsidRPr="001F6D39">
        <w:rPr>
          <w:rStyle w:val="FootnoteReference"/>
        </w:rPr>
        <w:footnoteRef/>
      </w:r>
      <w:r w:rsidRPr="001F6D39">
        <w:t xml:space="preserve"> </w:t>
      </w:r>
      <w:r w:rsidRPr="001F6D39">
        <w:rPr>
          <w:i/>
          <w:iCs/>
        </w:rPr>
        <w:t xml:space="preserve">See In Re National Prescription Opiate, </w:t>
      </w:r>
      <w:r w:rsidRPr="001F6D39">
        <w:t xml:space="preserve">MDL 2804, Order, Doc. 3814, p. 8 (August 6, 2021) (“[I]t is indisputable that the Court has the authority to examine and modify attorneys’ contingent fee contracts.” Other cases taking the same position cited.); </w:t>
      </w:r>
      <w:r w:rsidRPr="001F6D39">
        <w:rPr>
          <w:i/>
          <w:iCs/>
        </w:rPr>
        <w:t>see also</w:t>
      </w:r>
      <w:r w:rsidRPr="001F6D39">
        <w:t xml:space="preserve"> Morris Ratner, Achieving Procedural Goals Through Indirection: The Use of Ethics Doctrine to Justify Contingency Fee Caps in MDL Aggregate Settlements, 26 Georgetown Journal of Legal Ethics 59, 76 (2013) (“Courts’ power to supervise attorneys’ fees for reasonableness is traditionally located in the courts’ power to ‘regulate the practice of law.’ This authority is so widely recognized that many of the attorneys subjected to fee caps in </w:t>
      </w:r>
      <w:r w:rsidRPr="001F6D39">
        <w:rPr>
          <w:i/>
          <w:iCs/>
        </w:rPr>
        <w:t>Vioxx, Guidant</w:t>
      </w:r>
      <w:r w:rsidRPr="001F6D39">
        <w:t xml:space="preserve">, and </w:t>
      </w:r>
      <w:r w:rsidRPr="001F6D39">
        <w:rPr>
          <w:i/>
          <w:iCs/>
        </w:rPr>
        <w:t>Zyprexa</w:t>
      </w:r>
      <w:r w:rsidRPr="001F6D39">
        <w:t xml:space="preserve"> did not even bother to challenge its existence.”).</w:t>
      </w:r>
    </w:p>
  </w:footnote>
  <w:footnote w:id="17">
    <w:p w14:paraId="175ADAEA" w14:textId="77777777" w:rsidR="001305B0" w:rsidRPr="001F6D39" w:rsidRDefault="001305B0" w:rsidP="001305B0">
      <w:pPr>
        <w:pStyle w:val="FootnoteText"/>
        <w:jc w:val="both"/>
      </w:pPr>
      <w:r w:rsidRPr="001F6D39">
        <w:rPr>
          <w:rStyle w:val="FootnoteReference"/>
        </w:rPr>
        <w:footnoteRef/>
      </w:r>
      <w:r w:rsidRPr="001F6D39">
        <w:t xml:space="preserve"> S</w:t>
      </w:r>
      <w:r w:rsidRPr="001F6D39">
        <w:rPr>
          <w:i/>
          <w:iCs/>
        </w:rPr>
        <w:t>ee also</w:t>
      </w:r>
      <w:r w:rsidRPr="001F6D39">
        <w:t xml:space="preserve"> </w:t>
      </w:r>
      <w:r w:rsidRPr="001F6D39">
        <w:rPr>
          <w:i/>
          <w:iCs/>
        </w:rPr>
        <w:t>In Re A.H. Robins Co., Inc.,</w:t>
      </w:r>
      <w:r w:rsidRPr="001F6D39">
        <w:t>86 F. 3d 364 (4</w:t>
      </w:r>
      <w:r w:rsidRPr="001F6D39">
        <w:rPr>
          <w:vertAlign w:val="superscript"/>
        </w:rPr>
        <w:t>th</w:t>
      </w:r>
      <w:r w:rsidRPr="001F6D39">
        <w:t xml:space="preserve"> Cir. 1996) (“Canon 13 of the Canons of Professional Ethics, promulgated by the American Bar Association, recognizes that an attorney is free to enter such (contingency fee) arrangements.  The Canon, however, qualifies the right with the proviso that they are subject to the ‘supervision of the courts, as to [their] reasonableness.’”).</w:t>
      </w:r>
    </w:p>
  </w:footnote>
  <w:footnote w:id="18">
    <w:p w14:paraId="138D0998" w14:textId="77777777" w:rsidR="001305B0" w:rsidRPr="001F6D39" w:rsidRDefault="001305B0" w:rsidP="001305B0">
      <w:pPr>
        <w:pStyle w:val="FootnoteText"/>
        <w:jc w:val="both"/>
      </w:pPr>
      <w:r w:rsidRPr="001F6D39">
        <w:rPr>
          <w:rStyle w:val="FootnoteReference"/>
        </w:rPr>
        <w:footnoteRef/>
      </w:r>
      <w:r w:rsidRPr="001F6D39">
        <w:t xml:space="preserve"> </w:t>
      </w:r>
      <w:r w:rsidRPr="001F6D39">
        <w:rPr>
          <w:i/>
          <w:iCs/>
        </w:rPr>
        <w:t>See</w:t>
      </w:r>
      <w:r w:rsidRPr="001F6D39">
        <w:t xml:space="preserve"> </w:t>
      </w:r>
      <w:r w:rsidRPr="001F6D39">
        <w:rPr>
          <w:i/>
          <w:iCs/>
        </w:rPr>
        <w:t>In Re: Delaware BSA, LLC</w:t>
      </w:r>
      <w:r w:rsidRPr="001F6D39">
        <w:t xml:space="preserve">, Case No. 20-10342 (LSS), Doc. 124, Brief of Slater </w:t>
      </w:r>
      <w:proofErr w:type="spellStart"/>
      <w:r w:rsidRPr="001F6D39">
        <w:t>Slater</w:t>
      </w:r>
      <w:proofErr w:type="spellEnd"/>
      <w:r w:rsidRPr="001F6D39">
        <w:t xml:space="preserve"> Schulman LLP Regarding the Court’s Lack of Subject-Matter Jurisdiction to Entertain the Motion Brought by Fourteen of its Former Clients, (April 9, 2026) (asserting no subject-matter jurisdiction over claims dealing with post-confirmation adjustments to IRPAs’ contingency-fee agreements, citing </w:t>
      </w:r>
      <w:r w:rsidRPr="001F6D39">
        <w:rPr>
          <w:i/>
          <w:iCs/>
        </w:rPr>
        <w:t>Matter of Johns-Manville Corp</w:t>
      </w:r>
      <w:r w:rsidRPr="001F6D39">
        <w:t>. 68 B.R. 618, 632 (</w:t>
      </w:r>
      <w:proofErr w:type="spellStart"/>
      <w:r w:rsidRPr="001F6D39">
        <w:t>Bankr</w:t>
      </w:r>
      <w:proofErr w:type="spellEnd"/>
      <w:r w:rsidRPr="001F6D39">
        <w:t>. S.D.N.Y. 1986), which concluded that: “fee arrangements between ... claimants and their attorneys lie beyond the jurisdiction of the court”).</w:t>
      </w:r>
    </w:p>
  </w:footnote>
  <w:footnote w:id="19">
    <w:p w14:paraId="24B5C3BE" w14:textId="77777777" w:rsidR="001305B0" w:rsidRPr="001F6D39" w:rsidRDefault="001305B0" w:rsidP="001305B0">
      <w:pPr>
        <w:pStyle w:val="FootnoteText"/>
        <w:jc w:val="both"/>
      </w:pPr>
      <w:r w:rsidRPr="001F6D39">
        <w:rPr>
          <w:rStyle w:val="FootnoteReference"/>
        </w:rPr>
        <w:footnoteRef/>
      </w:r>
      <w:r w:rsidRPr="001F6D39">
        <w:t xml:space="preserve"> </w:t>
      </w:r>
      <w:r w:rsidRPr="001F6D39">
        <w:rPr>
          <w:i/>
          <w:iCs/>
        </w:rPr>
        <w:t>See</w:t>
      </w:r>
      <w:r w:rsidRPr="001F6D39">
        <w:t xml:space="preserve"> </w:t>
      </w:r>
      <w:r w:rsidRPr="001F6D39">
        <w:rPr>
          <w:i/>
          <w:iCs/>
        </w:rPr>
        <w:t>In Re: Vioxx,</w:t>
      </w:r>
      <w:r w:rsidRPr="001F6D39">
        <w:t xml:space="preserve"> MDL No. 1657, Order and Reasons, Doc. 15722, p. 10 (August 27, 2008) (“Even when the validity of the fee contract itself has not been challenged by the parties, it is within the court’s inherent power of supervision over the bar to examine the attorney’s fee for conformance with the reasonable standard of the Code of Ethics [case citations omitted). District courts necessarily retain the authority to examine attorney fees </w:t>
      </w:r>
      <w:proofErr w:type="spellStart"/>
      <w:r w:rsidRPr="001F6D39">
        <w:rPr>
          <w:i/>
          <w:iCs/>
        </w:rPr>
        <w:t>sua</w:t>
      </w:r>
      <w:proofErr w:type="spellEnd"/>
      <w:r w:rsidRPr="001F6D39">
        <w:rPr>
          <w:i/>
          <w:iCs/>
        </w:rPr>
        <w:t xml:space="preserve"> sponte</w:t>
      </w:r>
      <w:r w:rsidRPr="001F6D39">
        <w:t xml:space="preserve"> because the attorneys’ interests in this regard </w:t>
      </w:r>
      <w:proofErr w:type="gramStart"/>
      <w:r w:rsidRPr="001F6D39">
        <w:t>are in conflict with</w:t>
      </w:r>
      <w:proofErr w:type="gramEnd"/>
      <w:r w:rsidRPr="001F6D39">
        <w:t xml:space="preserve"> those of their clients.”).</w:t>
      </w:r>
    </w:p>
  </w:footnote>
  <w:footnote w:id="20">
    <w:p w14:paraId="6C231A5A" w14:textId="77777777" w:rsidR="001305B0" w:rsidRPr="001F6D39" w:rsidRDefault="001305B0" w:rsidP="001305B0">
      <w:pPr>
        <w:pStyle w:val="FootnoteText"/>
        <w:jc w:val="both"/>
      </w:pPr>
      <w:r w:rsidRPr="001F6D39">
        <w:rPr>
          <w:rStyle w:val="FootnoteReference"/>
        </w:rPr>
        <w:footnoteRef/>
      </w:r>
      <w:r w:rsidRPr="001F6D39">
        <w:t xml:space="preserve"> </w:t>
      </w:r>
      <w:r w:rsidRPr="001F6D39">
        <w:rPr>
          <w:i/>
          <w:iCs/>
        </w:rPr>
        <w:t>See</w:t>
      </w:r>
      <w:r w:rsidRPr="001F6D39">
        <w:t xml:space="preserve"> </w:t>
      </w:r>
      <w:r w:rsidRPr="001F6D39">
        <w:rPr>
          <w:i/>
          <w:iCs/>
        </w:rPr>
        <w:t>In re Diocese of Camden, New Jersey</w:t>
      </w:r>
      <w:r w:rsidRPr="001F6D39">
        <w:t>, 653 B.R. 309, 361 (</w:t>
      </w:r>
      <w:proofErr w:type="spellStart"/>
      <w:r w:rsidRPr="001F6D39">
        <w:t>Bankr</w:t>
      </w:r>
      <w:proofErr w:type="spellEnd"/>
      <w:r w:rsidRPr="001F6D39">
        <w:t xml:space="preserve">. D.N.J. 2023). </w:t>
      </w:r>
    </w:p>
  </w:footnote>
  <w:footnote w:id="21">
    <w:p w14:paraId="19B6CFBB" w14:textId="77777777" w:rsidR="001305B0" w:rsidRPr="001F6D39" w:rsidRDefault="001305B0" w:rsidP="001305B0">
      <w:pPr>
        <w:pStyle w:val="FootnoteText"/>
        <w:jc w:val="both"/>
      </w:pPr>
      <w:r w:rsidRPr="001F6D39">
        <w:rPr>
          <w:rStyle w:val="FootnoteReference"/>
        </w:rPr>
        <w:footnoteRef/>
      </w:r>
      <w:r w:rsidRPr="001F6D39">
        <w:t xml:space="preserve"> </w:t>
      </w:r>
      <w:r w:rsidRPr="001F6D39">
        <w:rPr>
          <w:i/>
          <w:iCs/>
        </w:rPr>
        <w:t>See</w:t>
      </w:r>
      <w:r w:rsidRPr="001F6D39">
        <w:t xml:space="preserve"> </w:t>
      </w:r>
      <w:r w:rsidRPr="001F6D39">
        <w:rPr>
          <w:i/>
          <w:iCs/>
        </w:rPr>
        <w:t>In re Diocese of Camden, New Jersey</w:t>
      </w:r>
      <w:r w:rsidRPr="001F6D39">
        <w:t>, 653 B.R. 309, 361–62 (</w:t>
      </w:r>
      <w:proofErr w:type="spellStart"/>
      <w:r w:rsidRPr="001F6D39">
        <w:t>Bankr</w:t>
      </w:r>
      <w:proofErr w:type="spellEnd"/>
      <w:r w:rsidRPr="001F6D39">
        <w:t xml:space="preserve">. D.N.J. 2023); </w:t>
      </w:r>
      <w:r w:rsidRPr="001F6D39">
        <w:rPr>
          <w:i/>
          <w:iCs/>
        </w:rPr>
        <w:t>see also</w:t>
      </w:r>
      <w:r w:rsidRPr="001F6D39">
        <w:t xml:space="preserve"> </w:t>
      </w:r>
      <w:r w:rsidRPr="001F6D39">
        <w:rPr>
          <w:i/>
          <w:iCs/>
        </w:rPr>
        <w:t>In Re A.H. Robins Co., Inc.,</w:t>
      </w:r>
      <w:r w:rsidRPr="001F6D39">
        <w:t>86 F. 3d 364 (4</w:t>
      </w:r>
      <w:r w:rsidRPr="001F6D39">
        <w:rPr>
          <w:vertAlign w:val="superscript"/>
        </w:rPr>
        <w:t>th</w:t>
      </w:r>
      <w:r w:rsidRPr="001F6D39">
        <w:t xml:space="preserve"> Cir. 1996); </w:t>
      </w:r>
      <w:r w:rsidRPr="001F6D39">
        <w:rPr>
          <w:i/>
          <w:iCs/>
        </w:rPr>
        <w:t>see also</w:t>
      </w:r>
      <w:r w:rsidRPr="001F6D39">
        <w:t xml:space="preserve"> Elizabeth Gibson, Judicial Management of Mass Tort Bankruptcy Cases, Federal Judicial Center, (2005) (noting AH Robbins limitation of fees for claimants’ attorneys as an example of post confirmation matters over which bankruptcy courts have exercised jurisdiction).</w:t>
      </w:r>
    </w:p>
  </w:footnote>
  <w:footnote w:id="22">
    <w:p w14:paraId="154BF51B" w14:textId="77777777" w:rsidR="001305B0" w:rsidRPr="001F6D39" w:rsidRDefault="001305B0" w:rsidP="001305B0">
      <w:pPr>
        <w:pStyle w:val="FootnoteText"/>
        <w:jc w:val="both"/>
      </w:pPr>
      <w:r w:rsidRPr="001F6D39">
        <w:rPr>
          <w:rStyle w:val="FootnoteReference"/>
        </w:rPr>
        <w:footnoteRef/>
      </w:r>
      <w:r w:rsidRPr="001F6D39">
        <w:t xml:space="preserve"> Judges in civil mass torts are reluctant to disturb private fee arrangements; however, they have historically intervened when compensation is found to be excessive, recognizing that IRPAs derive substantial savings through the economies of scale inherent in mass-tort distributions. Comparable concerns emerge within mass-tort bankruptcy proceedings, highlighting the strategic benefit of plan proponents proactively resolving fee-related issues in the reorganization plan. S</w:t>
      </w:r>
      <w:r w:rsidRPr="001F6D39">
        <w:rPr>
          <w:i/>
          <w:iCs/>
        </w:rPr>
        <w:t>ee also Boys Scouts of America and Delaware BSA, LLC,</w:t>
      </w:r>
      <w:r w:rsidRPr="001F6D39">
        <w:t xml:space="preserve"> Case No. 20-10343, Opening Brief of Former Slater Clients Regarding Their Motion for an Order Allowing Substitution of Attorneys and Denying Fees to Slater, Slater and Schulman, Doc. 13443, pp. 5-22 (February 13, 2026) (arguments and citations to case law supporting jurisdiction of bankruptcy court to adjust IRPAs’ contingency fee contracts). </w:t>
      </w:r>
    </w:p>
  </w:footnote>
  <w:footnote w:id="23">
    <w:p w14:paraId="1E06BAD1" w14:textId="77777777" w:rsidR="001305B0" w:rsidRDefault="001305B0" w:rsidP="001305B0">
      <w:pPr>
        <w:pStyle w:val="FootnoteText"/>
        <w:jc w:val="both"/>
      </w:pPr>
      <w:r w:rsidRPr="001F6D39">
        <w:rPr>
          <w:rStyle w:val="FootnoteReference"/>
        </w:rPr>
        <w:footnoteRef/>
      </w:r>
      <w:r w:rsidRPr="001F6D39">
        <w:t xml:space="preserve"> The court may consider whether to hold show-cause hearings for a select number of IRPAs to evaluate arguments justifying incre</w:t>
      </w:r>
      <w:r>
        <w:t xml:space="preserve">ased compensation.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5B0"/>
    <w:rsid w:val="001305B0"/>
    <w:rsid w:val="0053558C"/>
    <w:rsid w:val="005F0C3E"/>
    <w:rsid w:val="007213F0"/>
    <w:rsid w:val="00C624D6"/>
    <w:rsid w:val="00C654FF"/>
    <w:rsid w:val="00C95781"/>
    <w:rsid w:val="00C971A6"/>
    <w:rsid w:val="00F70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B2172"/>
  <w15:chartTrackingRefBased/>
  <w15:docId w15:val="{5B8EF519-A4D8-46BF-9046-28401BFD8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05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05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05B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05B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305B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305B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305B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305B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305B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05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05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05B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05B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305B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305B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305B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305B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305B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305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05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05B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05B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305B0"/>
    <w:pPr>
      <w:spacing w:before="160"/>
      <w:jc w:val="center"/>
    </w:pPr>
    <w:rPr>
      <w:i/>
      <w:iCs/>
      <w:color w:val="404040" w:themeColor="text1" w:themeTint="BF"/>
    </w:rPr>
  </w:style>
  <w:style w:type="character" w:customStyle="1" w:styleId="QuoteChar">
    <w:name w:val="Quote Char"/>
    <w:basedOn w:val="DefaultParagraphFont"/>
    <w:link w:val="Quote"/>
    <w:uiPriority w:val="29"/>
    <w:rsid w:val="001305B0"/>
    <w:rPr>
      <w:i/>
      <w:iCs/>
      <w:color w:val="404040" w:themeColor="text1" w:themeTint="BF"/>
    </w:rPr>
  </w:style>
  <w:style w:type="paragraph" w:styleId="ListParagraph">
    <w:name w:val="List Paragraph"/>
    <w:basedOn w:val="Normal"/>
    <w:uiPriority w:val="34"/>
    <w:qFormat/>
    <w:rsid w:val="001305B0"/>
    <w:pPr>
      <w:ind w:left="720"/>
      <w:contextualSpacing/>
    </w:pPr>
  </w:style>
  <w:style w:type="character" w:styleId="IntenseEmphasis">
    <w:name w:val="Intense Emphasis"/>
    <w:basedOn w:val="DefaultParagraphFont"/>
    <w:uiPriority w:val="21"/>
    <w:qFormat/>
    <w:rsid w:val="001305B0"/>
    <w:rPr>
      <w:i/>
      <w:iCs/>
      <w:color w:val="0F4761" w:themeColor="accent1" w:themeShade="BF"/>
    </w:rPr>
  </w:style>
  <w:style w:type="paragraph" w:styleId="IntenseQuote">
    <w:name w:val="Intense Quote"/>
    <w:basedOn w:val="Normal"/>
    <w:next w:val="Normal"/>
    <w:link w:val="IntenseQuoteChar"/>
    <w:uiPriority w:val="30"/>
    <w:qFormat/>
    <w:rsid w:val="001305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05B0"/>
    <w:rPr>
      <w:i/>
      <w:iCs/>
      <w:color w:val="0F4761" w:themeColor="accent1" w:themeShade="BF"/>
    </w:rPr>
  </w:style>
  <w:style w:type="character" w:styleId="IntenseReference">
    <w:name w:val="Intense Reference"/>
    <w:basedOn w:val="DefaultParagraphFont"/>
    <w:uiPriority w:val="32"/>
    <w:qFormat/>
    <w:rsid w:val="001305B0"/>
    <w:rPr>
      <w:b/>
      <w:bCs/>
      <w:smallCaps/>
      <w:color w:val="0F4761" w:themeColor="accent1" w:themeShade="BF"/>
      <w:spacing w:val="5"/>
    </w:rPr>
  </w:style>
  <w:style w:type="character" w:styleId="Hyperlink">
    <w:name w:val="Hyperlink"/>
    <w:basedOn w:val="DefaultParagraphFont"/>
    <w:uiPriority w:val="99"/>
    <w:unhideWhenUsed/>
    <w:rsid w:val="001305B0"/>
    <w:rPr>
      <w:color w:val="467886" w:themeColor="hyperlink"/>
      <w:u w:val="single"/>
    </w:rPr>
  </w:style>
  <w:style w:type="paragraph" w:styleId="FootnoteText">
    <w:name w:val="footnote text"/>
    <w:aliases w:val="fn Text"/>
    <w:basedOn w:val="Normal"/>
    <w:link w:val="FootnoteTextChar"/>
    <w:uiPriority w:val="99"/>
    <w:unhideWhenUsed/>
    <w:qFormat/>
    <w:rsid w:val="001305B0"/>
    <w:pPr>
      <w:spacing w:after="0" w:line="240" w:lineRule="auto"/>
    </w:pPr>
    <w:rPr>
      <w:color w:val="000000" w:themeColor="text1"/>
      <w:kern w:val="0"/>
      <w:sz w:val="20"/>
      <w:szCs w:val="20"/>
      <w14:ligatures w14:val="none"/>
    </w:rPr>
  </w:style>
  <w:style w:type="character" w:customStyle="1" w:styleId="FootnoteTextChar">
    <w:name w:val="Footnote Text Char"/>
    <w:aliases w:val="fn Text Char"/>
    <w:basedOn w:val="DefaultParagraphFont"/>
    <w:link w:val="FootnoteText"/>
    <w:uiPriority w:val="99"/>
    <w:rsid w:val="001305B0"/>
    <w:rPr>
      <w:color w:val="000000" w:themeColor="text1"/>
      <w:kern w:val="0"/>
      <w:sz w:val="20"/>
      <w:szCs w:val="20"/>
      <w14:ligatures w14:val="none"/>
    </w:rPr>
  </w:style>
  <w:style w:type="character" w:styleId="FootnoteReference">
    <w:name w:val="footnote reference"/>
    <w:aliases w:val="fn Reference"/>
    <w:basedOn w:val="DefaultParagraphFont"/>
    <w:uiPriority w:val="99"/>
    <w:unhideWhenUsed/>
    <w:qFormat/>
    <w:rsid w:val="001305B0"/>
    <w:rPr>
      <w:vertAlign w:val="superscript"/>
    </w:rPr>
  </w:style>
  <w:style w:type="paragraph" w:styleId="NoSpacing">
    <w:name w:val="No Spacing"/>
    <w:uiPriority w:val="1"/>
    <w:qFormat/>
    <w:rsid w:val="001305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tortcomm.org/plandocs.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1326</Words>
  <Characters>7560</Characters>
  <Application>Microsoft Office Word</Application>
  <DocSecurity>0</DocSecurity>
  <Lines>63</Lines>
  <Paragraphs>17</Paragraphs>
  <ScaleCrop>false</ScaleCrop>
  <Company/>
  <LinksUpToDate>false</LinksUpToDate>
  <CharactersWithSpaces>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Rabiej</dc:creator>
  <cp:keywords/>
  <dc:description/>
  <cp:lastModifiedBy>John Rabiej</cp:lastModifiedBy>
  <cp:revision>1</cp:revision>
  <dcterms:created xsi:type="dcterms:W3CDTF">2026-08-19T16:59:00Z</dcterms:created>
  <dcterms:modified xsi:type="dcterms:W3CDTF">2026-08-19T17:02:00Z</dcterms:modified>
</cp:coreProperties>
</file>