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93DB1"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PageID.72046   Filed 02/04/22   Page 1 of 99</w:t>
      </w:r>
    </w:p>
    <w:p w14:paraId="4D709DD2" w14:textId="77777777" w:rsidR="00E73528" w:rsidRDefault="006936BE">
      <w:pPr>
        <w:spacing w:after="3" w:line="255" w:lineRule="auto"/>
        <w:ind w:left="94" w:right="87"/>
        <w:jc w:val="center"/>
      </w:pPr>
      <w:r>
        <w:t xml:space="preserve">UNITED STATES DISTRICT COURT </w:t>
      </w:r>
    </w:p>
    <w:p w14:paraId="7463580E" w14:textId="77777777" w:rsidR="00E73528" w:rsidRDefault="006936BE">
      <w:pPr>
        <w:spacing w:after="3" w:line="255" w:lineRule="auto"/>
        <w:ind w:left="94" w:right="92"/>
        <w:jc w:val="center"/>
      </w:pPr>
      <w:r>
        <w:t xml:space="preserve">EASTERN DISTRICT OF MICHIGAN </w:t>
      </w:r>
    </w:p>
    <w:p w14:paraId="2235F7F7" w14:textId="77777777" w:rsidR="00E73528" w:rsidRDefault="006936BE">
      <w:pPr>
        <w:spacing w:after="3" w:line="255" w:lineRule="auto"/>
        <w:ind w:left="94" w:right="85"/>
        <w:jc w:val="center"/>
      </w:pPr>
      <w:r>
        <w:t xml:space="preserve">SOUTHERN DIVISION </w:t>
      </w:r>
    </w:p>
    <w:p w14:paraId="0B768158" w14:textId="77777777" w:rsidR="00E73528" w:rsidRDefault="006936BE">
      <w:pPr>
        <w:spacing w:line="259" w:lineRule="auto"/>
        <w:ind w:left="81" w:firstLine="0"/>
        <w:jc w:val="center"/>
      </w:pPr>
      <w:r>
        <w:t xml:space="preserve"> </w:t>
      </w:r>
    </w:p>
    <w:p w14:paraId="5C4CD2CD" w14:textId="77777777" w:rsidR="00E73528" w:rsidRDefault="006936BE">
      <w:pPr>
        <w:spacing w:after="14" w:line="259" w:lineRule="auto"/>
        <w:ind w:left="433" w:firstLine="0"/>
        <w:jc w:val="left"/>
      </w:pPr>
      <w:r>
        <w:t xml:space="preserve"> </w:t>
      </w:r>
      <w:r>
        <w:tab/>
        <w:t xml:space="preserve"> </w:t>
      </w:r>
    </w:p>
    <w:p w14:paraId="0A3FE768" w14:textId="77777777" w:rsidR="00E73528" w:rsidRDefault="006936BE">
      <w:pPr>
        <w:tabs>
          <w:tab w:val="center" w:pos="1996"/>
          <w:tab w:val="center" w:pos="6181"/>
        </w:tabs>
        <w:spacing w:line="259" w:lineRule="auto"/>
        <w:ind w:left="0" w:firstLine="0"/>
        <w:jc w:val="left"/>
      </w:pPr>
      <w:r>
        <w:rPr>
          <w:rFonts w:ascii="Calibri" w:eastAsia="Calibri" w:hAnsi="Calibri" w:cs="Calibri"/>
          <w:sz w:val="22"/>
        </w:rPr>
        <w:tab/>
      </w:r>
      <w:r>
        <w:t xml:space="preserve">In re Flint Water Cases. </w:t>
      </w:r>
      <w:r>
        <w:tab/>
        <w:t xml:space="preserve">Judith E. Levy </w:t>
      </w:r>
    </w:p>
    <w:p w14:paraId="509D2798" w14:textId="77777777" w:rsidR="00E73528" w:rsidRDefault="006936BE">
      <w:pPr>
        <w:tabs>
          <w:tab w:val="center" w:pos="433"/>
          <w:tab w:val="center" w:pos="7080"/>
        </w:tabs>
        <w:spacing w:line="259" w:lineRule="auto"/>
        <w:ind w:left="0" w:firstLine="0"/>
        <w:jc w:val="left"/>
      </w:pPr>
      <w:r>
        <w:rPr>
          <w:rFonts w:ascii="Calibri" w:eastAsia="Calibri" w:hAnsi="Calibri" w:cs="Calibri"/>
          <w:sz w:val="22"/>
        </w:rPr>
        <w:tab/>
      </w:r>
      <w:r>
        <w:t xml:space="preserve"> </w:t>
      </w:r>
      <w:r>
        <w:tab/>
        <w:t xml:space="preserve">United States District Judge </w:t>
      </w:r>
    </w:p>
    <w:p w14:paraId="3804CF81" w14:textId="77777777" w:rsidR="00E73528" w:rsidRDefault="006936BE">
      <w:pPr>
        <w:spacing w:line="270" w:lineRule="auto"/>
        <w:ind w:right="4712"/>
      </w:pPr>
      <w:r>
        <w:t xml:space="preserve">_______________________________/ </w:t>
      </w:r>
      <w:r>
        <w:tab/>
        <w:t xml:space="preserve">  </w:t>
      </w:r>
      <w:r>
        <w:tab/>
        <w:t xml:space="preserve"> </w:t>
      </w:r>
    </w:p>
    <w:p w14:paraId="2B99672C" w14:textId="77777777" w:rsidR="00E73528" w:rsidRDefault="006936BE">
      <w:pPr>
        <w:spacing w:line="259" w:lineRule="auto"/>
        <w:ind w:right="318"/>
      </w:pPr>
      <w:r>
        <w:t xml:space="preserve">This Opinion and Order Relates To: </w:t>
      </w:r>
    </w:p>
    <w:p w14:paraId="3717DE9F" w14:textId="77777777" w:rsidR="00E73528" w:rsidRDefault="006936BE">
      <w:pPr>
        <w:spacing w:line="259" w:lineRule="auto"/>
        <w:ind w:right="318"/>
      </w:pPr>
      <w:r>
        <w:t xml:space="preserve">ALL CASES </w:t>
      </w:r>
    </w:p>
    <w:p w14:paraId="29C45939" w14:textId="77777777" w:rsidR="00E73528" w:rsidRDefault="006936BE">
      <w:pPr>
        <w:spacing w:after="0" w:line="259" w:lineRule="auto"/>
        <w:ind w:left="3313" w:firstLine="0"/>
        <w:jc w:val="left"/>
      </w:pPr>
      <w:r>
        <w:t xml:space="preserve"> </w:t>
      </w:r>
    </w:p>
    <w:p w14:paraId="6C9FA2EA" w14:textId="77777777" w:rsidR="00E73528" w:rsidRDefault="006936BE">
      <w:pPr>
        <w:spacing w:line="259" w:lineRule="auto"/>
        <w:ind w:right="318"/>
      </w:pPr>
      <w:r>
        <w:t xml:space="preserve">________________________________/ </w:t>
      </w:r>
    </w:p>
    <w:p w14:paraId="4339E896" w14:textId="77777777" w:rsidR="00E73528" w:rsidRDefault="006936BE">
      <w:pPr>
        <w:spacing w:after="0" w:line="259" w:lineRule="auto"/>
        <w:ind w:left="81" w:firstLine="0"/>
        <w:jc w:val="center"/>
      </w:pPr>
      <w:r>
        <w:t xml:space="preserve"> </w:t>
      </w:r>
    </w:p>
    <w:p w14:paraId="1F9CACD1" w14:textId="77777777" w:rsidR="00E73528" w:rsidRDefault="006936BE">
      <w:pPr>
        <w:spacing w:after="0" w:line="259" w:lineRule="auto"/>
        <w:ind w:left="376"/>
        <w:jc w:val="left"/>
      </w:pPr>
      <w:r>
        <w:t xml:space="preserve">OPINION AND ORDER GRANTING IN PART AND DENYING IN </w:t>
      </w:r>
    </w:p>
    <w:p w14:paraId="589E9E19" w14:textId="77777777" w:rsidR="00E73528" w:rsidRDefault="006936BE">
      <w:pPr>
        <w:spacing w:after="0" w:line="259" w:lineRule="auto"/>
        <w:ind w:left="453"/>
        <w:jc w:val="left"/>
      </w:pPr>
      <w:r>
        <w:t xml:space="preserve">PART PLAINTIFFS’ MOTION FOR AN AWARD OF ATTORNEY </w:t>
      </w:r>
    </w:p>
    <w:p w14:paraId="58240C8F" w14:textId="77777777" w:rsidR="00E73528" w:rsidRDefault="006936BE">
      <w:pPr>
        <w:spacing w:after="0" w:line="259" w:lineRule="auto"/>
        <w:ind w:left="355"/>
        <w:jc w:val="left"/>
      </w:pPr>
      <w:r>
        <w:t xml:space="preserve">FEES AND REIMBURSEMENT OF EXPENSES [1458]; DENYING </w:t>
      </w:r>
    </w:p>
    <w:p w14:paraId="7A029DDE" w14:textId="77777777" w:rsidR="00E73528" w:rsidRDefault="006936BE">
      <w:pPr>
        <w:spacing w:after="3" w:line="255" w:lineRule="auto"/>
        <w:ind w:left="94" w:right="84"/>
        <w:jc w:val="center"/>
      </w:pPr>
      <w:r>
        <w:t xml:space="preserve">HALL OBJECTORS’ MOTION TO REVIEW AND RESPOND TO HOURLY BILLING AND COSTS [1586]; AND DENYING THE </w:t>
      </w:r>
    </w:p>
    <w:p w14:paraId="516F3845" w14:textId="77777777" w:rsidR="00E73528" w:rsidRDefault="006936BE">
      <w:pPr>
        <w:spacing w:after="0" w:line="259" w:lineRule="auto"/>
        <w:ind w:left="496"/>
        <w:jc w:val="left"/>
      </w:pPr>
      <w:r>
        <w:t xml:space="preserve">CHAPMAN/LOWERY PLAINTIFFS’ MOTION TO REVIEW AND </w:t>
      </w:r>
    </w:p>
    <w:p w14:paraId="32CE9B30" w14:textId="77777777" w:rsidR="00E73528" w:rsidRDefault="006936BE">
      <w:pPr>
        <w:spacing w:after="0" w:line="259" w:lineRule="auto"/>
        <w:ind w:left="10" w:right="9"/>
        <w:jc w:val="center"/>
      </w:pPr>
      <w:r>
        <w:rPr>
          <w:u w:val="single" w:color="000000"/>
        </w:rPr>
        <w:t>RESPOND TO HOURLY BILLING AND COSTS [1710, 1722]</w:t>
      </w:r>
      <w:r>
        <w:t xml:space="preserve"> </w:t>
      </w:r>
    </w:p>
    <w:p w14:paraId="3B245E66" w14:textId="77777777" w:rsidR="00E73528" w:rsidRDefault="006936BE">
      <w:pPr>
        <w:spacing w:after="0" w:line="259" w:lineRule="auto"/>
        <w:ind w:left="325" w:firstLine="0"/>
        <w:jc w:val="left"/>
      </w:pPr>
      <w:r>
        <w:t xml:space="preserve"> </w:t>
      </w:r>
    </w:p>
    <w:p w14:paraId="7D464059" w14:textId="77777777" w:rsidR="00E73528" w:rsidRDefault="006936BE">
      <w:pPr>
        <w:spacing w:after="241"/>
        <w:ind w:left="320" w:right="318"/>
      </w:pPr>
      <w:r>
        <w:t xml:space="preserve"> Before the Court is Plaintiffs’ Motion for an Award of Attorney Fees and Reimbursement of Expenses (“Fee and Expense Motion”) made in connection with the partial settlement in the Flint Water litigation.</w:t>
      </w:r>
      <w:r>
        <w:rPr>
          <w:vertAlign w:val="superscript"/>
        </w:rPr>
        <w:footnoteReference w:id="1"/>
      </w:r>
      <w:r>
        <w:t xml:space="preserve"> </w:t>
      </w:r>
    </w:p>
    <w:p w14:paraId="0B1F999C" w14:textId="77777777" w:rsidR="00E73528" w:rsidRDefault="006936BE">
      <w:pPr>
        <w:spacing w:after="0" w:line="259" w:lineRule="auto"/>
        <w:ind w:left="325" w:firstLine="0"/>
        <w:jc w:val="left"/>
      </w:pPr>
      <w:r>
        <w:rPr>
          <w:rFonts w:ascii="Calibri" w:eastAsia="Calibri" w:hAnsi="Calibri" w:cs="Calibri"/>
          <w:noProof/>
          <w:sz w:val="22"/>
        </w:rPr>
        <w:lastRenderedPageBreak/>
        <mc:AlternateContent>
          <mc:Choice Requires="wpg">
            <w:drawing>
              <wp:inline distT="0" distB="0" distL="0" distR="0" wp14:anchorId="2CD056C8" wp14:editId="4F9DF3CC">
                <wp:extent cx="1828800" cy="9144"/>
                <wp:effectExtent l="0" t="0" r="0" b="0"/>
                <wp:docPr id="69824" name="Group 69824"/>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94360" name="Shape 94360"/>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824" style="width:144pt;height:0.719971pt;mso-position-horizontal-relative:char;mso-position-vertical-relative:line" coordsize="18288,91">
                <v:shape id="Shape 94361"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5654B223"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PageID.72047   Filed 02/04/22   Page 2 of 99</w:t>
      </w:r>
    </w:p>
    <w:p w14:paraId="0A42D8F6" w14:textId="77777777" w:rsidR="00E73528" w:rsidRDefault="006936BE">
      <w:pPr>
        <w:ind w:left="320" w:right="318"/>
      </w:pPr>
      <w:r>
        <w:t>(ECF No. 1458.) Movants’ request for fees and expenses arises from the fact that Co-Liaison Counsel for Individual Plaintiffs</w:t>
      </w:r>
      <w:r>
        <w:rPr>
          <w:vertAlign w:val="superscript"/>
        </w:rPr>
        <w:t>2</w:t>
      </w:r>
      <w:r>
        <w:t xml:space="preserve"> and Co-Lead Class </w:t>
      </w:r>
    </w:p>
    <w:p w14:paraId="1710194F" w14:textId="77777777" w:rsidR="002A058F" w:rsidRDefault="006936BE" w:rsidP="002A058F">
      <w:pPr>
        <w:spacing w:after="91"/>
        <w:ind w:left="320" w:right="318"/>
      </w:pPr>
      <w:r>
        <w:t>Counsel for the Settlement Class</w:t>
      </w:r>
      <w:r>
        <w:rPr>
          <w:vertAlign w:val="superscript"/>
        </w:rPr>
        <w:t>3</w:t>
      </w:r>
      <w:r>
        <w:t xml:space="preserve"> (as well as Settlement Subclass Counsel, the law firms that have worked with and under the supervision of Co-Lead Class Counsel, and the Plaintiffs’ Executive Committee (together with Co-Lead Class Counsel referred to as “Class Counsel”)) successfully negotiated with Settling Defendants</w:t>
      </w:r>
      <w:r>
        <w:rPr>
          <w:vertAlign w:val="superscript"/>
        </w:rPr>
        <w:footnoteReference w:id="2"/>
      </w:r>
      <w:r>
        <w:t xml:space="preserve"> and achieved a </w:t>
      </w:r>
    </w:p>
    <w:p w14:paraId="6811D1AC" w14:textId="3E8BDFA9" w:rsidR="00E73528" w:rsidRDefault="006936BE" w:rsidP="002A058F">
      <w:pPr>
        <w:spacing w:after="91"/>
        <w:ind w:left="320" w:right="318"/>
      </w:pPr>
      <w:r>
        <w:rPr>
          <w:rFonts w:ascii="Calibri" w:eastAsia="Calibri" w:hAnsi="Calibri" w:cs="Calibri"/>
          <w:noProof/>
          <w:sz w:val="22"/>
        </w:rPr>
        <mc:AlternateContent>
          <mc:Choice Requires="wpg">
            <w:drawing>
              <wp:inline distT="0" distB="0" distL="0" distR="0" wp14:anchorId="799EBB56" wp14:editId="5985D777">
                <wp:extent cx="1828800" cy="9144"/>
                <wp:effectExtent l="0" t="0" r="0" b="0"/>
                <wp:docPr id="69884" name="Group 69884"/>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94362" name="Shape 9436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884" style="width:144pt;height:0.720001pt;mso-position-horizontal-relative:char;mso-position-vertical-relative:line" coordsize="18288,91">
                <v:shape id="Shape 94363"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EA5A501" w14:textId="77777777" w:rsidR="00E73528" w:rsidRDefault="006936BE">
      <w:pPr>
        <w:spacing w:after="139" w:line="290" w:lineRule="auto"/>
        <w:ind w:left="320" w:right="319"/>
      </w:pPr>
      <w:r>
        <w:rPr>
          <w:sz w:val="24"/>
        </w:rPr>
        <w:t xml:space="preserve">Abood Law Firm. (ECF No. 1458, PageID.57145–57147.) The signatories to the Fee and Expense Motion are referred to herein as “Movants.” There are additional </w:t>
      </w:r>
      <w:proofErr w:type="gramStart"/>
      <w:r>
        <w:rPr>
          <w:sz w:val="24"/>
        </w:rPr>
        <w:t>individually-retained</w:t>
      </w:r>
      <w:proofErr w:type="gramEnd"/>
      <w:r>
        <w:rPr>
          <w:sz w:val="24"/>
        </w:rPr>
        <w:t xml:space="preserve"> counsel for Plaintiffs who did not join in the motion. Together, Movants and non-movant Plaintiffs’ counsel are referred to as “Plaintiffs’ Counsel.” </w:t>
      </w:r>
    </w:p>
    <w:p w14:paraId="03B7D1F6" w14:textId="77777777" w:rsidR="00E73528" w:rsidRDefault="006936BE">
      <w:pPr>
        <w:numPr>
          <w:ilvl w:val="0"/>
          <w:numId w:val="1"/>
        </w:numPr>
        <w:spacing w:after="139" w:line="290" w:lineRule="auto"/>
        <w:ind w:right="319"/>
      </w:pPr>
      <w:r>
        <w:rPr>
          <w:sz w:val="24"/>
        </w:rPr>
        <w:t xml:space="preserve">Unless otherwise defined herein, capitalized terms in this Opinion and Order, such as “Co-Liaison Counsel,” “Co-Lead Class Counsel,” and “Settlement Class” have the same meanings as defined in the Amended Settlement Agreement (“ASA”). (See ECF No. 1394-2, PageID.54127–54138 (listing the definitions used in the ASA).) </w:t>
      </w:r>
    </w:p>
    <w:p w14:paraId="3DFE7F7E" w14:textId="77777777" w:rsidR="00E73528" w:rsidRDefault="006936BE">
      <w:pPr>
        <w:numPr>
          <w:ilvl w:val="0"/>
          <w:numId w:val="1"/>
        </w:numPr>
        <w:spacing w:after="139" w:line="290" w:lineRule="auto"/>
        <w:ind w:right="319"/>
      </w:pPr>
      <w:r>
        <w:rPr>
          <w:sz w:val="24"/>
        </w:rPr>
        <w:t xml:space="preserve">As stated in the ASA, Co-Liaison Counsel for Individual Plaintiffs (“Co-Liaison Counsel”) means Corey M. Stern of Levy Konigsberg, LLP and Hunter Shkolnik of Napoli Shkolnik, PLLC. </w:t>
      </w:r>
      <w:r>
        <w:rPr>
          <w:sz w:val="24"/>
        </w:rPr>
        <w:lastRenderedPageBreak/>
        <w:t>Co-Lead Counsel for the Settlement Class (“</w:t>
      </w:r>
      <w:proofErr w:type="spellStart"/>
      <w:r>
        <w:rPr>
          <w:sz w:val="24"/>
        </w:rPr>
        <w:t>CoLead</w:t>
      </w:r>
      <w:proofErr w:type="spellEnd"/>
      <w:r>
        <w:rPr>
          <w:sz w:val="24"/>
        </w:rPr>
        <w:t xml:space="preserve"> Class Counsel”) means Theodore J. Leopold of Cohen Milstein Sellers &amp; Toll PLLC and Michael L. Pitt of Pitt McGhee Palmer &amp; Rivers, P.C.  </w:t>
      </w:r>
    </w:p>
    <w:p w14:paraId="676DD64B" w14:textId="77777777" w:rsidR="00E73528" w:rsidRDefault="006936BE">
      <w:pPr>
        <w:spacing w:after="139" w:line="290" w:lineRule="auto"/>
        <w:ind w:left="320" w:right="319"/>
      </w:pPr>
      <w:r>
        <w:rPr>
          <w:sz w:val="24"/>
        </w:rPr>
        <w:t xml:space="preserve"> </w:t>
      </w:r>
      <w:r w:rsidRPr="002A058F">
        <w:rPr>
          <w:sz w:val="24"/>
          <w:highlight w:val="yellow"/>
        </w:rPr>
        <w:t>Co-Liaison Counsel and Co-Lead Counsel are together referred to as Plaintiffs’ Leadership Group or “PLG</w:t>
      </w:r>
      <w:r>
        <w:rPr>
          <w:sz w:val="24"/>
        </w:rPr>
        <w:t xml:space="preserve">.”  </w:t>
      </w:r>
    </w:p>
    <w:p w14:paraId="7BC2ED0F"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PageID.72048   Filed 02/04/22   Page 3 of 99</w:t>
      </w:r>
    </w:p>
    <w:p w14:paraId="000D5549" w14:textId="77777777" w:rsidR="00E73528" w:rsidRDefault="006936BE">
      <w:pPr>
        <w:ind w:left="320" w:right="318"/>
      </w:pPr>
      <w:r w:rsidRPr="002A058F">
        <w:rPr>
          <w:highlight w:val="yellow"/>
        </w:rPr>
        <w:t>$626.25 million partial settlement in the Flint Water Cases.</w:t>
      </w:r>
      <w:r>
        <w:t xml:space="preserve"> The Court granted final approval to the partial settlement on November 10, 2021. </w:t>
      </w:r>
    </w:p>
    <w:p w14:paraId="1A8D7650" w14:textId="77777777" w:rsidR="00E73528" w:rsidRDefault="006936BE">
      <w:pPr>
        <w:spacing w:after="324" w:line="259" w:lineRule="auto"/>
        <w:ind w:left="320" w:right="318"/>
      </w:pPr>
      <w:r>
        <w:t xml:space="preserve">See In re Flint Water Cases, --F. Supp. 3d. --, No. 5:16-cv-10444, 2021 WL </w:t>
      </w:r>
    </w:p>
    <w:p w14:paraId="400095A8" w14:textId="77777777" w:rsidR="00E73528" w:rsidRDefault="006936BE">
      <w:pPr>
        <w:ind w:left="320" w:right="318"/>
      </w:pPr>
      <w:r>
        <w:t xml:space="preserve">5237198 (E.D. Mich. Nov. 10, 2021) (the “Final Approval Opinion”). (ECF No. 2008.) </w:t>
      </w:r>
    </w:p>
    <w:p w14:paraId="717A372C" w14:textId="77777777" w:rsidR="00E73528" w:rsidRDefault="006936BE">
      <w:pPr>
        <w:ind w:left="320" w:right="318"/>
      </w:pPr>
      <w:r>
        <w:t xml:space="preserve"> Thus far, Plaintiffs’ Counsel </w:t>
      </w:r>
      <w:proofErr w:type="gramStart"/>
      <w:r>
        <w:t>have</w:t>
      </w:r>
      <w:proofErr w:type="gramEnd"/>
      <w:r>
        <w:t xml:space="preserve"> not been paid for their work or reimbursed for out-of-pocket expenses in the Flint Water Cases at all. Determining the appropriate fee award is a challenging task. </w:t>
      </w:r>
      <w:r w:rsidRPr="002A058F">
        <w:rPr>
          <w:highlight w:val="yellow"/>
        </w:rPr>
        <w:t>As is common in settlements, Plaintiffs’ Counsel’s fees and costs will be deducted from the $626.25 million total settlement, and accordingly, every dollar awarded to the attorneys is a dollar less for the Claimants. Because of this, the Court must balance society’s strong interest in paying lawyers for their work and encouraging counsel to accept similar engagements in the future with the important interest in maximizing the Claimants’ Monetary Awards.</w:t>
      </w:r>
      <w:r>
        <w:t xml:space="preserve"> These are just some of the many factors the Court must weigh in making this decision. </w:t>
      </w:r>
    </w:p>
    <w:p w14:paraId="78A3853F" w14:textId="77777777" w:rsidR="00E73528" w:rsidRDefault="006936BE">
      <w:pPr>
        <w:ind w:left="320" w:right="318"/>
      </w:pPr>
      <w:r>
        <w:t xml:space="preserve"> The structure of the proposal set forth in the Fee and Expense Motion is consistent with the fair and equitable design of the underlying settlement. Movants have proposed an arrangement whereby certain </w:t>
      </w:r>
    </w:p>
    <w:p w14:paraId="343BC23D"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PageID.72049   Filed 02/04/22   Page 4 of 99</w:t>
      </w:r>
    </w:p>
    <w:p w14:paraId="73977DD7" w14:textId="77777777" w:rsidR="00E73528" w:rsidRDefault="006936BE">
      <w:pPr>
        <w:ind w:left="320" w:right="318"/>
      </w:pPr>
      <w:r w:rsidRPr="002A058F">
        <w:rPr>
          <w:highlight w:val="yellow"/>
        </w:rPr>
        <w:lastRenderedPageBreak/>
        <w:t>amounts would be deducted from the $626.25 million settlement in a manner that provides for parity in recovery among similarly situated Claimants</w:t>
      </w:r>
      <w:r>
        <w:t xml:space="preserve">. Article V of the </w:t>
      </w:r>
      <w:r w:rsidRPr="002A058F">
        <w:rPr>
          <w:highlight w:val="yellow"/>
        </w:rPr>
        <w:t>Amended Settlement Agreement (“ASA</w:t>
      </w:r>
      <w:r>
        <w:t xml:space="preserve">”) indicates that the funds available for payment to Claimants is determined by deducting attorney fees, attorney expenses, and certain administrative fees from the settlement amount. (ECF No. 1394-2, </w:t>
      </w:r>
    </w:p>
    <w:p w14:paraId="15C39F96" w14:textId="77777777" w:rsidR="00E73528" w:rsidRDefault="006936BE">
      <w:pPr>
        <w:ind w:left="320" w:right="318"/>
      </w:pPr>
      <w:r>
        <w:t xml:space="preserve">PageID.54146.) The result is that every Claimant will effectively pay for Plaintiffs’ Counsel’s work in a manner that </w:t>
      </w:r>
      <w:r w:rsidRPr="002A058F">
        <w:rPr>
          <w:highlight w:val="yellow"/>
        </w:rPr>
        <w:t>provides for parity in recovery among similarly situated Claimants regardless of whether the Claimant is a class member or an individual who is not a member of a class</w:t>
      </w:r>
      <w:r>
        <w:t xml:space="preserve">; a Minor or an Adult; an individual person or a business or property owner; and whether the individual is represented by counsel or not. This aspect of the proposal is simple, uniform, and well-designed to compensate Plaintiffs’ Counsel for their work while also retaining parity, or equality, among Claimants who qualify for the same settlement Compensation </w:t>
      </w:r>
    </w:p>
    <w:p w14:paraId="0CCE0859" w14:textId="77777777" w:rsidR="00E73528" w:rsidRDefault="006936BE">
      <w:pPr>
        <w:spacing w:after="599"/>
        <w:ind w:left="320" w:right="318"/>
      </w:pPr>
      <w:r>
        <w:t>Grid category.</w:t>
      </w:r>
      <w:r>
        <w:rPr>
          <w:vertAlign w:val="superscript"/>
        </w:rPr>
        <w:footnoteReference w:id="3"/>
      </w:r>
      <w:r>
        <w:t xml:space="preserve">  </w:t>
      </w:r>
    </w:p>
    <w:p w14:paraId="5723036A" w14:textId="77777777" w:rsidR="00E73528" w:rsidRDefault="006936BE">
      <w:pPr>
        <w:spacing w:after="0" w:line="259" w:lineRule="auto"/>
        <w:ind w:left="325" w:firstLine="0"/>
        <w:jc w:val="left"/>
      </w:pPr>
      <w:r>
        <w:rPr>
          <w:rFonts w:ascii="Calibri" w:eastAsia="Calibri" w:hAnsi="Calibri" w:cs="Calibri"/>
          <w:noProof/>
          <w:sz w:val="22"/>
        </w:rPr>
        <mc:AlternateContent>
          <mc:Choice Requires="wpg">
            <w:drawing>
              <wp:inline distT="0" distB="0" distL="0" distR="0" wp14:anchorId="7EA7C891" wp14:editId="05C668CD">
                <wp:extent cx="1828800" cy="9144"/>
                <wp:effectExtent l="0" t="0" r="0" b="0"/>
                <wp:docPr id="69504" name="Group 69504"/>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94368" name="Shape 9436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504" style="width:144pt;height:0.720032pt;mso-position-horizontal-relative:char;mso-position-vertical-relative:line" coordsize="18288,91">
                <v:shape id="Shape 94369"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7546E57A"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PageID.72050   Filed 02/04/22   Page 5 of 99</w:t>
      </w:r>
    </w:p>
    <w:p w14:paraId="3BDE6FB5" w14:textId="77777777" w:rsidR="00E73528" w:rsidRDefault="006936BE">
      <w:pPr>
        <w:ind w:left="320" w:right="318"/>
      </w:pPr>
      <w:r>
        <w:lastRenderedPageBreak/>
        <w:t xml:space="preserve"> Movants’ proposal for compensating Plaintiffs’ Counsel who have worked on the litigation and settlement is intricate and nuanced. Movants’ proposal includes several components. All these components will be described more thoroughly below. They are:  </w:t>
      </w:r>
    </w:p>
    <w:p w14:paraId="5F704C4B" w14:textId="77777777" w:rsidR="00E73528" w:rsidRDefault="006936BE">
      <w:pPr>
        <w:numPr>
          <w:ilvl w:val="0"/>
          <w:numId w:val="2"/>
        </w:numPr>
        <w:spacing w:after="280" w:line="249" w:lineRule="auto"/>
        <w:ind w:left="1463" w:right="318" w:hanging="418"/>
      </w:pPr>
      <w:r w:rsidRPr="002A058F">
        <w:rPr>
          <w:highlight w:val="yellow"/>
        </w:rPr>
        <w:t>A common benefit component, which, if awarded, would be deducted from the $626.25 million settlement amount and then divided among Co-Liaison Counsel and Co-Lead Class Counsel</w:t>
      </w:r>
      <w:r>
        <w:t xml:space="preserve"> for further subdivision and allocation to various firms under Article XI of the ASA (see ECF No. 1394-2, PageID.54159–54160);  </w:t>
      </w:r>
    </w:p>
    <w:p w14:paraId="722BB568" w14:textId="77777777" w:rsidR="00E73528" w:rsidRDefault="006936BE">
      <w:pPr>
        <w:numPr>
          <w:ilvl w:val="0"/>
          <w:numId w:val="2"/>
        </w:numPr>
        <w:spacing w:after="280" w:line="249" w:lineRule="auto"/>
        <w:ind w:left="1463" w:right="318" w:hanging="418"/>
      </w:pPr>
      <w:r>
        <w:t xml:space="preserve">A </w:t>
      </w:r>
      <w:r w:rsidRPr="002A058F">
        <w:rPr>
          <w:highlight w:val="yellow"/>
        </w:rPr>
        <w:t>common benefit assessment on (a) the value of claims made by Claimants who retained counsel soon before the settlement was announced,</w:t>
      </w:r>
      <w:r>
        <w:t xml:space="preserve"> and (b) on the value of claims made by unrepresented minor Claimants, which would be divided between Co-Liaison and Co-Lead Class Counsel for further subdivision and allocation to various firms under Article XI of the ASA (see id.); </w:t>
      </w:r>
    </w:p>
    <w:p w14:paraId="11DB40A8" w14:textId="77777777" w:rsidR="00E73528" w:rsidRDefault="006936BE">
      <w:pPr>
        <w:numPr>
          <w:ilvl w:val="0"/>
          <w:numId w:val="2"/>
        </w:numPr>
        <w:spacing w:after="266" w:line="259" w:lineRule="auto"/>
        <w:ind w:left="1463" w:right="318" w:hanging="418"/>
      </w:pPr>
      <w:r>
        <w:t xml:space="preserve">A capped assessment awarded to Class Counsel only on:  </w:t>
      </w:r>
    </w:p>
    <w:p w14:paraId="234C39D6" w14:textId="77777777" w:rsidR="00E73528" w:rsidRDefault="006936BE">
      <w:pPr>
        <w:numPr>
          <w:ilvl w:val="1"/>
          <w:numId w:val="2"/>
        </w:numPr>
        <w:spacing w:after="266" w:line="259" w:lineRule="auto"/>
        <w:ind w:left="2183" w:right="318" w:hanging="418"/>
      </w:pPr>
      <w:r>
        <w:t xml:space="preserve">the value of certain resolved subclass claims;  </w:t>
      </w:r>
    </w:p>
    <w:p w14:paraId="3E538130" w14:textId="77777777" w:rsidR="00E73528" w:rsidRDefault="006936BE">
      <w:pPr>
        <w:numPr>
          <w:ilvl w:val="1"/>
          <w:numId w:val="2"/>
        </w:numPr>
        <w:spacing w:after="281" w:line="248" w:lineRule="auto"/>
        <w:ind w:left="2183" w:right="318" w:hanging="418"/>
      </w:pPr>
      <w:r>
        <w:t xml:space="preserve">the Programmatic Relief Sub-Qualified Settlement Fund; and  </w:t>
      </w:r>
    </w:p>
    <w:p w14:paraId="248FDBFE" w14:textId="77777777" w:rsidR="00E73528" w:rsidRDefault="006936BE">
      <w:pPr>
        <w:numPr>
          <w:ilvl w:val="1"/>
          <w:numId w:val="2"/>
        </w:numPr>
        <w:spacing w:after="281" w:line="248" w:lineRule="auto"/>
        <w:ind w:left="2183" w:right="318" w:hanging="418"/>
      </w:pPr>
      <w:r>
        <w:t xml:space="preserve">claims involving an individual who was a Minor at the time they retained Class Counsel; </w:t>
      </w:r>
    </w:p>
    <w:p w14:paraId="3DF752AD" w14:textId="77777777" w:rsidR="00E73528" w:rsidRDefault="006936BE">
      <w:pPr>
        <w:numPr>
          <w:ilvl w:val="0"/>
          <w:numId w:val="2"/>
        </w:numPr>
        <w:spacing w:after="182" w:line="249" w:lineRule="auto"/>
        <w:ind w:left="1463" w:right="318" w:hanging="418"/>
      </w:pPr>
      <w:r w:rsidRPr="002A058F">
        <w:rPr>
          <w:highlight w:val="yellow"/>
        </w:rPr>
        <w:t>A proposed capped contingency fee on the value of the claims awarded to an individual who is represented by an attorney (referred to as Individually Retained Counsel (“IRC</w:t>
      </w:r>
      <w:r>
        <w:t xml:space="preserve">”), which includes not only Co-Liaison Counsel but also objectors’ counsel and any other non-class counsel representing an individual client). The </w:t>
      </w:r>
    </w:p>
    <w:p w14:paraId="542B818D" w14:textId="77777777" w:rsidR="00E73528" w:rsidRDefault="006936BE">
      <w:pPr>
        <w:spacing w:after="0" w:line="259" w:lineRule="auto"/>
        <w:ind w:left="325" w:firstLine="0"/>
        <w:jc w:val="left"/>
      </w:pPr>
      <w:r>
        <w:rPr>
          <w:rFonts w:ascii="Calibri" w:eastAsia="Calibri" w:hAnsi="Calibri" w:cs="Calibri"/>
          <w:noProof/>
          <w:sz w:val="22"/>
        </w:rPr>
        <mc:AlternateContent>
          <mc:Choice Requires="wpg">
            <w:drawing>
              <wp:inline distT="0" distB="0" distL="0" distR="0" wp14:anchorId="27AF3958" wp14:editId="0837B9A4">
                <wp:extent cx="1828800" cy="9144"/>
                <wp:effectExtent l="0" t="0" r="0" b="0"/>
                <wp:docPr id="69823" name="Group 69823"/>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94384" name="Shape 9438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9823" style="width:144pt;height:0.719971pt;mso-position-horizontal-relative:char;mso-position-vertical-relative:line" coordsize="18288,91">
                <v:shape id="Shape 94385"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2415DBBC" w14:textId="77777777" w:rsidR="00E73528" w:rsidRDefault="006936BE">
      <w:pPr>
        <w:spacing w:after="139" w:line="290" w:lineRule="auto"/>
        <w:ind w:left="320" w:right="319"/>
      </w:pPr>
      <w:r>
        <w:rPr>
          <w:sz w:val="24"/>
        </w:rPr>
        <w:t xml:space="preserve">amount of compensation as all other Claimants in that Category.” Final Approval Opinion, 2021 WL 5237198, at *8. </w:t>
      </w:r>
    </w:p>
    <w:p w14:paraId="759B8925"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PageID.72051   Filed 02/04/22   Page 6 of 99</w:t>
      </w:r>
    </w:p>
    <w:p w14:paraId="6AE94614" w14:textId="77777777" w:rsidR="00E73528" w:rsidRDefault="006936BE">
      <w:pPr>
        <w:spacing w:after="281" w:line="248" w:lineRule="auto"/>
        <w:ind w:left="1055" w:right="318"/>
      </w:pPr>
      <w:r w:rsidRPr="002A058F">
        <w:rPr>
          <w:highlight w:val="yellow"/>
        </w:rPr>
        <w:lastRenderedPageBreak/>
        <w:t>fee amount sought varies depending on the date the engagement began;</w:t>
      </w:r>
      <w:r>
        <w:t xml:space="preserve"> and  </w:t>
      </w:r>
    </w:p>
    <w:p w14:paraId="12324E00" w14:textId="77777777" w:rsidR="00E73528" w:rsidRDefault="006936BE">
      <w:pPr>
        <w:numPr>
          <w:ilvl w:val="0"/>
          <w:numId w:val="2"/>
        </w:numPr>
        <w:spacing w:after="269" w:line="259" w:lineRule="auto"/>
        <w:ind w:left="1463" w:right="318" w:hanging="418"/>
      </w:pPr>
      <w:r>
        <w:t xml:space="preserve">Expenses.  </w:t>
      </w:r>
    </w:p>
    <w:p w14:paraId="2EE71CA9" w14:textId="77777777" w:rsidR="00E73528" w:rsidRDefault="006936BE">
      <w:pPr>
        <w:spacing w:after="324" w:line="259" w:lineRule="auto"/>
        <w:ind w:left="320" w:right="318"/>
      </w:pPr>
      <w:r>
        <w:t xml:space="preserve">(See ECF No. 1458, PageID.57165–57166.)  </w:t>
      </w:r>
    </w:p>
    <w:p w14:paraId="73433DE2" w14:textId="77777777" w:rsidR="00E73528" w:rsidRDefault="006936BE">
      <w:pPr>
        <w:ind w:left="320" w:right="318"/>
      </w:pPr>
      <w:r>
        <w:t xml:space="preserve"> For the reasons set forth below, the Court grants in part and denies in part the Fee and Expense Motion. The objections are granted in part and denied in part; specifically, the Unrepresented Objectors and the Chapman/Lowery Objections are granted in </w:t>
      </w:r>
      <w:proofErr w:type="gramStart"/>
      <w:r>
        <w:t>part</w:t>
      </w:r>
      <w:proofErr w:type="gramEnd"/>
      <w:r>
        <w:t xml:space="preserve"> and the Hall Objectors’ and Plaintiff Brown’s objections are denied. The motions for discovery are denied.  </w:t>
      </w:r>
    </w:p>
    <w:sdt>
      <w:sdtPr>
        <w:id w:val="-679343287"/>
        <w:docPartObj>
          <w:docPartGallery w:val="Table of Contents"/>
        </w:docPartObj>
      </w:sdtPr>
      <w:sdtEndPr/>
      <w:sdtContent>
        <w:p w14:paraId="75A9F3AB" w14:textId="77777777" w:rsidR="00E73528" w:rsidRDefault="006936BE">
          <w:pPr>
            <w:spacing w:after="325" w:line="255" w:lineRule="auto"/>
            <w:ind w:left="94" w:right="85"/>
            <w:jc w:val="center"/>
          </w:pPr>
          <w:r>
            <w:t xml:space="preserve">TABLE OF CONTENTS </w:t>
          </w:r>
        </w:p>
        <w:p w14:paraId="13F5EEF8" w14:textId="77777777" w:rsidR="00E73528" w:rsidRDefault="006936BE">
          <w:pPr>
            <w:pStyle w:val="TOC1"/>
            <w:tabs>
              <w:tab w:val="right" w:leader="dot" w:pos="10011"/>
            </w:tabs>
          </w:pPr>
          <w:r>
            <w:fldChar w:fldCharType="begin"/>
          </w:r>
          <w:r>
            <w:instrText xml:space="preserve"> TOC \o "1-3" \h \z \u </w:instrText>
          </w:r>
          <w:r>
            <w:fldChar w:fldCharType="separate"/>
          </w:r>
          <w:hyperlink w:anchor="_Toc93550">
            <w:r w:rsidR="00E73528">
              <w:t>I.</w:t>
            </w:r>
            <w:r w:rsidR="00E73528">
              <w:rPr>
                <w:sz w:val="22"/>
              </w:rPr>
              <w:t xml:space="preserve">  </w:t>
            </w:r>
            <w:r w:rsidR="00E73528">
              <w:t>BACKGROUND</w:t>
            </w:r>
            <w:r w:rsidR="00E73528">
              <w:tab/>
            </w:r>
            <w:r w:rsidR="00E73528">
              <w:fldChar w:fldCharType="begin"/>
            </w:r>
            <w:r w:rsidR="00E73528">
              <w:instrText>PAGEREF _Toc93550 \h</w:instrText>
            </w:r>
            <w:r w:rsidR="00E73528">
              <w:fldChar w:fldCharType="separate"/>
            </w:r>
            <w:r w:rsidR="00E73528">
              <w:t xml:space="preserve">8 </w:t>
            </w:r>
            <w:r w:rsidR="00E73528">
              <w:fldChar w:fldCharType="end"/>
            </w:r>
          </w:hyperlink>
        </w:p>
        <w:p w14:paraId="5CDD5FB5" w14:textId="77777777" w:rsidR="00E73528" w:rsidRDefault="00E73528">
          <w:pPr>
            <w:pStyle w:val="TOC2"/>
            <w:tabs>
              <w:tab w:val="right" w:leader="dot" w:pos="10011"/>
            </w:tabs>
          </w:pPr>
          <w:hyperlink w:anchor="_Toc93551">
            <w:r>
              <w:t>A.</w:t>
            </w:r>
            <w:r>
              <w:rPr>
                <w:sz w:val="22"/>
              </w:rPr>
              <w:t xml:space="preserve"> </w:t>
            </w:r>
            <w:r>
              <w:t>Judicial Oversight of Plaintiffs’ Counsel’s Time and Expenses</w:t>
            </w:r>
            <w:r>
              <w:tab/>
            </w:r>
            <w:r>
              <w:fldChar w:fldCharType="begin"/>
            </w:r>
            <w:r>
              <w:instrText>PAGEREF _Toc93551 \h</w:instrText>
            </w:r>
            <w:r>
              <w:fldChar w:fldCharType="separate"/>
            </w:r>
            <w:r>
              <w:t xml:space="preserve">9 </w:t>
            </w:r>
            <w:r>
              <w:fldChar w:fldCharType="end"/>
            </w:r>
          </w:hyperlink>
        </w:p>
        <w:p w14:paraId="33AD84C3" w14:textId="77777777" w:rsidR="00E73528" w:rsidRDefault="00E73528">
          <w:pPr>
            <w:pStyle w:val="TOC2"/>
            <w:tabs>
              <w:tab w:val="right" w:leader="dot" w:pos="10011"/>
            </w:tabs>
          </w:pPr>
          <w:hyperlink w:anchor="_Toc93552">
            <w:r>
              <w:t>B.</w:t>
            </w:r>
            <w:r>
              <w:rPr>
                <w:sz w:val="22"/>
              </w:rPr>
              <w:t xml:space="preserve"> </w:t>
            </w:r>
            <w:r>
              <w:t>Details of Plaintiffs’ Counsel’s Fee Proposal</w:t>
            </w:r>
            <w:r>
              <w:tab/>
            </w:r>
            <w:r>
              <w:fldChar w:fldCharType="begin"/>
            </w:r>
            <w:r>
              <w:instrText>PAGEREF _Toc93552 \h</w:instrText>
            </w:r>
            <w:r>
              <w:fldChar w:fldCharType="separate"/>
            </w:r>
            <w:r>
              <w:t xml:space="preserve">15 </w:t>
            </w:r>
            <w:r>
              <w:fldChar w:fldCharType="end"/>
            </w:r>
          </w:hyperlink>
        </w:p>
        <w:p w14:paraId="22CAF6CC" w14:textId="77777777" w:rsidR="00E73528" w:rsidRDefault="00E73528">
          <w:pPr>
            <w:pStyle w:val="TOC3"/>
            <w:tabs>
              <w:tab w:val="right" w:leader="dot" w:pos="10011"/>
            </w:tabs>
          </w:pPr>
          <w:hyperlink w:anchor="_Toc93553">
            <w:r>
              <w:t>1.</w:t>
            </w:r>
            <w:r>
              <w:rPr>
                <w:sz w:val="22"/>
              </w:rPr>
              <w:t xml:space="preserve">  </w:t>
            </w:r>
            <w:r>
              <w:t>The CBA Request</w:t>
            </w:r>
            <w:r>
              <w:tab/>
            </w:r>
            <w:r>
              <w:fldChar w:fldCharType="begin"/>
            </w:r>
            <w:r>
              <w:instrText>PAGEREF _Toc93553 \h</w:instrText>
            </w:r>
            <w:r>
              <w:fldChar w:fldCharType="separate"/>
            </w:r>
            <w:r>
              <w:t xml:space="preserve">16 </w:t>
            </w:r>
            <w:r>
              <w:fldChar w:fldCharType="end"/>
            </w:r>
          </w:hyperlink>
        </w:p>
        <w:p w14:paraId="5F6AAE4C" w14:textId="77777777" w:rsidR="00E73528" w:rsidRDefault="00E73528">
          <w:pPr>
            <w:pStyle w:val="TOC3"/>
            <w:tabs>
              <w:tab w:val="right" w:leader="dot" w:pos="10011"/>
            </w:tabs>
          </w:pPr>
          <w:hyperlink w:anchor="_Toc93554">
            <w:r>
              <w:t>2.</w:t>
            </w:r>
            <w:r>
              <w:rPr>
                <w:sz w:val="22"/>
              </w:rPr>
              <w:t xml:space="preserve">  </w:t>
            </w:r>
            <w:r>
              <w:t>Class Counsel Fees: Capped Assessment Request</w:t>
            </w:r>
            <w:r>
              <w:tab/>
            </w:r>
            <w:r>
              <w:fldChar w:fldCharType="begin"/>
            </w:r>
            <w:r>
              <w:instrText>PAGEREF _Toc93554 \h</w:instrText>
            </w:r>
            <w:r>
              <w:fldChar w:fldCharType="separate"/>
            </w:r>
            <w:r>
              <w:t xml:space="preserve">17 </w:t>
            </w:r>
            <w:r>
              <w:fldChar w:fldCharType="end"/>
            </w:r>
          </w:hyperlink>
        </w:p>
        <w:p w14:paraId="1AAD90AC" w14:textId="77777777" w:rsidR="00E73528" w:rsidRDefault="00E73528">
          <w:pPr>
            <w:pStyle w:val="TOC3"/>
            <w:tabs>
              <w:tab w:val="right" w:leader="dot" w:pos="10011"/>
            </w:tabs>
          </w:pPr>
          <w:hyperlink w:anchor="_Toc93555">
            <w:r>
              <w:t>3.</w:t>
            </w:r>
            <w:r>
              <w:rPr>
                <w:sz w:val="22"/>
              </w:rPr>
              <w:t xml:space="preserve">  </w:t>
            </w:r>
            <w:r>
              <w:t>IRC: Capped Contingency Fee Request</w:t>
            </w:r>
            <w:r>
              <w:tab/>
            </w:r>
            <w:r>
              <w:fldChar w:fldCharType="begin"/>
            </w:r>
            <w:r>
              <w:instrText>PAGEREF _Toc93555 \h</w:instrText>
            </w:r>
            <w:r>
              <w:fldChar w:fldCharType="separate"/>
            </w:r>
            <w:r>
              <w:t xml:space="preserve">18 </w:t>
            </w:r>
            <w:r>
              <w:fldChar w:fldCharType="end"/>
            </w:r>
          </w:hyperlink>
        </w:p>
        <w:p w14:paraId="0F93E204" w14:textId="77777777" w:rsidR="00E73528" w:rsidRDefault="00E73528">
          <w:pPr>
            <w:pStyle w:val="TOC3"/>
            <w:tabs>
              <w:tab w:val="right" w:leader="dot" w:pos="10011"/>
            </w:tabs>
          </w:pPr>
          <w:hyperlink w:anchor="_Toc93556">
            <w:r>
              <w:t>4.</w:t>
            </w:r>
            <w:r>
              <w:rPr>
                <w:sz w:val="22"/>
              </w:rPr>
              <w:t xml:space="preserve">  </w:t>
            </w:r>
            <w:r>
              <w:t>Other Principles Applicable to the Fee and Expense Motion</w:t>
            </w:r>
            <w:r>
              <w:tab/>
            </w:r>
            <w:r>
              <w:fldChar w:fldCharType="begin"/>
            </w:r>
            <w:r>
              <w:instrText>PAGEREF _Toc93556 \h</w:instrText>
            </w:r>
            <w:r>
              <w:fldChar w:fldCharType="separate"/>
            </w:r>
            <w:r>
              <w:t xml:space="preserve">19 </w:t>
            </w:r>
            <w:r>
              <w:fldChar w:fldCharType="end"/>
            </w:r>
          </w:hyperlink>
        </w:p>
        <w:p w14:paraId="37526A87" w14:textId="77777777" w:rsidR="00E73528" w:rsidRDefault="00E73528">
          <w:pPr>
            <w:pStyle w:val="TOC2"/>
            <w:tabs>
              <w:tab w:val="right" w:leader="dot" w:pos="10011"/>
            </w:tabs>
          </w:pPr>
          <w:hyperlink w:anchor="_Toc93557">
            <w:r>
              <w:t>C.</w:t>
            </w:r>
            <w:r>
              <w:rPr>
                <w:sz w:val="22"/>
              </w:rPr>
              <w:t xml:space="preserve"> </w:t>
            </w:r>
            <w:r>
              <w:t>Movants’ Cost Reimbursement Request</w:t>
            </w:r>
            <w:r>
              <w:tab/>
            </w:r>
            <w:r>
              <w:fldChar w:fldCharType="begin"/>
            </w:r>
            <w:r>
              <w:instrText>PAGEREF _Toc93557 \h</w:instrText>
            </w:r>
            <w:r>
              <w:fldChar w:fldCharType="separate"/>
            </w:r>
            <w:r>
              <w:t xml:space="preserve">22 </w:t>
            </w:r>
            <w:r>
              <w:fldChar w:fldCharType="end"/>
            </w:r>
          </w:hyperlink>
        </w:p>
        <w:p w14:paraId="6FCD83EC" w14:textId="77777777" w:rsidR="00E73528" w:rsidRDefault="00E73528">
          <w:pPr>
            <w:pStyle w:val="TOC2"/>
            <w:tabs>
              <w:tab w:val="right" w:leader="dot" w:pos="10011"/>
            </w:tabs>
          </w:pPr>
          <w:hyperlink w:anchor="_Toc93558">
            <w:r>
              <w:t>D.</w:t>
            </w:r>
            <w:r>
              <w:rPr>
                <w:sz w:val="22"/>
              </w:rPr>
              <w:t xml:space="preserve"> </w:t>
            </w:r>
            <w:r>
              <w:t>Filing of (1) Objections to the Fee and Expense Motion; and (2) the Discovery Motions</w:t>
            </w:r>
            <w:r>
              <w:tab/>
            </w:r>
            <w:r>
              <w:fldChar w:fldCharType="begin"/>
            </w:r>
            <w:r>
              <w:instrText>PAGEREF _Toc93558 \h</w:instrText>
            </w:r>
            <w:r>
              <w:fldChar w:fldCharType="separate"/>
            </w:r>
            <w:r>
              <w:t xml:space="preserve">23 </w:t>
            </w:r>
            <w:r>
              <w:fldChar w:fldCharType="end"/>
            </w:r>
          </w:hyperlink>
        </w:p>
        <w:p w14:paraId="3A4AEE7E" w14:textId="77777777" w:rsidR="00E73528" w:rsidRDefault="00E73528">
          <w:pPr>
            <w:pStyle w:val="TOC2"/>
            <w:tabs>
              <w:tab w:val="right" w:leader="dot" w:pos="10011"/>
            </w:tabs>
          </w:pPr>
          <w:hyperlink w:anchor="_Toc93559">
            <w:r>
              <w:t>E.</w:t>
            </w:r>
            <w:r>
              <w:rPr>
                <w:sz w:val="22"/>
              </w:rPr>
              <w:t xml:space="preserve"> </w:t>
            </w:r>
            <w:r>
              <w:t>Hearing on the Fee and Expense Motion</w:t>
            </w:r>
            <w:r>
              <w:tab/>
            </w:r>
            <w:r>
              <w:fldChar w:fldCharType="begin"/>
            </w:r>
            <w:r>
              <w:instrText>PAGEREF _Toc93559 \h</w:instrText>
            </w:r>
            <w:r>
              <w:fldChar w:fldCharType="separate"/>
            </w:r>
            <w:r>
              <w:t xml:space="preserve">25 </w:t>
            </w:r>
            <w:r>
              <w:fldChar w:fldCharType="end"/>
            </w:r>
          </w:hyperlink>
        </w:p>
        <w:p w14:paraId="67AC380E" w14:textId="77777777" w:rsidR="00E73528" w:rsidRDefault="00E73528">
          <w:pPr>
            <w:pStyle w:val="TOC2"/>
            <w:tabs>
              <w:tab w:val="right" w:leader="dot" w:pos="10011"/>
            </w:tabs>
          </w:pPr>
          <w:hyperlink w:anchor="_Toc93560">
            <w:r>
              <w:t>F.</w:t>
            </w:r>
            <w:r>
              <w:rPr>
                <w:sz w:val="22"/>
              </w:rPr>
              <w:t xml:space="preserve">  </w:t>
            </w:r>
            <w:r>
              <w:t>The Special Master’s Written Report</w:t>
            </w:r>
            <w:r>
              <w:tab/>
            </w:r>
            <w:r>
              <w:fldChar w:fldCharType="begin"/>
            </w:r>
            <w:r>
              <w:instrText>PAGEREF _Toc93560 \h</w:instrText>
            </w:r>
            <w:r>
              <w:fldChar w:fldCharType="separate"/>
            </w:r>
            <w:r>
              <w:t xml:space="preserve">28 </w:t>
            </w:r>
            <w:r>
              <w:fldChar w:fldCharType="end"/>
            </w:r>
          </w:hyperlink>
        </w:p>
        <w:p w14:paraId="54EF5A96" w14:textId="77777777" w:rsidR="00E73528" w:rsidRDefault="00E73528">
          <w:pPr>
            <w:pStyle w:val="TOC1"/>
            <w:tabs>
              <w:tab w:val="right" w:leader="dot" w:pos="10011"/>
            </w:tabs>
          </w:pPr>
          <w:hyperlink w:anchor="_Toc93561">
            <w:r>
              <w:t>II.</w:t>
            </w:r>
            <w:r>
              <w:rPr>
                <w:sz w:val="22"/>
              </w:rPr>
              <w:t xml:space="preserve"> </w:t>
            </w:r>
            <w:r>
              <w:t>APPLICABLE LAW</w:t>
            </w:r>
            <w:r>
              <w:tab/>
            </w:r>
            <w:r>
              <w:fldChar w:fldCharType="begin"/>
            </w:r>
            <w:r>
              <w:instrText>PAGEREF _Toc93561 \h</w:instrText>
            </w:r>
            <w:r>
              <w:fldChar w:fldCharType="separate"/>
            </w:r>
            <w:r>
              <w:t xml:space="preserve">30 </w:t>
            </w:r>
            <w:r>
              <w:fldChar w:fldCharType="end"/>
            </w:r>
          </w:hyperlink>
        </w:p>
        <w:p w14:paraId="7D72FCBD" w14:textId="77777777" w:rsidR="00E73528" w:rsidRDefault="00E73528">
          <w:pPr>
            <w:pStyle w:val="TOC2"/>
            <w:tabs>
              <w:tab w:val="right" w:leader="dot" w:pos="10011"/>
            </w:tabs>
          </w:pPr>
          <w:hyperlink w:anchor="_Toc93562">
            <w:r>
              <w:t>A.</w:t>
            </w:r>
            <w:r>
              <w:rPr>
                <w:sz w:val="22"/>
              </w:rPr>
              <w:t xml:space="preserve"> </w:t>
            </w:r>
            <w:r>
              <w:t>Applicable Law for Common Benefit Award Fee Request</w:t>
            </w:r>
            <w:r>
              <w:tab/>
            </w:r>
            <w:r>
              <w:fldChar w:fldCharType="begin"/>
            </w:r>
            <w:r>
              <w:instrText>PAGEREF _Toc93562 \h</w:instrText>
            </w:r>
            <w:r>
              <w:fldChar w:fldCharType="separate"/>
            </w:r>
            <w:r>
              <w:t xml:space="preserve">30 </w:t>
            </w:r>
            <w:r>
              <w:fldChar w:fldCharType="end"/>
            </w:r>
          </w:hyperlink>
        </w:p>
        <w:p w14:paraId="3F56CD1B" w14:textId="77777777" w:rsidR="00E73528" w:rsidRDefault="006936BE">
          <w:r>
            <w:fldChar w:fldCharType="end"/>
          </w:r>
        </w:p>
      </w:sdtContent>
    </w:sdt>
    <w:p w14:paraId="000754C3"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PageID.72052   Filed 02/04/22   Page 7 of 99</w:t>
      </w:r>
    </w:p>
    <w:p w14:paraId="344B690C" w14:textId="77777777" w:rsidR="00E73528" w:rsidRDefault="006936BE">
      <w:pPr>
        <w:numPr>
          <w:ilvl w:val="0"/>
          <w:numId w:val="3"/>
        </w:numPr>
        <w:spacing w:after="87" w:line="259" w:lineRule="auto"/>
        <w:ind w:right="318" w:hanging="559"/>
      </w:pPr>
      <w:r>
        <w:lastRenderedPageBreak/>
        <w:t>Applicable Law for Class Counsel Fee Request ........................... 33</w:t>
      </w:r>
      <w:r>
        <w:rPr>
          <w:sz w:val="22"/>
        </w:rPr>
        <w:t xml:space="preserve"> </w:t>
      </w:r>
    </w:p>
    <w:p w14:paraId="4C09D1A5" w14:textId="77777777" w:rsidR="00E73528" w:rsidRDefault="006936BE">
      <w:pPr>
        <w:numPr>
          <w:ilvl w:val="0"/>
          <w:numId w:val="3"/>
        </w:numPr>
        <w:spacing w:after="87" w:line="259" w:lineRule="auto"/>
        <w:ind w:right="318" w:hanging="559"/>
      </w:pPr>
      <w:r>
        <w:t>Applicable Law for IRC’s Contingency Fee Adjustment .............. 34</w:t>
      </w:r>
      <w:r>
        <w:rPr>
          <w:sz w:val="22"/>
        </w:rPr>
        <w:t xml:space="preserve"> </w:t>
      </w:r>
    </w:p>
    <w:p w14:paraId="2FBC77B7" w14:textId="77777777" w:rsidR="00E73528" w:rsidRDefault="006936BE">
      <w:pPr>
        <w:numPr>
          <w:ilvl w:val="0"/>
          <w:numId w:val="3"/>
        </w:numPr>
        <w:spacing w:after="87" w:line="259" w:lineRule="auto"/>
        <w:ind w:right="318" w:hanging="559"/>
      </w:pPr>
      <w:r>
        <w:t>Applicable Law for Expense Request ........................................... 36</w:t>
      </w:r>
      <w:r>
        <w:rPr>
          <w:sz w:val="22"/>
        </w:rPr>
        <w:t xml:space="preserve"> </w:t>
      </w:r>
    </w:p>
    <w:p w14:paraId="6C4979F9" w14:textId="77777777" w:rsidR="00E73528" w:rsidRDefault="006936BE">
      <w:pPr>
        <w:numPr>
          <w:ilvl w:val="0"/>
          <w:numId w:val="4"/>
        </w:numPr>
        <w:spacing w:after="87" w:line="259" w:lineRule="auto"/>
        <w:ind w:right="21" w:hanging="840"/>
        <w:jc w:val="center"/>
      </w:pPr>
      <w:r>
        <w:t>ANALYSIS .................................................................................... 37</w:t>
      </w:r>
      <w:r>
        <w:rPr>
          <w:sz w:val="22"/>
        </w:rPr>
        <w:t xml:space="preserve"> </w:t>
      </w:r>
    </w:p>
    <w:p w14:paraId="59D94522" w14:textId="77777777" w:rsidR="00E73528" w:rsidRDefault="006936BE">
      <w:pPr>
        <w:numPr>
          <w:ilvl w:val="1"/>
          <w:numId w:val="4"/>
        </w:numPr>
        <w:spacing w:after="87" w:line="259" w:lineRule="auto"/>
        <w:ind w:right="318" w:hanging="559"/>
      </w:pPr>
      <w:r>
        <w:t>Expense Award ............................................................................. 37</w:t>
      </w:r>
      <w:r>
        <w:rPr>
          <w:sz w:val="22"/>
        </w:rPr>
        <w:t xml:space="preserve"> </w:t>
      </w:r>
    </w:p>
    <w:p w14:paraId="7F3E16F8" w14:textId="77777777" w:rsidR="00E73528" w:rsidRDefault="006936BE">
      <w:pPr>
        <w:numPr>
          <w:ilvl w:val="1"/>
          <w:numId w:val="4"/>
        </w:numPr>
        <w:spacing w:after="87" w:line="259" w:lineRule="auto"/>
        <w:ind w:right="318" w:hanging="559"/>
      </w:pPr>
      <w:r>
        <w:t>Fee Award Summary .................................................................... 42</w:t>
      </w:r>
      <w:r>
        <w:rPr>
          <w:sz w:val="22"/>
        </w:rPr>
        <w:t xml:space="preserve"> </w:t>
      </w:r>
    </w:p>
    <w:p w14:paraId="0C041E56" w14:textId="77777777" w:rsidR="00E73528" w:rsidRDefault="006936BE">
      <w:pPr>
        <w:numPr>
          <w:ilvl w:val="2"/>
          <w:numId w:val="4"/>
        </w:numPr>
        <w:spacing w:line="321" w:lineRule="auto"/>
        <w:ind w:right="318" w:hanging="540"/>
      </w:pPr>
      <w:r>
        <w:t>Ramey Factors ........................................................................... 48</w:t>
      </w:r>
      <w:r>
        <w:rPr>
          <w:sz w:val="22"/>
        </w:rPr>
        <w:t xml:space="preserve"> </w:t>
      </w:r>
      <w:r>
        <w:t>a.</w:t>
      </w:r>
      <w:r>
        <w:rPr>
          <w:sz w:val="22"/>
        </w:rPr>
        <w:t xml:space="preserve"> </w:t>
      </w:r>
      <w:r>
        <w:t>Value of the Benefit Rendered ............................................... 49</w:t>
      </w:r>
      <w:r>
        <w:rPr>
          <w:sz w:val="22"/>
        </w:rPr>
        <w:t xml:space="preserve"> </w:t>
      </w:r>
    </w:p>
    <w:p w14:paraId="150C6EA2" w14:textId="77777777" w:rsidR="00E73528" w:rsidRDefault="006936BE">
      <w:pPr>
        <w:numPr>
          <w:ilvl w:val="3"/>
          <w:numId w:val="4"/>
        </w:numPr>
        <w:spacing w:after="87" w:line="259" w:lineRule="auto"/>
        <w:ind w:right="318" w:hanging="480"/>
      </w:pPr>
      <w:r>
        <w:t>Society’s Stake in Rewarding Attorneys ................................ 51</w:t>
      </w:r>
      <w:r>
        <w:rPr>
          <w:sz w:val="22"/>
        </w:rPr>
        <w:t xml:space="preserve"> </w:t>
      </w:r>
    </w:p>
    <w:p w14:paraId="18FD08D5" w14:textId="77777777" w:rsidR="00E73528" w:rsidRDefault="006936BE">
      <w:pPr>
        <w:numPr>
          <w:ilvl w:val="3"/>
          <w:numId w:val="4"/>
        </w:numPr>
        <w:spacing w:after="87" w:line="259" w:lineRule="auto"/>
        <w:ind w:right="318" w:hanging="480"/>
      </w:pPr>
      <w:r>
        <w:t>Services Rendered on a Contingency Fee Basis .................... 53</w:t>
      </w:r>
      <w:r>
        <w:rPr>
          <w:sz w:val="22"/>
        </w:rPr>
        <w:t xml:space="preserve"> </w:t>
      </w:r>
    </w:p>
    <w:p w14:paraId="3E488DE6" w14:textId="77777777" w:rsidR="00E73528" w:rsidRDefault="006936BE">
      <w:pPr>
        <w:numPr>
          <w:ilvl w:val="3"/>
          <w:numId w:val="4"/>
        </w:numPr>
        <w:spacing w:after="87" w:line="259" w:lineRule="auto"/>
        <w:ind w:right="318" w:hanging="480"/>
      </w:pPr>
      <w:r>
        <w:t xml:space="preserve">Value of Services </w:t>
      </w:r>
      <w:proofErr w:type="gramStart"/>
      <w:r>
        <w:t>On</w:t>
      </w:r>
      <w:proofErr w:type="gramEnd"/>
      <w:r>
        <w:t xml:space="preserve"> </w:t>
      </w:r>
      <w:proofErr w:type="gramStart"/>
      <w:r>
        <w:t>An</w:t>
      </w:r>
      <w:proofErr w:type="gramEnd"/>
      <w:r>
        <w:t xml:space="preserve"> Hourly Basis ................................... 61</w:t>
      </w:r>
      <w:r>
        <w:rPr>
          <w:sz w:val="22"/>
        </w:rPr>
        <w:t xml:space="preserve"> </w:t>
      </w:r>
    </w:p>
    <w:p w14:paraId="00788514" w14:textId="77777777" w:rsidR="00E73528" w:rsidRDefault="006936BE">
      <w:pPr>
        <w:numPr>
          <w:ilvl w:val="3"/>
          <w:numId w:val="4"/>
        </w:numPr>
        <w:spacing w:after="87" w:line="259" w:lineRule="auto"/>
        <w:ind w:right="318" w:hanging="480"/>
      </w:pPr>
      <w:r>
        <w:t>Complexity of the Litigation ................................................... 72</w:t>
      </w:r>
      <w:r>
        <w:rPr>
          <w:sz w:val="22"/>
        </w:rPr>
        <w:t xml:space="preserve"> </w:t>
      </w:r>
    </w:p>
    <w:p w14:paraId="2A95FF8C" w14:textId="77777777" w:rsidR="00E73528" w:rsidRDefault="006936BE">
      <w:pPr>
        <w:numPr>
          <w:ilvl w:val="3"/>
          <w:numId w:val="4"/>
        </w:numPr>
        <w:spacing w:after="87" w:line="259" w:lineRule="auto"/>
        <w:ind w:right="318" w:hanging="480"/>
      </w:pPr>
      <w:r>
        <w:t>Counsel’s Skill Level ............................................................... 73</w:t>
      </w:r>
      <w:r>
        <w:rPr>
          <w:sz w:val="22"/>
        </w:rPr>
        <w:t xml:space="preserve"> </w:t>
      </w:r>
    </w:p>
    <w:p w14:paraId="577968F0" w14:textId="77777777" w:rsidR="00E73528" w:rsidRDefault="006936BE">
      <w:pPr>
        <w:numPr>
          <w:ilvl w:val="3"/>
          <w:numId w:val="4"/>
        </w:numPr>
        <w:spacing w:after="87" w:line="259" w:lineRule="auto"/>
        <w:ind w:right="318" w:hanging="480"/>
      </w:pPr>
      <w:r>
        <w:t>Conclusion ............................................................................... 74</w:t>
      </w:r>
      <w:r>
        <w:rPr>
          <w:sz w:val="22"/>
        </w:rPr>
        <w:t xml:space="preserve"> </w:t>
      </w:r>
    </w:p>
    <w:p w14:paraId="67BBA4AD" w14:textId="77777777" w:rsidR="00E73528" w:rsidRDefault="006936BE">
      <w:pPr>
        <w:numPr>
          <w:ilvl w:val="1"/>
          <w:numId w:val="4"/>
        </w:numPr>
        <w:spacing w:after="87" w:line="259" w:lineRule="auto"/>
        <w:ind w:right="318" w:hanging="559"/>
      </w:pPr>
      <w:r>
        <w:t>Objections ...................................................................................... 75</w:t>
      </w:r>
      <w:r>
        <w:rPr>
          <w:sz w:val="22"/>
        </w:rPr>
        <w:t xml:space="preserve"> </w:t>
      </w:r>
    </w:p>
    <w:p w14:paraId="24A96F25" w14:textId="77777777" w:rsidR="00E73528" w:rsidRDefault="006936BE">
      <w:pPr>
        <w:numPr>
          <w:ilvl w:val="2"/>
          <w:numId w:val="4"/>
        </w:numPr>
        <w:spacing w:after="87" w:line="259" w:lineRule="auto"/>
        <w:ind w:right="318" w:hanging="540"/>
      </w:pPr>
      <w:r>
        <w:t>Unrepresented Objectors’ Objections ........................................ 76</w:t>
      </w:r>
      <w:r>
        <w:rPr>
          <w:sz w:val="22"/>
        </w:rPr>
        <w:t xml:space="preserve"> </w:t>
      </w:r>
    </w:p>
    <w:p w14:paraId="1319A04E" w14:textId="77777777" w:rsidR="00E73528" w:rsidRDefault="006936BE">
      <w:pPr>
        <w:numPr>
          <w:ilvl w:val="2"/>
          <w:numId w:val="4"/>
        </w:numPr>
        <w:spacing w:after="87" w:line="259" w:lineRule="auto"/>
        <w:ind w:right="318" w:hanging="540"/>
      </w:pPr>
      <w:r>
        <w:t>The Hall Objectors’ Objection ................................................... 80</w:t>
      </w:r>
      <w:r>
        <w:rPr>
          <w:sz w:val="22"/>
        </w:rPr>
        <w:t xml:space="preserve"> </w:t>
      </w:r>
    </w:p>
    <w:p w14:paraId="59279D36" w14:textId="77777777" w:rsidR="00E73528" w:rsidRDefault="006936BE">
      <w:pPr>
        <w:numPr>
          <w:ilvl w:val="2"/>
          <w:numId w:val="4"/>
        </w:numPr>
        <w:spacing w:after="87" w:line="259" w:lineRule="auto"/>
        <w:ind w:right="318" w:hanging="540"/>
      </w:pPr>
      <w:r>
        <w:t>The Chapman/Lowery Objectors’ Objection............................. 88</w:t>
      </w:r>
      <w:r>
        <w:rPr>
          <w:sz w:val="22"/>
        </w:rPr>
        <w:t xml:space="preserve"> </w:t>
      </w:r>
    </w:p>
    <w:p w14:paraId="5FC70864" w14:textId="77777777" w:rsidR="00E73528" w:rsidRDefault="006936BE">
      <w:pPr>
        <w:numPr>
          <w:ilvl w:val="2"/>
          <w:numId w:val="4"/>
        </w:numPr>
        <w:spacing w:after="87" w:line="259" w:lineRule="auto"/>
        <w:ind w:right="318" w:hanging="540"/>
      </w:pPr>
      <w:r>
        <w:t>Brown’s Objection ...................................................................... 92</w:t>
      </w:r>
      <w:r>
        <w:rPr>
          <w:sz w:val="22"/>
        </w:rPr>
        <w:t xml:space="preserve"> </w:t>
      </w:r>
    </w:p>
    <w:p w14:paraId="7199D41E" w14:textId="77777777" w:rsidR="00E73528" w:rsidRDefault="006936BE">
      <w:pPr>
        <w:numPr>
          <w:ilvl w:val="1"/>
          <w:numId w:val="4"/>
        </w:numPr>
        <w:spacing w:after="87" w:line="259" w:lineRule="auto"/>
        <w:ind w:right="318" w:hanging="559"/>
      </w:pPr>
      <w:r>
        <w:t>The Hall and Chapman/Lowery Objectors’ Discovery Motions</w:t>
      </w:r>
      <w:proofErr w:type="gramStart"/>
      <w:r>
        <w:t xml:space="preserve"> ..</w:t>
      </w:r>
      <w:proofErr w:type="gramEnd"/>
      <w:r>
        <w:t xml:space="preserve"> 94</w:t>
      </w:r>
      <w:r>
        <w:rPr>
          <w:sz w:val="22"/>
        </w:rPr>
        <w:t xml:space="preserve"> </w:t>
      </w:r>
    </w:p>
    <w:p w14:paraId="356B8367" w14:textId="77777777" w:rsidR="00E73528" w:rsidRDefault="006936BE">
      <w:pPr>
        <w:numPr>
          <w:ilvl w:val="0"/>
          <w:numId w:val="4"/>
        </w:numPr>
        <w:spacing w:after="225" w:line="259" w:lineRule="auto"/>
        <w:ind w:right="21" w:hanging="840"/>
        <w:jc w:val="center"/>
      </w:pPr>
      <w:r>
        <w:t>CONCLUSION ............................................................................. 97</w:t>
      </w:r>
      <w:r>
        <w:rPr>
          <w:sz w:val="22"/>
        </w:rPr>
        <w:t xml:space="preserve"> </w:t>
      </w:r>
    </w:p>
    <w:p w14:paraId="789CCDAC" w14:textId="77777777" w:rsidR="00E73528" w:rsidRDefault="006936BE">
      <w:pPr>
        <w:spacing w:after="39" w:line="259" w:lineRule="auto"/>
        <w:ind w:left="325" w:firstLine="0"/>
        <w:jc w:val="left"/>
      </w:pPr>
      <w:r>
        <w:t xml:space="preserve"> </w:t>
      </w:r>
    </w:p>
    <w:p w14:paraId="328B35B9" w14:textId="77777777" w:rsidR="00E73528" w:rsidRDefault="006936BE">
      <w:pPr>
        <w:spacing w:after="0" w:line="259" w:lineRule="auto"/>
        <w:ind w:left="325" w:firstLine="0"/>
        <w:jc w:val="left"/>
      </w:pPr>
      <w:r>
        <w:t xml:space="preserve"> </w:t>
      </w:r>
      <w:r>
        <w:tab/>
        <w:t xml:space="preserve"> </w:t>
      </w:r>
    </w:p>
    <w:p w14:paraId="2198C5F6"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PageID.72053   Filed 02/04/22   Page 8 of 99</w:t>
      </w:r>
    </w:p>
    <w:p w14:paraId="7CEF3A57" w14:textId="77777777" w:rsidR="00E73528" w:rsidRPr="002A058F" w:rsidRDefault="006936BE">
      <w:pPr>
        <w:pStyle w:val="Heading1"/>
        <w:tabs>
          <w:tab w:val="center" w:pos="586"/>
          <w:tab w:val="center" w:pos="2180"/>
        </w:tabs>
        <w:ind w:left="0" w:right="0" w:firstLine="0"/>
        <w:rPr>
          <w:b/>
          <w:bCs/>
        </w:rPr>
      </w:pPr>
      <w:bookmarkStart w:id="0" w:name="_Toc93550"/>
      <w:r>
        <w:rPr>
          <w:rFonts w:ascii="Calibri" w:eastAsia="Calibri" w:hAnsi="Calibri" w:cs="Calibri"/>
          <w:sz w:val="22"/>
        </w:rPr>
        <w:tab/>
      </w:r>
      <w:r w:rsidRPr="002A058F">
        <w:rPr>
          <w:b/>
          <w:bCs/>
        </w:rPr>
        <w:t>I</w:t>
      </w:r>
      <w:proofErr w:type="gramStart"/>
      <w:r w:rsidRPr="002A058F">
        <w:rPr>
          <w:b/>
          <w:bCs/>
        </w:rPr>
        <w:t xml:space="preserve">. </w:t>
      </w:r>
      <w:r w:rsidRPr="002A058F">
        <w:rPr>
          <w:b/>
          <w:bCs/>
        </w:rPr>
        <w:tab/>
        <w:t>BACKGROUND</w:t>
      </w:r>
      <w:proofErr w:type="gramEnd"/>
      <w:r w:rsidRPr="002A058F">
        <w:rPr>
          <w:b/>
          <w:bCs/>
        </w:rPr>
        <w:t xml:space="preserve"> </w:t>
      </w:r>
      <w:bookmarkEnd w:id="0"/>
    </w:p>
    <w:p w14:paraId="4DABD9CA" w14:textId="095C7B52" w:rsidR="00E73528" w:rsidRDefault="006936BE">
      <w:pPr>
        <w:ind w:left="320" w:right="318"/>
      </w:pPr>
      <w:r>
        <w:t xml:space="preserve"> Plaintiffs’ Counsel initiated the Flint Water Cases against Settling Defendants without any guarantee of recovery for their clients or compensation for their work. Many of the lawsuits </w:t>
      </w:r>
      <w:r w:rsidRPr="002A058F">
        <w:rPr>
          <w:highlight w:val="yellow"/>
        </w:rPr>
        <w:t>were filed over five years ago</w:t>
      </w:r>
      <w:r>
        <w:t xml:space="preserve"> and have been heavily litigated since then </w:t>
      </w:r>
      <w:r>
        <w:lastRenderedPageBreak/>
        <w:t xml:space="preserve">at great cost to Plaintiffs’ Counsel. In the Fee and Expense Motion, </w:t>
      </w:r>
      <w:r w:rsidRPr="002A058F">
        <w:rPr>
          <w:highlight w:val="yellow"/>
        </w:rPr>
        <w:t>Movants state that Class Counsel and Co-Liaison Counsel performed a total of 182,571 hours of common benefit work (which will be further explained below) through February 15, 2021.</w:t>
      </w:r>
      <w:r>
        <w:t xml:space="preserve"> (ECF No. 1458, PageID.57172.) And certainly, much more work has been performed between then and now. For example, at the end of the day on March 8, 2021 (the date the Fee and Expense Motion was filed), there were 1458 docket entries in the main consolidated Flint Water Case, No. 5:16-cv-10444. Today, there are 2104 docket entries. This increase in the number of docket entries in a relatively short period of time illustrates the high volume and fast pace of this litigation. </w:t>
      </w:r>
    </w:p>
    <w:p w14:paraId="54CEF6FF" w14:textId="77777777" w:rsidR="00E73528" w:rsidRDefault="006936BE">
      <w:pPr>
        <w:ind w:left="320" w:right="318"/>
      </w:pPr>
      <w:r>
        <w:t xml:space="preserve"> The facts regarding the extensive settlement negotiations are discussed in </w:t>
      </w:r>
      <w:proofErr w:type="gramStart"/>
      <w:r>
        <w:t>the Final</w:t>
      </w:r>
      <w:proofErr w:type="gramEnd"/>
      <w:r>
        <w:t xml:space="preserve"> Approval Opinion. See Final Approval Opinion, 2021 WL 5237198, at *2–12. In the Final Approval Opinion, the Court described the many benefits of the settlement, including that it </w:t>
      </w:r>
    </w:p>
    <w:p w14:paraId="22E6670F"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PageID.72054   Filed 02/04/22   Page 9 of 99</w:t>
      </w:r>
    </w:p>
    <w:p w14:paraId="7C0C7CCB" w14:textId="77777777" w:rsidR="00E73528" w:rsidRDefault="006936BE">
      <w:pPr>
        <w:ind w:left="320" w:right="318"/>
      </w:pPr>
      <w:r>
        <w:t xml:space="preserve">eliminates the risks, delays, and costs of continuing litigation against the Settling Defendants through trial and provides for a substantial and guaranteed recovery for Claimants. It is, therefore, a positive and successful outcome for the tens of thousands of Claimants.  </w:t>
      </w:r>
    </w:p>
    <w:p w14:paraId="061C697E" w14:textId="77777777" w:rsidR="00E73528" w:rsidRDefault="006936BE">
      <w:pPr>
        <w:ind w:left="320" w:right="318"/>
      </w:pPr>
      <w:r>
        <w:t xml:space="preserve"> Additional facts regarding the Fee and Expense Motion are set forth below. These facts include the </w:t>
      </w:r>
      <w:proofErr w:type="gramStart"/>
      <w:r>
        <w:t>manner in which</w:t>
      </w:r>
      <w:proofErr w:type="gramEnd"/>
      <w:r>
        <w:t xml:space="preserve"> the Court and the </w:t>
      </w:r>
    </w:p>
    <w:p w14:paraId="0B07B010" w14:textId="77777777" w:rsidR="00E73528" w:rsidRDefault="006936BE">
      <w:pPr>
        <w:ind w:left="320" w:right="318"/>
      </w:pPr>
      <w:r>
        <w:lastRenderedPageBreak/>
        <w:t xml:space="preserve">Special Master have overseen Plaintiffs’ Counsel’s time and expenses (sometimes referred to as costs) while litigating these cases over many years, Movants’ proposal in their Fee and Expense Motion, and the objections to the motion. </w:t>
      </w:r>
    </w:p>
    <w:p w14:paraId="40FA0C83" w14:textId="77777777" w:rsidR="00E73528" w:rsidRPr="002A058F" w:rsidRDefault="006936BE">
      <w:pPr>
        <w:pStyle w:val="Heading2"/>
        <w:ind w:left="1750" w:right="0" w:hanging="360"/>
        <w:rPr>
          <w:b/>
          <w:bCs/>
        </w:rPr>
      </w:pPr>
      <w:bookmarkStart w:id="1" w:name="_Toc93551"/>
      <w:r w:rsidRPr="002A058F">
        <w:rPr>
          <w:b/>
          <w:bCs/>
        </w:rPr>
        <w:t xml:space="preserve">A. Judicial Oversight of Plaintiffs’ Counsel’s Time and Expenses </w:t>
      </w:r>
      <w:bookmarkEnd w:id="1"/>
    </w:p>
    <w:p w14:paraId="53BEC7FE" w14:textId="77777777" w:rsidR="00E73528" w:rsidRDefault="006936BE">
      <w:pPr>
        <w:ind w:left="320" w:right="318"/>
      </w:pPr>
      <w:r>
        <w:t xml:space="preserve"> As an initial matter, the Fee and Expense Motion involves</w:t>
      </w:r>
      <w:r>
        <w:t xml:space="preserve"> a common benefit component. The general policy in the United States is to follow what is known as the “American Rule,” which provides that litigants pay their own lawyers, regardless of who prevails. </w:t>
      </w:r>
      <w:r w:rsidRPr="002A058F">
        <w:rPr>
          <w:highlight w:val="yellow"/>
        </w:rPr>
        <w:t>Common benefit, or common fund, cases are considered exceptions to the American Rule. A common fund is “[a] monetary amount recovered by a litigant or lawyer for the benefit of a group that includes others, the litigant or lawyer then being entitled to reasonable attorney’s fees from the entire</w:t>
      </w:r>
      <w:r>
        <w:t xml:space="preserve"> </w:t>
      </w:r>
    </w:p>
    <w:p w14:paraId="590B4346"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PageID.72055   Filed 02/04/22   Page 10 of 99</w:t>
      </w:r>
    </w:p>
    <w:p w14:paraId="2020B2C4" w14:textId="77777777" w:rsidR="00E73528" w:rsidRDefault="006936BE">
      <w:pPr>
        <w:ind w:left="320" w:right="318"/>
      </w:pPr>
      <w:r w:rsidRPr="002A058F">
        <w:rPr>
          <w:highlight w:val="yellow"/>
        </w:rPr>
        <w:t>amount</w:t>
      </w:r>
      <w:r>
        <w:t xml:space="preserve">.” Common Fund, Black’s Law Dictionary (11th ed. 2019). The Supreme Court has explained that common benefit awards have “deep roots in equity.” US Airways, Inc. v. McCutchen, 569 U.S. 88, 100 (2013). The Court has “‘recognized consistently’ that someone ‘who recovers a common fund for the benefit of persons other than himself’ is due ‘a reasonable attorney’s fee from the fund as [a] whole.’” Id. at 104 (citations omitted). </w:t>
      </w:r>
      <w:r w:rsidRPr="002A058F">
        <w:rPr>
          <w:highlight w:val="yellow"/>
        </w:rPr>
        <w:t>In other words, common benefit awards are designed to “prevent freeloading” of other attorneys who did not perform as significant an amount of the work but still reap the benefits.</w:t>
      </w:r>
      <w:r>
        <w:t xml:space="preserve"> Id. at 96. The Sixth Circuit has </w:t>
      </w:r>
      <w:proofErr w:type="gramStart"/>
      <w:r>
        <w:t>long-recognized</w:t>
      </w:r>
      <w:proofErr w:type="gramEnd"/>
      <w:r>
        <w:t xml:space="preserve"> the </w:t>
      </w:r>
      <w:r>
        <w:lastRenderedPageBreak/>
        <w:t xml:space="preserve">common benefit doctrine. See Ramey v. Cincinnati Enquirer, Inc., 508 F.2d 1188, 1195 (6th Cir. 1974), cert. denied, 422 U.S. 1048 (1975).  </w:t>
      </w:r>
    </w:p>
    <w:p w14:paraId="23B8571E" w14:textId="3ED69AB7" w:rsidR="00E73528" w:rsidRDefault="006936BE" w:rsidP="002A058F">
      <w:pPr>
        <w:ind w:left="320" w:right="318"/>
      </w:pPr>
      <w:r>
        <w:t xml:space="preserve"> It is </w:t>
      </w:r>
      <w:proofErr w:type="gramStart"/>
      <w:r>
        <w:t>a customary</w:t>
      </w:r>
      <w:proofErr w:type="gramEnd"/>
      <w:r>
        <w:t xml:space="preserve"> practice in complex litigation for the court to make an early determination as to how time and expenses for the common benefit will be accounted for, if in fact a common benefit award is later granted. See William B. Rubenstein, Newberg on Class Actions, Common Benefit Fees— Procedures Governing Assessment and Award, § 15:115 (5th ed. 2021) (“Newberg”) (describing recurring general practices for addressing common benefit fees); see also David F. Herr, Annotated </w:t>
      </w:r>
      <w:r>
        <w:rPr>
          <w:rFonts w:ascii="Calibri" w:eastAsia="Calibri" w:hAnsi="Calibri" w:cs="Calibri"/>
          <w:color w:val="0000FF"/>
          <w:sz w:val="24"/>
        </w:rPr>
        <w:t>Case 5:16-cv-10444-JEL-EAS   ECF No. 2105, PageID.72056   Filed 02/04/22   Page 11 of 99</w:t>
      </w:r>
    </w:p>
    <w:p w14:paraId="09C31FE1" w14:textId="5AFB1D5A" w:rsidR="00E73528" w:rsidRDefault="006936BE" w:rsidP="002A058F">
      <w:pPr>
        <w:ind w:left="320" w:right="318"/>
      </w:pPr>
      <w:r>
        <w:t xml:space="preserve">Manual for Complex Litigation § 14.11 (4th ed. 2020). The Court did exactly this over three years ago.  </w:t>
      </w:r>
    </w:p>
    <w:p w14:paraId="55A2FD85" w14:textId="0D2684F8" w:rsidR="002A058F" w:rsidRPr="002A058F" w:rsidRDefault="002A058F" w:rsidP="002A058F">
      <w:pPr>
        <w:ind w:left="320" w:right="318"/>
        <w:jc w:val="center"/>
        <w:rPr>
          <w:b/>
          <w:bCs/>
        </w:rPr>
      </w:pPr>
      <w:r w:rsidRPr="002A058F">
        <w:rPr>
          <w:b/>
          <w:bCs/>
        </w:rPr>
        <w:t>* * * * * * * *</w:t>
      </w:r>
    </w:p>
    <w:p w14:paraId="29D42C10" w14:textId="77777777" w:rsidR="002A058F" w:rsidRDefault="006936BE">
      <w:pPr>
        <w:ind w:left="310" w:right="318" w:firstLine="1800"/>
      </w:pPr>
      <w:r>
        <w:t>c</w:t>
      </w:r>
      <w:r w:rsidRPr="002A058F">
        <w:rPr>
          <w:b/>
          <w:bCs/>
        </w:rPr>
        <w:t>. Services Rendered on a Contingency Fee Basis</w:t>
      </w:r>
      <w:r>
        <w:t xml:space="preserve">  </w:t>
      </w:r>
    </w:p>
    <w:p w14:paraId="1DAABF4D" w14:textId="60DD6E0F" w:rsidR="00E73528" w:rsidRDefault="006936BE">
      <w:pPr>
        <w:ind w:left="310" w:right="318" w:firstLine="1800"/>
      </w:pPr>
      <w:r>
        <w:t xml:space="preserve">The third Ramey factor— whether the lawyers’ services were undertaken on a contingent fee basis—is also met. See Ramey, 508 F.2d at 1196. This factor “stands as a proxy for the risk that attorneys will not </w:t>
      </w:r>
    </w:p>
    <w:p w14:paraId="3A79A82B"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PageID.72099   Filed 02/04/22   Page 54 of 99</w:t>
      </w:r>
    </w:p>
    <w:p w14:paraId="68354020" w14:textId="77777777" w:rsidR="00E73528" w:rsidRDefault="006936BE">
      <w:pPr>
        <w:ind w:left="320" w:right="318"/>
      </w:pPr>
      <w:r>
        <w:t xml:space="preserve">recover compensation for the work they put into a case.” In re Cardinal Health, 528 F. Supp. 2d at 766. The presence of a contingent fee arrangement is “an important factor </w:t>
      </w:r>
      <w:r>
        <w:lastRenderedPageBreak/>
        <w:t xml:space="preserve">in determining the fee award.” Stanley v. U.S. Steel Co., No. 04-74654, 2009 WL 4646647, at *3 (E.D. Mich. 2009). </w:t>
      </w:r>
    </w:p>
    <w:p w14:paraId="5DEA08E7" w14:textId="77777777" w:rsidR="00E73528" w:rsidRDefault="006936BE">
      <w:pPr>
        <w:ind w:left="320" w:right="318"/>
      </w:pPr>
      <w:r>
        <w:t xml:space="preserve"> </w:t>
      </w:r>
      <w:r w:rsidRPr="002A058F">
        <w:rPr>
          <w:highlight w:val="yellow"/>
        </w:rPr>
        <w:t xml:space="preserve">It is </w:t>
      </w:r>
      <w:proofErr w:type="gramStart"/>
      <w:r w:rsidRPr="002A058F">
        <w:rPr>
          <w:highlight w:val="yellow"/>
        </w:rPr>
        <w:t>well-established</w:t>
      </w:r>
      <w:proofErr w:type="gramEnd"/>
      <w:r w:rsidRPr="002A058F">
        <w:rPr>
          <w:highlight w:val="yellow"/>
        </w:rPr>
        <w:t xml:space="preserve"> in the record that all the lawyers— both in the class and non-class cases— have engaged </w:t>
      </w:r>
      <w:proofErr w:type="gramStart"/>
      <w:r w:rsidRPr="002A058F">
        <w:rPr>
          <w:highlight w:val="yellow"/>
        </w:rPr>
        <w:t>with</w:t>
      </w:r>
      <w:proofErr w:type="gramEnd"/>
      <w:r w:rsidRPr="002A058F">
        <w:rPr>
          <w:highlight w:val="yellow"/>
        </w:rPr>
        <w:t xml:space="preserve"> this work on a contingency fee basis and have not yet received compensation of any kind</w:t>
      </w:r>
      <w:r>
        <w:t>. (See ECF No. 1458, PageID.57158.) Plaintiffs’ counsel</w:t>
      </w:r>
      <w:proofErr w:type="gramStart"/>
      <w:r>
        <w:t>, and in particular</w:t>
      </w:r>
      <w:proofErr w:type="gramEnd"/>
      <w:r>
        <w:t xml:space="preserve"> PLG, retained experts, conducted abundant </w:t>
      </w:r>
      <w:proofErr w:type="gramStart"/>
      <w:r>
        <w:t>discovery</w:t>
      </w:r>
      <w:proofErr w:type="gramEnd"/>
      <w:r>
        <w:t xml:space="preserve">, and made a substantial and significant outlay of time and expenses at the risk of nonrecovery.  As a general principle, which is applicable here, contingent fee arrangements </w:t>
      </w:r>
      <w:r w:rsidRPr="002A058F">
        <w:rPr>
          <w:highlight w:val="yellow"/>
        </w:rPr>
        <w:t>present a genuine risk that counsel who brought and litigated these cases might not recoup their fees or costs in the end.</w:t>
      </w:r>
      <w:r>
        <w:t xml:space="preserve"> As the Court discussed in the Final Approval Opinion, “[t]he complexity and volume of this litigation present significant risks and potentially great expense to all parties were the cases to be tried.” Final Approval Opinion, 2021 WL 5237198, at *22. And, indeed, reaching a settlement at all was far from guaranteed. See id.  </w:t>
      </w:r>
    </w:p>
    <w:p w14:paraId="76647ABA"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PageID.72100   Filed 02/04/22   Page 55 of 99</w:t>
      </w:r>
    </w:p>
    <w:p w14:paraId="07C53898" w14:textId="77777777" w:rsidR="00E73528" w:rsidRDefault="006936BE">
      <w:pPr>
        <w:ind w:left="320" w:right="318"/>
      </w:pPr>
      <w:r>
        <w:t xml:space="preserve"> </w:t>
      </w:r>
      <w:r w:rsidRPr="002A058F">
        <w:rPr>
          <w:highlight w:val="yellow"/>
        </w:rPr>
        <w:t>As stated above, Michigan law imposes a one-third cap on attorney fees in personal injury cases</w:t>
      </w:r>
      <w:r>
        <w:t xml:space="preserve">. See Mich. Ct. R. 8.121. </w:t>
      </w:r>
      <w:r w:rsidRPr="002A058F">
        <w:rPr>
          <w:highlight w:val="yellow"/>
        </w:rPr>
        <w:t>Research indicates that, “[t]</w:t>
      </w:r>
      <w:proofErr w:type="spellStart"/>
      <w:r w:rsidRPr="002A058F">
        <w:rPr>
          <w:highlight w:val="yellow"/>
        </w:rPr>
        <w:t>aken</w:t>
      </w:r>
      <w:proofErr w:type="spellEnd"/>
      <w:r w:rsidRPr="002A058F">
        <w:rPr>
          <w:highlight w:val="yellow"/>
        </w:rPr>
        <w:t xml:space="preserve"> as a whole, the evidence suggests that one-third is the benchmark for privately negotiated contingent fees, but that significant variation up and occasional variation down exist as well.”</w:t>
      </w:r>
      <w:r>
        <w:t xml:space="preserve"> Eisenberg, Theodore and Miller, Geoffrey P., “Attorney Fees in Class Action </w:t>
      </w:r>
    </w:p>
    <w:p w14:paraId="62C93AB3" w14:textId="53F6CED7" w:rsidR="00E73528" w:rsidRDefault="006936BE" w:rsidP="002A058F">
      <w:pPr>
        <w:ind w:left="320" w:right="318"/>
      </w:pPr>
      <w:r>
        <w:lastRenderedPageBreak/>
        <w:t xml:space="preserve">Settlements: An Empirical Study” (2004), Cornell Law Faculty Publications, Paper 356, pp.35 (“Eisenberg and Miller”) (http://scholarship.law.cornell.edu/facpub/356); see also Manual for Complex Litigation, </w:t>
      </w:r>
      <w:proofErr w:type="gramStart"/>
      <w:r>
        <w:t>Fourth</w:t>
      </w:r>
      <w:proofErr w:type="gramEnd"/>
      <w:r>
        <w:t xml:space="preserve"> § 14.121 (2004) </w:t>
      </w:r>
      <w:r w:rsidRPr="002A058F">
        <w:rPr>
          <w:highlight w:val="yellow"/>
        </w:rPr>
        <w:t>(noting that most district courts select a percentage in the range from 25% to 30% of the fund</w:t>
      </w:r>
      <w:r>
        <w:t xml:space="preserve">). In this </w:t>
      </w:r>
      <w:r w:rsidRPr="002A058F">
        <w:rPr>
          <w:highlight w:val="yellow"/>
        </w:rPr>
        <w:t>Circuit, awards are generally “within the 20-30% range</w:t>
      </w:r>
      <w:r>
        <w:t xml:space="preserve">.” In re Cardizem, 218 F.R.D. at 532 (citing cases). This range cannot be viewed in a vacuum; it aggregates fee percentages for cases that vary greatly in their complexity, contentiousness, and have many other unique characteristics.  </w:t>
      </w:r>
    </w:p>
    <w:p w14:paraId="5CDDCA54" w14:textId="77777777" w:rsidR="00E73528" w:rsidRDefault="006936BE">
      <w:pPr>
        <w:ind w:left="320" w:right="318"/>
      </w:pPr>
      <w:r>
        <w:t xml:space="preserve"> Yet, as Newberg puts it, the benchmarks of other cases need not receive too much weight by the Court: </w:t>
      </w:r>
    </w:p>
    <w:p w14:paraId="43A7E889" w14:textId="77777777" w:rsidR="00E73528" w:rsidRDefault="006936BE">
      <w:pPr>
        <w:spacing w:line="287" w:lineRule="auto"/>
        <w:ind w:left="1055" w:right="318"/>
      </w:pPr>
      <w:r w:rsidRPr="002A058F">
        <w:rPr>
          <w:highlight w:val="yellow"/>
        </w:rPr>
        <w:t>Comparison [to other cases] alone proves little more than that judges are path dependent: there is no obvious correlation</w:t>
      </w:r>
      <w:r>
        <w:t xml:space="preserve"> </w:t>
      </w:r>
    </w:p>
    <w:p w14:paraId="1B909874"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PageID.72101   Filed 02/04/22   Page 56 of 99</w:t>
      </w:r>
    </w:p>
    <w:p w14:paraId="153554F6" w14:textId="77777777" w:rsidR="00E73528" w:rsidRDefault="006936BE">
      <w:pPr>
        <w:spacing w:after="283" w:line="286" w:lineRule="auto"/>
        <w:ind w:left="1055" w:right="1050"/>
      </w:pPr>
      <w:r>
        <w:t>between the common benefit work in one case and another, and</w:t>
      </w:r>
      <w:proofErr w:type="gramStart"/>
      <w:r>
        <w:t>, in particular, no</w:t>
      </w:r>
      <w:proofErr w:type="gramEnd"/>
      <w:r>
        <w:t xml:space="preserve"> obvious correlation between how the quantity of that work (on a lodestar basis) relates to the aggregate value of the settlement in the case. </w:t>
      </w:r>
    </w:p>
    <w:p w14:paraId="3A092B66" w14:textId="4C83187F" w:rsidR="00E73528" w:rsidRDefault="006936BE">
      <w:pPr>
        <w:ind w:left="320" w:right="318"/>
      </w:pPr>
      <w:r>
        <w:t xml:space="preserve">5 Newberg, Attorney’s Fees, Common Benefit Fees— Calculation Method § 15:116. </w:t>
      </w:r>
      <w:r w:rsidRPr="002A058F">
        <w:rPr>
          <w:highlight w:val="yellow"/>
        </w:rPr>
        <w:t xml:space="preserve">Since this case is not purely a class action case, purely </w:t>
      </w:r>
      <w:proofErr w:type="gramStart"/>
      <w:r w:rsidR="002A058F" w:rsidRPr="002A058F">
        <w:rPr>
          <w:highlight w:val="yellow"/>
        </w:rPr>
        <w:t>class based</w:t>
      </w:r>
      <w:proofErr w:type="gramEnd"/>
      <w:r w:rsidRPr="002A058F">
        <w:rPr>
          <w:highlight w:val="yellow"/>
        </w:rPr>
        <w:t xml:space="preserve"> benchmarks are not applicable to IRC</w:t>
      </w:r>
      <w:r>
        <w:t>. Indeed, Movants have indicated that the “</w:t>
      </w:r>
      <w:r w:rsidRPr="002A058F">
        <w:rPr>
          <w:highlight w:val="yellow"/>
        </w:rPr>
        <w:t xml:space="preserve">vast majority of these fees are for the </w:t>
      </w:r>
      <w:proofErr w:type="spellStart"/>
      <w:proofErr w:type="gramStart"/>
      <w:r w:rsidRPr="002A058F">
        <w:rPr>
          <w:highlight w:val="yellow"/>
        </w:rPr>
        <w:t>non</w:t>
      </w:r>
      <w:proofErr w:type="spellEnd"/>
      <w:r w:rsidRPr="002A058F">
        <w:rPr>
          <w:highlight w:val="yellow"/>
        </w:rPr>
        <w:t>[</w:t>
      </w:r>
      <w:proofErr w:type="gramEnd"/>
      <w:r w:rsidRPr="002A058F">
        <w:rPr>
          <w:highlight w:val="yellow"/>
        </w:rPr>
        <w:t>-]class versus the class settlement.”</w:t>
      </w:r>
      <w:r>
        <w:t xml:space="preserve"> (ECF No. 1906, PageID.66922.) </w:t>
      </w:r>
      <w:r>
        <w:lastRenderedPageBreak/>
        <w:t xml:space="preserve">At most, the </w:t>
      </w:r>
      <w:r w:rsidRPr="002A058F">
        <w:rPr>
          <w:highlight w:val="yellow"/>
        </w:rPr>
        <w:t>Court estimates that less than approximately 20.5% of the fee award applies to the class portion of the case</w:t>
      </w:r>
      <w:r>
        <w:t xml:space="preserve">.  </w:t>
      </w:r>
    </w:p>
    <w:p w14:paraId="0CD2AD38" w14:textId="0CFF3FC8" w:rsidR="00E73528" w:rsidRDefault="006936BE">
      <w:pPr>
        <w:ind w:left="320" w:right="318"/>
      </w:pPr>
      <w:r>
        <w:t xml:space="preserve"> As discussed, Movants’ Fee and Expense Motion explains that their request was less than 31.6 of the total $626.25 million settlement fund. (ECF No. 1458, PageID.57183 (“</w:t>
      </w:r>
      <w:r w:rsidRPr="002A058F">
        <w:rPr>
          <w:highlight w:val="yellow"/>
        </w:rPr>
        <w:t xml:space="preserve">Here, the 6.33% global CBA </w:t>
      </w:r>
      <w:r w:rsidR="002A058F" w:rsidRPr="002A058F">
        <w:rPr>
          <w:highlight w:val="yellow"/>
        </w:rPr>
        <w:t xml:space="preserve">[common benefit assessment] </w:t>
      </w:r>
      <w:r w:rsidRPr="002A058F">
        <w:rPr>
          <w:highlight w:val="yellow"/>
        </w:rPr>
        <w:t>and additional fees capped at 27% of the remaining funds amount to a total maximum fee percentage of 31.6%, less than the typical fee in comparable cases and the one-third maximum amount permitted under Michigan law</w:t>
      </w:r>
      <w:r>
        <w:t xml:space="preserve">, see Mich. Ct. R. 8.121.”).) Accordingly, the requested fees were not so far above the range of what is commonly sought as to render them outright unreasonable. This is a helpful data point which the Court carefully considered in determining the final award. </w:t>
      </w:r>
    </w:p>
    <w:p w14:paraId="094BE390"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PageID.72102   Filed 02/04/22   Page 57 of 99</w:t>
      </w:r>
    </w:p>
    <w:p w14:paraId="3F65B0DA" w14:textId="20DF8CA7" w:rsidR="00E73528" w:rsidRDefault="006936BE">
      <w:pPr>
        <w:ind w:left="320" w:right="318"/>
      </w:pPr>
      <w:r>
        <w:t xml:space="preserve"> While the Court finds that the fee request is not unreasonable, the Court is mindful of the overall posture of this case and the oral and written remarks made by Unrepresented Objectors regarding their quest for compensation. </w:t>
      </w:r>
      <w:r w:rsidRPr="002A058F">
        <w:rPr>
          <w:highlight w:val="yellow"/>
        </w:rPr>
        <w:t>The fee request—while not at all out of line—is too high in this context</w:t>
      </w:r>
      <w:r>
        <w:t xml:space="preserve">. Movants sought a fee award that resulted in a higher percentage of the overall settlement amount than what the Court awarded. While perhaps in line with awards in similar litigation, what they sought is too high in this case. </w:t>
      </w:r>
      <w:r w:rsidRPr="002A058F">
        <w:rPr>
          <w:highlight w:val="yellow"/>
        </w:rPr>
        <w:t xml:space="preserve">PLG </w:t>
      </w:r>
      <w:r w:rsidR="002A058F" w:rsidRPr="002A058F">
        <w:rPr>
          <w:highlight w:val="yellow"/>
        </w:rPr>
        <w:t xml:space="preserve">[plaintiffs leadership group] </w:t>
      </w:r>
      <w:r w:rsidRPr="002A058F">
        <w:rPr>
          <w:highlight w:val="yellow"/>
        </w:rPr>
        <w:t>have earned a CBA of 6.33% of the total settlement</w:t>
      </w:r>
      <w:r>
        <w:t xml:space="preserve">. This percentage is </w:t>
      </w:r>
      <w:proofErr w:type="gramStart"/>
      <w:r>
        <w:t>well-below</w:t>
      </w:r>
      <w:proofErr w:type="gramEnd"/>
      <w:r>
        <w:t xml:space="preserve"> 1/3 of the full </w:t>
      </w:r>
      <w:r>
        <w:lastRenderedPageBreak/>
        <w:t xml:space="preserve">settlement fund and </w:t>
      </w:r>
      <w:r w:rsidRPr="002A058F">
        <w:rPr>
          <w:highlight w:val="yellow"/>
        </w:rPr>
        <w:t xml:space="preserve">is reasonable, particularly because PLG will also receive an additional CBA and a Class Counsel or contingency </w:t>
      </w:r>
      <w:proofErr w:type="gramStart"/>
      <w:r w:rsidRPr="002A058F">
        <w:rPr>
          <w:highlight w:val="yellow"/>
        </w:rPr>
        <w:t>fee award of</w:t>
      </w:r>
      <w:proofErr w:type="gramEnd"/>
      <w:r w:rsidRPr="002A058F">
        <w:rPr>
          <w:highlight w:val="yellow"/>
        </w:rPr>
        <w:t xml:space="preserve"> up to 25% of the value of certain awards.</w:t>
      </w:r>
      <w:r>
        <w:t xml:space="preserve"> </w:t>
      </w:r>
    </w:p>
    <w:p w14:paraId="3B3E751C" w14:textId="77777777" w:rsidR="00E73528" w:rsidRPr="002A058F" w:rsidRDefault="006936BE">
      <w:pPr>
        <w:ind w:left="320" w:right="318"/>
        <w:rPr>
          <w:highlight w:val="yellow"/>
        </w:rPr>
      </w:pPr>
      <w:r>
        <w:t xml:space="preserve"> </w:t>
      </w:r>
      <w:r w:rsidRPr="002A058F">
        <w:rPr>
          <w:highlight w:val="yellow"/>
        </w:rPr>
        <w:t xml:space="preserve">Non-PLG counsel also earn the same percentage contingency fee awards, as adjusted by the Court. The amount depends on whether they retained their clients before August 20, 2020. As set forth above, if they retained their clients before August 20, 2020, they </w:t>
      </w:r>
      <w:proofErr w:type="gramStart"/>
      <w:r w:rsidRPr="002A058F">
        <w:rPr>
          <w:highlight w:val="yellow"/>
        </w:rPr>
        <w:t>will</w:t>
      </w:r>
      <w:proofErr w:type="gramEnd"/>
      <w:r w:rsidRPr="002A058F">
        <w:rPr>
          <w:highlight w:val="yellow"/>
        </w:rPr>
        <w:t xml:space="preserve"> receive 25% of the </w:t>
      </w:r>
    </w:p>
    <w:p w14:paraId="661F8BCF" w14:textId="77777777" w:rsidR="00E73528" w:rsidRPr="002A058F" w:rsidRDefault="006936BE">
      <w:pPr>
        <w:spacing w:after="948" w:line="265" w:lineRule="auto"/>
        <w:ind w:left="-5"/>
        <w:jc w:val="left"/>
        <w:rPr>
          <w:highlight w:val="yellow"/>
        </w:rPr>
      </w:pPr>
      <w:r w:rsidRPr="002A058F">
        <w:rPr>
          <w:rFonts w:ascii="Calibri" w:eastAsia="Calibri" w:hAnsi="Calibri" w:cs="Calibri"/>
          <w:color w:val="0000FF"/>
          <w:sz w:val="24"/>
          <w:highlight w:val="yellow"/>
        </w:rPr>
        <w:t>Case 5:16-cv-10444-JEL-EAS   ECF No. 2105, PageID.72103   Filed 02/04/22   Page 58 of 99</w:t>
      </w:r>
    </w:p>
    <w:p w14:paraId="63437FD4" w14:textId="77777777" w:rsidR="00E73528" w:rsidRDefault="006936BE">
      <w:pPr>
        <w:spacing w:after="54"/>
        <w:ind w:left="320" w:right="318"/>
      </w:pPr>
      <w:r w:rsidRPr="002A058F">
        <w:rPr>
          <w:highlight w:val="yellow"/>
        </w:rPr>
        <w:t>value of the clients’ claims and, for clients retained after August 20, 2020, non-PLG counsel will receive 8% of the value of the clients’ claims.</w:t>
      </w:r>
      <w:r w:rsidRPr="002A058F">
        <w:rPr>
          <w:highlight w:val="yellow"/>
          <w:vertAlign w:val="superscript"/>
        </w:rPr>
        <w:footnoteReference w:id="4"/>
      </w:r>
      <w:r>
        <w:t xml:space="preserve"> </w:t>
      </w:r>
    </w:p>
    <w:p w14:paraId="2F8BDCFB" w14:textId="77777777" w:rsidR="00E73528" w:rsidRPr="002A058F" w:rsidRDefault="006936BE">
      <w:pPr>
        <w:tabs>
          <w:tab w:val="center" w:pos="325"/>
          <w:tab w:val="center" w:pos="5364"/>
        </w:tabs>
        <w:spacing w:after="331" w:line="259" w:lineRule="auto"/>
        <w:ind w:left="0" w:firstLine="0"/>
        <w:jc w:val="left"/>
        <w:rPr>
          <w:highlight w:val="yellow"/>
        </w:rPr>
      </w:pPr>
      <w:r>
        <w:rPr>
          <w:rFonts w:ascii="Calibri" w:eastAsia="Calibri" w:hAnsi="Calibri" w:cs="Calibri"/>
          <w:sz w:val="22"/>
        </w:rPr>
        <w:tab/>
      </w:r>
      <w:r>
        <w:t xml:space="preserve"> </w:t>
      </w:r>
      <w:r>
        <w:tab/>
      </w:r>
      <w:r w:rsidRPr="002A058F">
        <w:rPr>
          <w:highlight w:val="yellow"/>
        </w:rPr>
        <w:t xml:space="preserve">Movants’ original proposal was to pay non-PLG counsel 27% and </w:t>
      </w:r>
    </w:p>
    <w:p w14:paraId="23A9516B" w14:textId="77777777" w:rsidR="00E73528" w:rsidRPr="002A058F" w:rsidRDefault="006936BE">
      <w:pPr>
        <w:spacing w:after="298" w:line="259" w:lineRule="auto"/>
        <w:ind w:left="320" w:right="318"/>
        <w:rPr>
          <w:highlight w:val="yellow"/>
        </w:rPr>
      </w:pPr>
      <w:r w:rsidRPr="002A058F">
        <w:rPr>
          <w:highlight w:val="yellow"/>
        </w:rPr>
        <w:t xml:space="preserve">10%, respectively. These percentages are too great, and accordingly, the </w:t>
      </w:r>
    </w:p>
    <w:p w14:paraId="3CBD3B11" w14:textId="1013B3A1" w:rsidR="00E73528" w:rsidRPr="002A058F" w:rsidRDefault="006936BE" w:rsidP="002A058F">
      <w:pPr>
        <w:ind w:left="320" w:right="318"/>
        <w:rPr>
          <w:highlight w:val="yellow"/>
        </w:rPr>
      </w:pPr>
      <w:r w:rsidRPr="002A058F">
        <w:rPr>
          <w:highlight w:val="yellow"/>
        </w:rPr>
        <w:t>Court lowers them to 25% and 8%, respectively.</w:t>
      </w:r>
      <w:r w:rsidRPr="002A058F">
        <w:rPr>
          <w:highlight w:val="yellow"/>
          <w:vertAlign w:val="superscript"/>
        </w:rPr>
        <w:footnoteReference w:id="5"/>
      </w:r>
      <w:r w:rsidRPr="002A058F">
        <w:rPr>
          <w:highlight w:val="yellow"/>
        </w:rPr>
        <w:t xml:space="preserve"> As to the “before August 20, 2020” group, 25% of the value of the claims is still significant and </w:t>
      </w:r>
      <w:proofErr w:type="gramStart"/>
      <w:r w:rsidRPr="002A058F">
        <w:rPr>
          <w:highlight w:val="yellow"/>
        </w:rPr>
        <w:t>takes into account</w:t>
      </w:r>
      <w:proofErr w:type="gramEnd"/>
      <w:r w:rsidRPr="002A058F">
        <w:rPr>
          <w:highlight w:val="yellow"/>
        </w:rPr>
        <w:t xml:space="preserve"> the fact that some non-PLG lawyers expended time filing their own lawsuits and that a few responded to motions to dismiss. However, in comparison to PLG, their time and effort</w:t>
      </w:r>
      <w:r>
        <w:t xml:space="preserve"> </w:t>
      </w:r>
      <w:r w:rsidRPr="002A058F">
        <w:rPr>
          <w:highlight w:val="yellow"/>
        </w:rPr>
        <w:lastRenderedPageBreak/>
        <w:t>was much less.   As to the “after August 20, 2020” group of late-retained non-PLG counsel, the settlement was announced publicly in August of 2020.</w:t>
      </w:r>
      <w:r w:rsidRPr="002A058F">
        <w:rPr>
          <w:highlight w:val="yellow"/>
          <w:vertAlign w:val="superscript"/>
        </w:rPr>
        <w:footnoteReference w:id="6"/>
      </w:r>
      <w:r w:rsidRPr="002A058F">
        <w:rPr>
          <w:highlight w:val="yellow"/>
        </w:rPr>
        <w:t xml:space="preserve"> The </w:t>
      </w:r>
    </w:p>
    <w:p w14:paraId="428FDCE2" w14:textId="77777777" w:rsidR="00E73528" w:rsidRPr="002A058F" w:rsidRDefault="006936BE">
      <w:pPr>
        <w:spacing w:after="0" w:line="259" w:lineRule="auto"/>
        <w:ind w:left="325" w:firstLine="0"/>
        <w:jc w:val="left"/>
        <w:rPr>
          <w:highlight w:val="yellow"/>
        </w:rPr>
      </w:pPr>
      <w:r w:rsidRPr="002A058F">
        <w:rPr>
          <w:rFonts w:ascii="Calibri" w:eastAsia="Calibri" w:hAnsi="Calibri" w:cs="Calibri"/>
          <w:noProof/>
          <w:sz w:val="22"/>
          <w:highlight w:val="yellow"/>
        </w:rPr>
        <mc:AlternateContent>
          <mc:Choice Requires="wpg">
            <w:drawing>
              <wp:inline distT="0" distB="0" distL="0" distR="0" wp14:anchorId="4DAEB906" wp14:editId="42FCFACA">
                <wp:extent cx="1828800" cy="9144"/>
                <wp:effectExtent l="0" t="0" r="0" b="0"/>
                <wp:docPr id="76506" name="Group 76506"/>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94618" name="Shape 94618"/>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6506" style="width:144pt;height:0.720032pt;mso-position-horizontal-relative:char;mso-position-vertical-relative:line" coordsize="18288,91">
                <v:shape id="Shape 94619" style="position:absolute;width:18288;height:91;left:0;top:0;" coordsize="1828800,9144" path="m0,0l1828800,0l1828800,9144l0,9144l0,0">
                  <v:stroke weight="0pt" endcap="flat" joinstyle="miter" miterlimit="10" on="false" color="#000000" opacity="0"/>
                  <v:fill on="true" color="#000000"/>
                </v:shape>
              </v:group>
            </w:pict>
          </mc:Fallback>
        </mc:AlternateContent>
      </w:r>
      <w:r w:rsidRPr="002A058F">
        <w:rPr>
          <w:highlight w:val="yellow"/>
        </w:rPr>
        <w:t xml:space="preserve"> </w:t>
      </w:r>
    </w:p>
    <w:p w14:paraId="24199E8C" w14:textId="77777777" w:rsidR="00E73528" w:rsidRPr="002A058F" w:rsidRDefault="006936BE">
      <w:pPr>
        <w:spacing w:after="948" w:line="265" w:lineRule="auto"/>
        <w:ind w:left="-5"/>
        <w:jc w:val="left"/>
        <w:rPr>
          <w:highlight w:val="yellow"/>
        </w:rPr>
      </w:pPr>
      <w:r w:rsidRPr="002A058F">
        <w:rPr>
          <w:rFonts w:ascii="Calibri" w:eastAsia="Calibri" w:hAnsi="Calibri" w:cs="Calibri"/>
          <w:color w:val="0000FF"/>
          <w:sz w:val="24"/>
          <w:highlight w:val="yellow"/>
        </w:rPr>
        <w:t>Case 5:16-cv-10444-JEL-EAS   ECF No. 2105, PageID.72104   Filed 02/04/22   Page 59 of 99</w:t>
      </w:r>
    </w:p>
    <w:p w14:paraId="05E42F8A" w14:textId="77777777" w:rsidR="00E73528" w:rsidRDefault="006936BE">
      <w:pPr>
        <w:ind w:left="320" w:right="318"/>
      </w:pPr>
      <w:r w:rsidRPr="002A058F">
        <w:rPr>
          <w:highlight w:val="yellow"/>
        </w:rPr>
        <w:t>reduction in the fee amount is appropriate because, once the settlement was announced, counsel did not have to undertake any litigation work or risk. This reduced amount applies to PLG as well as other counsel who did not participate in the litigation and settlement efforts.</w:t>
      </w:r>
      <w:r>
        <w:t xml:space="preserve">  </w:t>
      </w:r>
    </w:p>
    <w:p w14:paraId="1E0069F9" w14:textId="77777777" w:rsidR="00E73528" w:rsidRDefault="006936BE">
      <w:pPr>
        <w:ind w:left="320" w:right="318"/>
      </w:pPr>
      <w:r>
        <w:t xml:space="preserve"> The work of Eisenberg and Miller is helpful to the Court. Their study looked at now-older data collected from 1993–2002. See Eisenberg and Miller. The principles and patterns they identify, however, are still largely relevant. For example, they state:  </w:t>
      </w:r>
    </w:p>
    <w:p w14:paraId="10EE28B6" w14:textId="77777777" w:rsidR="00E73528" w:rsidRDefault="006936BE">
      <w:pPr>
        <w:spacing w:after="280" w:line="286" w:lineRule="auto"/>
        <w:ind w:left="1055" w:right="1048"/>
      </w:pPr>
      <w:r>
        <w:t>We find that the level of client recovery is by far the most important determinant of the attorney fee amount. A scaling effect exists, with fees constituting a lower percent of the client’s recovery as the client’s recovery increases</w:t>
      </w:r>
      <w:proofErr w:type="gramStart"/>
      <w:r>
        <w:t>. . . .</w:t>
      </w:r>
      <w:proofErr w:type="gramEnd"/>
      <w:r>
        <w:t xml:space="preserve"> </w:t>
      </w:r>
      <w:r w:rsidRPr="002A058F">
        <w:rPr>
          <w:highlight w:val="yellow"/>
        </w:rPr>
        <w:t>The presence of high risk is associated with a higher fee, as is the presence of the case in federal rather than state court.</w:t>
      </w:r>
      <w:r>
        <w:t xml:space="preserve"> </w:t>
      </w:r>
    </w:p>
    <w:p w14:paraId="66279C0A" w14:textId="04D2BA60" w:rsidR="00E73528" w:rsidRDefault="006936BE" w:rsidP="005A69D0">
      <w:pPr>
        <w:spacing w:after="609"/>
        <w:ind w:left="320" w:right="318"/>
      </w:pPr>
      <w:r>
        <w:t xml:space="preserve">Eisenberg and Miller at pp.28. This principle applies here. In setting the fee at a reasonable amount, the Court has considered the level of client recovery. </w:t>
      </w:r>
      <w:r w:rsidRPr="002A058F">
        <w:rPr>
          <w:highlight w:val="yellow"/>
        </w:rPr>
        <w:t>Additionally</w:t>
      </w:r>
      <w:r>
        <w:t xml:space="preserve">, </w:t>
      </w:r>
      <w:r w:rsidRPr="002A058F">
        <w:rPr>
          <w:highlight w:val="yellow"/>
        </w:rPr>
        <w:lastRenderedPageBreak/>
        <w:t>the presence of higher risk, which is discussed above, justifies a higher overall award for PLG since they undertook this significantly complex work at a higher risk than non-PLG.</w:t>
      </w:r>
      <w:r>
        <w:t xml:space="preserve">  </w:t>
      </w:r>
    </w:p>
    <w:p w14:paraId="497F39C8" w14:textId="672B08A5" w:rsidR="007C4DED" w:rsidRPr="007C4DED" w:rsidRDefault="007C4DED" w:rsidP="007C4DED">
      <w:pPr>
        <w:spacing w:after="287"/>
        <w:ind w:right="318"/>
        <w:jc w:val="center"/>
        <w:rPr>
          <w:b/>
          <w:bCs/>
        </w:rPr>
      </w:pPr>
      <w:r w:rsidRPr="007C4DED">
        <w:rPr>
          <w:b/>
          <w:bCs/>
        </w:rPr>
        <w:t>* * * * * * * *</w:t>
      </w:r>
    </w:p>
    <w:p w14:paraId="189A0D91" w14:textId="77777777" w:rsidR="00E73528" w:rsidRDefault="006936BE">
      <w:pPr>
        <w:spacing w:after="0" w:line="259" w:lineRule="auto"/>
        <w:ind w:left="325" w:firstLine="0"/>
        <w:jc w:val="left"/>
      </w:pPr>
      <w:r>
        <w:rPr>
          <w:rFonts w:ascii="Calibri" w:eastAsia="Calibri" w:hAnsi="Calibri" w:cs="Calibri"/>
          <w:noProof/>
          <w:sz w:val="22"/>
        </w:rPr>
        <mc:AlternateContent>
          <mc:Choice Requires="wpg">
            <w:drawing>
              <wp:inline distT="0" distB="0" distL="0" distR="0" wp14:anchorId="0F7F96EF" wp14:editId="2CCE0DB1">
                <wp:extent cx="1828800" cy="9144"/>
                <wp:effectExtent l="0" t="0" r="0" b="0"/>
                <wp:docPr id="80781" name="Group 80781"/>
                <wp:cNvGraphicFramePr/>
                <a:graphic xmlns:a="http://schemas.openxmlformats.org/drawingml/2006/main">
                  <a:graphicData uri="http://schemas.microsoft.com/office/word/2010/wordprocessingGroup">
                    <wpg:wgp>
                      <wpg:cNvGrpSpPr/>
                      <wpg:grpSpPr>
                        <a:xfrm>
                          <a:off x="0" y="0"/>
                          <a:ext cx="1828800" cy="9144"/>
                          <a:chOff x="0" y="0"/>
                          <a:chExt cx="1828800" cy="9144"/>
                        </a:xfrm>
                      </wpg:grpSpPr>
                      <wps:wsp>
                        <wps:cNvPr id="94634" name="Shape 9463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80781" style="width:144pt;height:0.720032pt;mso-position-horizontal-relative:char;mso-position-vertical-relative:line" coordsize="18288,91">
                <v:shape id="Shape 94635"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69074220" w14:textId="77777777" w:rsidR="00E73528" w:rsidRDefault="006936BE">
      <w:pPr>
        <w:spacing w:after="948" w:line="265" w:lineRule="auto"/>
        <w:ind w:left="-5"/>
        <w:jc w:val="left"/>
      </w:pPr>
      <w:r>
        <w:rPr>
          <w:rFonts w:ascii="Calibri" w:eastAsia="Calibri" w:hAnsi="Calibri" w:cs="Calibri"/>
          <w:color w:val="0000FF"/>
          <w:sz w:val="24"/>
        </w:rPr>
        <w:t>Case 5:16-cv-10444-JEL-EAS   ECF No. 2105, PageID.72137   Filed 02/04/22   Page 92 of 99</w:t>
      </w:r>
    </w:p>
    <w:p w14:paraId="5680A648" w14:textId="77777777" w:rsidR="00E73528" w:rsidRDefault="006936BE">
      <w:pPr>
        <w:ind w:left="320" w:right="318"/>
      </w:pPr>
      <w:r>
        <w:t xml:space="preserve"> Despite this, the Court finds that </w:t>
      </w:r>
      <w:r w:rsidRPr="007C4DED">
        <w:rPr>
          <w:highlight w:val="yellow"/>
        </w:rPr>
        <w:t>it is reasonable to move the cutoff date for a reduced fee to August 20, 2020. It is logical that, on and after the date that the settlement was announced, “the risk of nonrecovery, and therefore the contingent nature of counsel’s work, dropped dramatically and ultimately disappeared.”</w:t>
      </w:r>
      <w:r>
        <w:t xml:space="preserve"> Bowling, 922 F. Supp. at 1282. As a result, Mr. </w:t>
      </w:r>
      <w:proofErr w:type="spellStart"/>
      <w:r>
        <w:t>Cuker</w:t>
      </w:r>
      <w:proofErr w:type="spellEnd"/>
      <w:r>
        <w:t xml:space="preserve"> may collect a 25% retainer for the clients who signed a retainer with him between July 16, </w:t>
      </w:r>
      <w:proofErr w:type="gramStart"/>
      <w:r>
        <w:t>2020</w:t>
      </w:r>
      <w:proofErr w:type="gramEnd"/>
      <w:r>
        <w:t xml:space="preserve"> and before August 20, 2020. </w:t>
      </w:r>
    </w:p>
    <w:p w14:paraId="2077FE23" w14:textId="77777777" w:rsidR="00E73528" w:rsidRDefault="006936BE">
      <w:pPr>
        <w:ind w:left="320" w:right="318"/>
      </w:pPr>
      <w:r>
        <w:t xml:space="preserve"> Accordingly, for these reasons, the Chapman/Lowery Objectors’ objections are granted in part and denied in part. </w:t>
      </w:r>
    </w:p>
    <w:sectPr w:rsidR="00E73528">
      <w:footerReference w:type="even" r:id="rId7"/>
      <w:footerReference w:type="default" r:id="rId8"/>
      <w:footerReference w:type="first" r:id="rId9"/>
      <w:pgSz w:w="12240" w:h="15840"/>
      <w:pgMar w:top="275" w:right="1008" w:bottom="1577"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0A7F" w14:textId="77777777" w:rsidR="006936BE" w:rsidRDefault="006936BE">
      <w:pPr>
        <w:spacing w:after="0" w:line="240" w:lineRule="auto"/>
      </w:pPr>
      <w:r>
        <w:separator/>
      </w:r>
    </w:p>
  </w:endnote>
  <w:endnote w:type="continuationSeparator" w:id="0">
    <w:p w14:paraId="67AA5D1C" w14:textId="77777777" w:rsidR="006936BE" w:rsidRDefault="00693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ABBD" w14:textId="77777777" w:rsidR="00E73528" w:rsidRDefault="00E73528">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B432" w14:textId="77777777" w:rsidR="00E73528" w:rsidRDefault="00E73528">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C41F7" w14:textId="77777777" w:rsidR="00E73528" w:rsidRDefault="00E7352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B29F4" w14:textId="77777777" w:rsidR="006936BE" w:rsidRDefault="006936BE">
      <w:pPr>
        <w:spacing w:after="0" w:line="290" w:lineRule="auto"/>
        <w:ind w:left="325" w:right="333" w:firstLine="0"/>
      </w:pPr>
      <w:r>
        <w:separator/>
      </w:r>
    </w:p>
  </w:footnote>
  <w:footnote w:type="continuationSeparator" w:id="0">
    <w:p w14:paraId="7D1E4330" w14:textId="77777777" w:rsidR="006936BE" w:rsidRDefault="006936BE">
      <w:pPr>
        <w:spacing w:after="0" w:line="290" w:lineRule="auto"/>
        <w:ind w:left="325" w:right="333" w:firstLine="0"/>
      </w:pPr>
      <w:r>
        <w:continuationSeparator/>
      </w:r>
    </w:p>
  </w:footnote>
  <w:footnote w:id="1">
    <w:p w14:paraId="5A28A86B" w14:textId="77777777" w:rsidR="00E73528" w:rsidRDefault="006936BE">
      <w:pPr>
        <w:pStyle w:val="footnotedescription"/>
        <w:ind w:right="333"/>
      </w:pPr>
      <w:r>
        <w:rPr>
          <w:rStyle w:val="footnotemark"/>
        </w:rPr>
        <w:footnoteRef/>
      </w:r>
      <w:r>
        <w:t xml:space="preserve"> The signatories to the Fee and Expense Motion are the following law firms and organizations: (1) Levy Konigsberg, LLP, (2) Napoli Shkolnik PLLC, (3) Cohen Milstein Sellers &amp; Toll, PLLC, (4) Pitt McGee Palmer Bonanni &amp; Rivers P.C., (5) Susman Godfrey, L.L.P., (6) Weitz &amp; Luxenberg, P.C., (7) Bronstein, </w:t>
      </w:r>
      <w:proofErr w:type="spellStart"/>
      <w:r>
        <w:t>Gerwirtz</w:t>
      </w:r>
      <w:proofErr w:type="spellEnd"/>
      <w:r>
        <w:t xml:space="preserve"> &amp; Grossman, LLC, (8) NAACP, (9) Motley Rice LLC, (10) The Law Offices of Teresa A. Bingman, PLLC, (11) Goodman &amp; Hurwitz PC, (12) Law Offices of Deborah A. LaBelle, (13) The Dedendum Group, (14) Law Office of Cirilo Martinez, PLLC, (15) Shea Aiello, PLLC, (16) McAlpine PC, (17) Trachelle C. Young &amp; Associates PLLC, </w:t>
      </w:r>
    </w:p>
    <w:p w14:paraId="64D1EC6E" w14:textId="77777777" w:rsidR="00E73528" w:rsidRDefault="006936BE">
      <w:pPr>
        <w:pStyle w:val="footnotedescription"/>
        <w:spacing w:line="259" w:lineRule="auto"/>
        <w:ind w:right="0"/>
        <w:jc w:val="left"/>
      </w:pPr>
      <w:r>
        <w:t xml:space="preserve">(18) McKeen &amp; Associates, PC, (19) Cynthia M. Lindsey &amp; Associates, PLLC, and (20) </w:t>
      </w:r>
    </w:p>
  </w:footnote>
  <w:footnote w:id="2">
    <w:p w14:paraId="646836D0" w14:textId="77777777" w:rsidR="00E73528" w:rsidRDefault="006936BE">
      <w:pPr>
        <w:pStyle w:val="footnotedescription"/>
        <w:spacing w:line="291" w:lineRule="auto"/>
        <w:ind w:right="336"/>
      </w:pPr>
      <w:r>
        <w:rPr>
          <w:rStyle w:val="footnotemark"/>
        </w:rPr>
        <w:footnoteRef/>
      </w:r>
      <w:r>
        <w:t xml:space="preserve"> “Settling Defendants” are: the State of Michigan and certain of its individual officials, which are collectively referred to as “State Defendants”; the City of Flint, certain of its City Emergency Managers and employees, collectively referred to as “City Defendants”; McLaren Health Care Corporation, McLaren Regional Medical Center, and McLaren Flint Hospital, collectively referred to as “McLaren </w:t>
      </w:r>
    </w:p>
    <w:p w14:paraId="0D0BB743" w14:textId="77777777" w:rsidR="00E73528" w:rsidRDefault="006936BE">
      <w:pPr>
        <w:pStyle w:val="footnotedescription"/>
        <w:spacing w:line="259" w:lineRule="auto"/>
        <w:ind w:right="0"/>
        <w:jc w:val="left"/>
      </w:pPr>
      <w:r>
        <w:t xml:space="preserve">Defendants”; and Rowe Professional Services Company, referred to as “Rowe.” </w:t>
      </w:r>
    </w:p>
    <w:p w14:paraId="158235D2" w14:textId="77777777" w:rsidR="00E73528" w:rsidRDefault="006936BE">
      <w:pPr>
        <w:pStyle w:val="footnotedescription"/>
        <w:spacing w:line="259" w:lineRule="auto"/>
        <w:ind w:right="0"/>
        <w:jc w:val="left"/>
      </w:pPr>
      <w:r>
        <w:rPr>
          <w:sz w:val="20"/>
        </w:rPr>
        <w:t xml:space="preserve"> </w:t>
      </w:r>
    </w:p>
  </w:footnote>
  <w:footnote w:id="3">
    <w:p w14:paraId="3F5780C5" w14:textId="77777777" w:rsidR="00E73528" w:rsidRDefault="006936BE">
      <w:pPr>
        <w:pStyle w:val="footnotedescription"/>
        <w:spacing w:line="293" w:lineRule="auto"/>
        <w:ind w:right="332"/>
      </w:pPr>
      <w:r>
        <w:rPr>
          <w:rStyle w:val="footnotemark"/>
        </w:rPr>
        <w:footnoteRef/>
      </w:r>
      <w:r>
        <w:t xml:space="preserve"> Exhibit 8 to the ASA, entitled, “Flint Water Cases (FWC) Qualified Settlement Fund Categories, Monetary Awards, and Required Proofs Grid (11/11/20)” (referred to as the “Compensation Grid” (ECF No. 1319-2, PageID.40789–40831)) provides that “every Claimant in a certain Settlement Category receives an identical </w:t>
      </w:r>
    </w:p>
  </w:footnote>
  <w:footnote w:id="4">
    <w:p w14:paraId="4FF053A4" w14:textId="77777777" w:rsidR="00E73528" w:rsidRDefault="006936BE">
      <w:pPr>
        <w:pStyle w:val="footnotedescription"/>
        <w:spacing w:after="131" w:line="296" w:lineRule="auto"/>
        <w:ind w:right="332"/>
      </w:pPr>
      <w:r>
        <w:rPr>
          <w:rStyle w:val="footnotemark"/>
        </w:rPr>
        <w:footnoteRef/>
      </w:r>
      <w:r>
        <w:t xml:space="preserve"> Additionally, non-PLG counsel can receive 8% for assisting and advocating for Minors in submitting a claim, whether retained or unretained, if the assistance occurred after August 20, 2020.  </w:t>
      </w:r>
    </w:p>
  </w:footnote>
  <w:footnote w:id="5">
    <w:p w14:paraId="51C5A533" w14:textId="77777777" w:rsidR="00E73528" w:rsidRDefault="006936BE">
      <w:pPr>
        <w:pStyle w:val="footnotedescription"/>
        <w:spacing w:after="118" w:line="307" w:lineRule="auto"/>
        <w:ind w:right="0"/>
      </w:pPr>
      <w:r>
        <w:rPr>
          <w:rStyle w:val="footnotemark"/>
        </w:rPr>
        <w:footnoteRef/>
      </w:r>
      <w:r>
        <w:t xml:space="preserve"> Again, non-PLG will receive the same fees and PLG. However, PLG will receive a CBA in addition. </w:t>
      </w:r>
    </w:p>
  </w:footnote>
  <w:footnote w:id="6">
    <w:p w14:paraId="265F8193" w14:textId="77777777" w:rsidR="00E73528" w:rsidRDefault="006936BE">
      <w:pPr>
        <w:pStyle w:val="footnotedescription"/>
        <w:spacing w:line="291" w:lineRule="auto"/>
        <w:ind w:right="335"/>
      </w:pPr>
      <w:r>
        <w:rPr>
          <w:rStyle w:val="footnotemark"/>
        </w:rPr>
        <w:footnoteRef/>
      </w:r>
      <w:r>
        <w:t xml:space="preserve"> The Court acknowledges that Movants’ choice of July 16, 2020— a date other than when the settlement was publicly announced— perhaps demonstrates that PLG did not attempt to benefit themselves with special knowledge of when the settlement would be announced. For example, if they had selected the settlement announcement date as the date for a reduced fee, they could be criticized because theoretically they could have rushed to sign up clients before the announcement. Regardless, the Court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5E4D"/>
    <w:multiLevelType w:val="hybridMultilevel"/>
    <w:tmpl w:val="DADE1896"/>
    <w:lvl w:ilvl="0" w:tplc="AD32C93E">
      <w:start w:val="13"/>
      <w:numFmt w:val="decimal"/>
      <w:lvlText w:val="%1"/>
      <w:lvlJc w:val="left"/>
      <w:pPr>
        <w:ind w:left="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E66C30">
      <w:start w:val="1"/>
      <w:numFmt w:val="lowerLetter"/>
      <w:lvlText w:val="%2"/>
      <w:lvlJc w:val="left"/>
      <w:pPr>
        <w:ind w:left="2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54A7BC">
      <w:start w:val="1"/>
      <w:numFmt w:val="lowerRoman"/>
      <w:lvlText w:val="%3"/>
      <w:lvlJc w:val="left"/>
      <w:pPr>
        <w:ind w:left="2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60DF10">
      <w:start w:val="1"/>
      <w:numFmt w:val="decimal"/>
      <w:lvlText w:val="%4"/>
      <w:lvlJc w:val="left"/>
      <w:pPr>
        <w:ind w:left="3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668C14">
      <w:start w:val="1"/>
      <w:numFmt w:val="lowerLetter"/>
      <w:lvlText w:val="%5"/>
      <w:lvlJc w:val="left"/>
      <w:pPr>
        <w:ind w:left="4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28C6D2">
      <w:start w:val="1"/>
      <w:numFmt w:val="lowerRoman"/>
      <w:lvlText w:val="%6"/>
      <w:lvlJc w:val="left"/>
      <w:pPr>
        <w:ind w:left="5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0CB78">
      <w:start w:val="1"/>
      <w:numFmt w:val="decimal"/>
      <w:lvlText w:val="%7"/>
      <w:lvlJc w:val="left"/>
      <w:pPr>
        <w:ind w:left="5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3CD59C">
      <w:start w:val="1"/>
      <w:numFmt w:val="lowerLetter"/>
      <w:lvlText w:val="%8"/>
      <w:lvlJc w:val="left"/>
      <w:pPr>
        <w:ind w:left="6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749C14">
      <w:start w:val="1"/>
      <w:numFmt w:val="lowerRoman"/>
      <w:lvlText w:val="%9"/>
      <w:lvlJc w:val="left"/>
      <w:pPr>
        <w:ind w:left="7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FF5395"/>
    <w:multiLevelType w:val="hybridMultilevel"/>
    <w:tmpl w:val="896EBB3A"/>
    <w:lvl w:ilvl="0" w:tplc="301AA114">
      <w:start w:val="1"/>
      <w:numFmt w:val="decimal"/>
      <w:lvlText w:val="%1."/>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607A8A">
      <w:start w:val="1"/>
      <w:numFmt w:val="lowerLetter"/>
      <w:lvlText w:val="%2"/>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4CA16">
      <w:start w:val="1"/>
      <w:numFmt w:val="lowerRoman"/>
      <w:lvlText w:val="%3"/>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AA926A">
      <w:start w:val="1"/>
      <w:numFmt w:val="decimal"/>
      <w:lvlText w:val="%4"/>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0EC38A">
      <w:start w:val="1"/>
      <w:numFmt w:val="lowerLetter"/>
      <w:lvlText w:val="%5"/>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3C22B0">
      <w:start w:val="1"/>
      <w:numFmt w:val="lowerRoman"/>
      <w:lvlText w:val="%6"/>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867AC2">
      <w:start w:val="1"/>
      <w:numFmt w:val="decimal"/>
      <w:lvlText w:val="%7"/>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806A38">
      <w:start w:val="1"/>
      <w:numFmt w:val="lowerLetter"/>
      <w:lvlText w:val="%8"/>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4AA6EC">
      <w:start w:val="1"/>
      <w:numFmt w:val="lowerRoman"/>
      <w:lvlText w:val="%9"/>
      <w:lvlJc w:val="left"/>
      <w:pPr>
        <w:ind w:left="6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8B1A53"/>
    <w:multiLevelType w:val="hybridMultilevel"/>
    <w:tmpl w:val="254AE25C"/>
    <w:lvl w:ilvl="0" w:tplc="9A7E7B36">
      <w:start w:val="2"/>
      <w:numFmt w:val="decimal"/>
      <w:lvlText w:val="%1"/>
      <w:lvlJc w:val="left"/>
      <w:pPr>
        <w:ind w:left="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3A7752">
      <w:start w:val="1"/>
      <w:numFmt w:val="lowerLetter"/>
      <w:lvlText w:val="%2"/>
      <w:lvlJc w:val="left"/>
      <w:pPr>
        <w:ind w:left="2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B8B5A6">
      <w:start w:val="1"/>
      <w:numFmt w:val="lowerRoman"/>
      <w:lvlText w:val="%3"/>
      <w:lvlJc w:val="left"/>
      <w:pPr>
        <w:ind w:left="2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DAE284">
      <w:start w:val="1"/>
      <w:numFmt w:val="decimal"/>
      <w:lvlText w:val="%4"/>
      <w:lvlJc w:val="left"/>
      <w:pPr>
        <w:ind w:left="3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1C162C">
      <w:start w:val="1"/>
      <w:numFmt w:val="lowerLetter"/>
      <w:lvlText w:val="%5"/>
      <w:lvlJc w:val="left"/>
      <w:pPr>
        <w:ind w:left="4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DA4E22">
      <w:start w:val="1"/>
      <w:numFmt w:val="lowerRoman"/>
      <w:lvlText w:val="%6"/>
      <w:lvlJc w:val="left"/>
      <w:pPr>
        <w:ind w:left="4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726B36">
      <w:start w:val="1"/>
      <w:numFmt w:val="decimal"/>
      <w:lvlText w:val="%7"/>
      <w:lvlJc w:val="left"/>
      <w:pPr>
        <w:ind w:left="5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0C6B6C">
      <w:start w:val="1"/>
      <w:numFmt w:val="lowerLetter"/>
      <w:lvlText w:val="%8"/>
      <w:lvlJc w:val="left"/>
      <w:pPr>
        <w:ind w:left="6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F0B6F6">
      <w:start w:val="1"/>
      <w:numFmt w:val="lowerRoman"/>
      <w:lvlText w:val="%9"/>
      <w:lvlJc w:val="left"/>
      <w:pPr>
        <w:ind w:left="7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5502F63"/>
    <w:multiLevelType w:val="hybridMultilevel"/>
    <w:tmpl w:val="28662A42"/>
    <w:lvl w:ilvl="0" w:tplc="AAAC373E">
      <w:start w:val="3"/>
      <w:numFmt w:val="upperRoman"/>
      <w:lvlText w:val="%1."/>
      <w:lvlJc w:val="left"/>
      <w:pPr>
        <w:ind w:left="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BE7FDE">
      <w:start w:val="1"/>
      <w:numFmt w:val="upperLetter"/>
      <w:lvlText w:val="%2."/>
      <w:lvlJc w:val="left"/>
      <w:pPr>
        <w:ind w:left="1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B62C82">
      <w:start w:val="1"/>
      <w:numFmt w:val="decimal"/>
      <w:lvlText w:val="%3."/>
      <w:lvlJc w:val="left"/>
      <w:pPr>
        <w:ind w:left="1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D87948">
      <w:start w:val="2"/>
      <w:numFmt w:val="lowerLetter"/>
      <w:lvlText w:val="%4."/>
      <w:lvlJc w:val="left"/>
      <w:pPr>
        <w:ind w:left="1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89516">
      <w:start w:val="1"/>
      <w:numFmt w:val="lowerLetter"/>
      <w:lvlText w:val="%5"/>
      <w:lvlJc w:val="left"/>
      <w:pPr>
        <w:ind w:left="2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8438A4">
      <w:start w:val="1"/>
      <w:numFmt w:val="lowerRoman"/>
      <w:lvlText w:val="%6"/>
      <w:lvlJc w:val="left"/>
      <w:pPr>
        <w:ind w:left="2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E444D6">
      <w:start w:val="1"/>
      <w:numFmt w:val="decimal"/>
      <w:lvlText w:val="%7"/>
      <w:lvlJc w:val="left"/>
      <w:pPr>
        <w:ind w:left="3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A429636">
      <w:start w:val="1"/>
      <w:numFmt w:val="lowerLetter"/>
      <w:lvlText w:val="%8"/>
      <w:lvlJc w:val="left"/>
      <w:pPr>
        <w:ind w:left="4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A619DA">
      <w:start w:val="1"/>
      <w:numFmt w:val="lowerRoman"/>
      <w:lvlText w:val="%9"/>
      <w:lvlJc w:val="left"/>
      <w:pPr>
        <w:ind w:left="5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6F824FA"/>
    <w:multiLevelType w:val="hybridMultilevel"/>
    <w:tmpl w:val="6D8E717C"/>
    <w:lvl w:ilvl="0" w:tplc="053AD194">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97B210D4">
      <w:start w:val="1"/>
      <w:numFmt w:val="lowerLetter"/>
      <w:lvlText w:val="%2"/>
      <w:lvlJc w:val="left"/>
      <w:pPr>
        <w:ind w:left="90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F80A296A">
      <w:start w:val="1"/>
      <w:numFmt w:val="lowerLetter"/>
      <w:lvlRestart w:val="0"/>
      <w:lvlText w:val="%3."/>
      <w:lvlJc w:val="left"/>
      <w:pPr>
        <w:ind w:left="18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9E8EDB6">
      <w:start w:val="1"/>
      <w:numFmt w:val="decimal"/>
      <w:lvlText w:val="%4"/>
      <w:lvlJc w:val="left"/>
      <w:pPr>
        <w:ind w:left="216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6C0EF54">
      <w:start w:val="1"/>
      <w:numFmt w:val="lowerLetter"/>
      <w:lvlText w:val="%5"/>
      <w:lvlJc w:val="left"/>
      <w:pPr>
        <w:ind w:left="288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2072078A">
      <w:start w:val="1"/>
      <w:numFmt w:val="lowerRoman"/>
      <w:lvlText w:val="%6"/>
      <w:lvlJc w:val="left"/>
      <w:pPr>
        <w:ind w:left="360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E2A9E2E">
      <w:start w:val="1"/>
      <w:numFmt w:val="decimal"/>
      <w:lvlText w:val="%7"/>
      <w:lvlJc w:val="left"/>
      <w:pPr>
        <w:ind w:left="432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C67277B0">
      <w:start w:val="1"/>
      <w:numFmt w:val="lowerLetter"/>
      <w:lvlText w:val="%8"/>
      <w:lvlJc w:val="left"/>
      <w:pPr>
        <w:ind w:left="504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0DE09576">
      <w:start w:val="1"/>
      <w:numFmt w:val="lowerRoman"/>
      <w:lvlText w:val="%9"/>
      <w:lvlJc w:val="left"/>
      <w:pPr>
        <w:ind w:left="5765"/>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5" w15:restartNumberingAfterBreak="0">
    <w:nsid w:val="2A5D7211"/>
    <w:multiLevelType w:val="hybridMultilevel"/>
    <w:tmpl w:val="99420D5A"/>
    <w:lvl w:ilvl="0" w:tplc="9E246C2E">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A4D4D250">
      <w:start w:val="1"/>
      <w:numFmt w:val="lowerLetter"/>
      <w:lvlText w:val="%2"/>
      <w:lvlJc w:val="left"/>
      <w:pPr>
        <w:ind w:left="108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D838748C">
      <w:start w:val="1"/>
      <w:numFmt w:val="lowerLetter"/>
      <w:lvlRestart w:val="0"/>
      <w:lvlText w:val="%3."/>
      <w:lvlJc w:val="left"/>
      <w:pPr>
        <w:ind w:left="18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7F94D9CE">
      <w:start w:val="1"/>
      <w:numFmt w:val="decimal"/>
      <w:lvlText w:val="%4"/>
      <w:lvlJc w:val="left"/>
      <w:pPr>
        <w:ind w:left="25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BC87934">
      <w:start w:val="1"/>
      <w:numFmt w:val="lowerLetter"/>
      <w:lvlText w:val="%5"/>
      <w:lvlJc w:val="left"/>
      <w:pPr>
        <w:ind w:left="32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4E847B04">
      <w:start w:val="1"/>
      <w:numFmt w:val="lowerRoman"/>
      <w:lvlText w:val="%6"/>
      <w:lvlJc w:val="left"/>
      <w:pPr>
        <w:ind w:left="39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AD3A21EE">
      <w:start w:val="1"/>
      <w:numFmt w:val="decimal"/>
      <w:lvlText w:val="%7"/>
      <w:lvlJc w:val="left"/>
      <w:pPr>
        <w:ind w:left="46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C56672E">
      <w:start w:val="1"/>
      <w:numFmt w:val="lowerLetter"/>
      <w:lvlText w:val="%8"/>
      <w:lvlJc w:val="left"/>
      <w:pPr>
        <w:ind w:left="54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A324AC8">
      <w:start w:val="1"/>
      <w:numFmt w:val="lowerRoman"/>
      <w:lvlText w:val="%9"/>
      <w:lvlJc w:val="left"/>
      <w:pPr>
        <w:ind w:left="61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6" w15:restartNumberingAfterBreak="0">
    <w:nsid w:val="2B0216B9"/>
    <w:multiLevelType w:val="hybridMultilevel"/>
    <w:tmpl w:val="C8366C64"/>
    <w:lvl w:ilvl="0" w:tplc="A7A04B06">
      <w:start w:val="1"/>
      <w:numFmt w:val="bullet"/>
      <w:lvlText w:val="•"/>
      <w:lvlJc w:val="left"/>
      <w:pPr>
        <w:ind w:left="115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91D64C80">
      <w:start w:val="1"/>
      <w:numFmt w:val="bullet"/>
      <w:lvlText w:val="o"/>
      <w:lvlJc w:val="left"/>
      <w:pPr>
        <w:ind w:left="188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2" w:tplc="1E92384E">
      <w:start w:val="1"/>
      <w:numFmt w:val="bullet"/>
      <w:lvlText w:val="▪"/>
      <w:lvlJc w:val="left"/>
      <w:pPr>
        <w:ind w:left="26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3" w:tplc="63F0755A">
      <w:start w:val="1"/>
      <w:numFmt w:val="bullet"/>
      <w:lvlText w:val="•"/>
      <w:lvlJc w:val="left"/>
      <w:pPr>
        <w:ind w:left="33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77D24202">
      <w:start w:val="1"/>
      <w:numFmt w:val="bullet"/>
      <w:lvlText w:val="o"/>
      <w:lvlJc w:val="left"/>
      <w:pPr>
        <w:ind w:left="404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5" w:tplc="C9C666EA">
      <w:start w:val="1"/>
      <w:numFmt w:val="bullet"/>
      <w:lvlText w:val="▪"/>
      <w:lvlJc w:val="left"/>
      <w:pPr>
        <w:ind w:left="476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6" w:tplc="91305CF4">
      <w:start w:val="1"/>
      <w:numFmt w:val="bullet"/>
      <w:lvlText w:val="•"/>
      <w:lvlJc w:val="left"/>
      <w:pPr>
        <w:ind w:left="54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8F2AE9F8">
      <w:start w:val="1"/>
      <w:numFmt w:val="bullet"/>
      <w:lvlText w:val="o"/>
      <w:lvlJc w:val="left"/>
      <w:pPr>
        <w:ind w:left="620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lvl w:ilvl="8" w:tplc="6A44454C">
      <w:start w:val="1"/>
      <w:numFmt w:val="bullet"/>
      <w:lvlText w:val="▪"/>
      <w:lvlJc w:val="left"/>
      <w:pPr>
        <w:ind w:left="6920"/>
      </w:pPr>
      <w:rPr>
        <w:rFonts w:ascii="Segoe UI Symbol" w:eastAsia="Segoe UI Symbol" w:hAnsi="Segoe UI Symbol" w:cs="Segoe UI Symbol"/>
        <w:b w:val="0"/>
        <w:i w:val="0"/>
        <w:strike w:val="0"/>
        <w:dstrike w:val="0"/>
        <w:color w:val="000000"/>
        <w:sz w:val="29"/>
        <w:szCs w:val="29"/>
        <w:u w:val="none" w:color="000000"/>
        <w:bdr w:val="none" w:sz="0" w:space="0" w:color="auto"/>
        <w:shd w:val="clear" w:color="auto" w:fill="auto"/>
        <w:vertAlign w:val="baseline"/>
      </w:rPr>
    </w:lvl>
  </w:abstractNum>
  <w:abstractNum w:abstractNumId="7" w15:restartNumberingAfterBreak="0">
    <w:nsid w:val="313213F4"/>
    <w:multiLevelType w:val="hybridMultilevel"/>
    <w:tmpl w:val="5B7AEAC2"/>
    <w:lvl w:ilvl="0" w:tplc="D83C08BC">
      <w:start w:val="2"/>
      <w:numFmt w:val="upperLetter"/>
      <w:lvlText w:val="%1."/>
      <w:lvlJc w:val="left"/>
      <w:pPr>
        <w:ind w:left="3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707CB8">
      <w:start w:val="1"/>
      <w:numFmt w:val="decimal"/>
      <w:lvlText w:val="(%2)"/>
      <w:lvlJc w:val="left"/>
      <w:pPr>
        <w:ind w:left="17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201F6A">
      <w:start w:val="1"/>
      <w:numFmt w:val="lowerRoman"/>
      <w:lvlText w:val="%3"/>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7491E8">
      <w:start w:val="1"/>
      <w:numFmt w:val="decimal"/>
      <w:lvlText w:val="%4"/>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561816">
      <w:start w:val="1"/>
      <w:numFmt w:val="lowerLetter"/>
      <w:lvlText w:val="%5"/>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BE659EE">
      <w:start w:val="1"/>
      <w:numFmt w:val="lowerRoman"/>
      <w:lvlText w:val="%6"/>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6A3AE2">
      <w:start w:val="1"/>
      <w:numFmt w:val="decimal"/>
      <w:lvlText w:val="%7"/>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BC8D9E">
      <w:start w:val="1"/>
      <w:numFmt w:val="lowerLetter"/>
      <w:lvlText w:val="%8"/>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5AFC3A">
      <w:start w:val="1"/>
      <w:numFmt w:val="lowerRoman"/>
      <w:lvlText w:val="%9"/>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169294B"/>
    <w:multiLevelType w:val="hybridMultilevel"/>
    <w:tmpl w:val="DFBCBC56"/>
    <w:lvl w:ilvl="0" w:tplc="A276277C">
      <w:start w:val="1"/>
      <w:numFmt w:val="decimal"/>
      <w:lvlText w:val="(%1)"/>
      <w:lvlJc w:val="left"/>
      <w:pPr>
        <w:ind w:left="1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306212">
      <w:start w:val="1"/>
      <w:numFmt w:val="lowerLetter"/>
      <w:lvlText w:val="%2"/>
      <w:lvlJc w:val="left"/>
      <w:pPr>
        <w:ind w:left="2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823CB2">
      <w:start w:val="1"/>
      <w:numFmt w:val="lowerRoman"/>
      <w:lvlText w:val="%3"/>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7C261C">
      <w:start w:val="1"/>
      <w:numFmt w:val="decimal"/>
      <w:lvlText w:val="%4"/>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B24FDC">
      <w:start w:val="1"/>
      <w:numFmt w:val="lowerLetter"/>
      <w:lvlText w:val="%5"/>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D2D65C">
      <w:start w:val="1"/>
      <w:numFmt w:val="lowerRoman"/>
      <w:lvlText w:val="%6"/>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0CB86C">
      <w:start w:val="1"/>
      <w:numFmt w:val="decimal"/>
      <w:lvlText w:val="%7"/>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709B44">
      <w:start w:val="1"/>
      <w:numFmt w:val="lowerLetter"/>
      <w:lvlText w:val="%8"/>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482140">
      <w:start w:val="1"/>
      <w:numFmt w:val="lowerRoman"/>
      <w:lvlText w:val="%9"/>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D772450"/>
    <w:multiLevelType w:val="hybridMultilevel"/>
    <w:tmpl w:val="7FC0570C"/>
    <w:lvl w:ilvl="0" w:tplc="BD2CB59E">
      <w:start w:val="2"/>
      <w:numFmt w:val="decimal"/>
      <w:lvlText w:val="%1"/>
      <w:lvlJc w:val="left"/>
      <w:pPr>
        <w:ind w:left="721"/>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1" w:tplc="F272BB36">
      <w:start w:val="1"/>
      <w:numFmt w:val="lowerLetter"/>
      <w:lvlText w:val="%2."/>
      <w:lvlJc w:val="left"/>
      <w:pPr>
        <w:ind w:left="11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C10C79DE">
      <w:start w:val="1"/>
      <w:numFmt w:val="lowerRoman"/>
      <w:lvlText w:val="%3"/>
      <w:lvlJc w:val="left"/>
      <w:pPr>
        <w:ind w:left="18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A32E9406">
      <w:start w:val="1"/>
      <w:numFmt w:val="decimal"/>
      <w:lvlText w:val="%4"/>
      <w:lvlJc w:val="left"/>
      <w:pPr>
        <w:ind w:left="25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11DA5FCC">
      <w:start w:val="1"/>
      <w:numFmt w:val="lowerLetter"/>
      <w:lvlText w:val="%5"/>
      <w:lvlJc w:val="left"/>
      <w:pPr>
        <w:ind w:left="32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B9665CC">
      <w:start w:val="1"/>
      <w:numFmt w:val="lowerRoman"/>
      <w:lvlText w:val="%6"/>
      <w:lvlJc w:val="left"/>
      <w:pPr>
        <w:ind w:left="39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B208BC0">
      <w:start w:val="1"/>
      <w:numFmt w:val="decimal"/>
      <w:lvlText w:val="%7"/>
      <w:lvlJc w:val="left"/>
      <w:pPr>
        <w:ind w:left="46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B3927004">
      <w:start w:val="1"/>
      <w:numFmt w:val="lowerLetter"/>
      <w:lvlText w:val="%8"/>
      <w:lvlJc w:val="left"/>
      <w:pPr>
        <w:ind w:left="54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C8A8B24">
      <w:start w:val="1"/>
      <w:numFmt w:val="lowerRoman"/>
      <w:lvlText w:val="%9"/>
      <w:lvlJc w:val="left"/>
      <w:pPr>
        <w:ind w:left="61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0" w15:restartNumberingAfterBreak="0">
    <w:nsid w:val="50075049"/>
    <w:multiLevelType w:val="hybridMultilevel"/>
    <w:tmpl w:val="7D440134"/>
    <w:lvl w:ilvl="0" w:tplc="950A3904">
      <w:start w:val="1"/>
      <w:numFmt w:val="decimal"/>
      <w:lvlText w:val="%1."/>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E6C670">
      <w:start w:val="1"/>
      <w:numFmt w:val="lowerLetter"/>
      <w:lvlText w:val="%2"/>
      <w:lvlJc w:val="left"/>
      <w:pPr>
        <w:ind w:left="1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44B698">
      <w:start w:val="1"/>
      <w:numFmt w:val="lowerRoman"/>
      <w:lvlText w:val="%3"/>
      <w:lvlJc w:val="left"/>
      <w:pPr>
        <w:ind w:left="2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F03B22">
      <w:start w:val="1"/>
      <w:numFmt w:val="decimal"/>
      <w:lvlText w:val="%4"/>
      <w:lvlJc w:val="left"/>
      <w:pPr>
        <w:ind w:left="3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E4285A">
      <w:start w:val="1"/>
      <w:numFmt w:val="lowerLetter"/>
      <w:lvlText w:val="%5"/>
      <w:lvlJc w:val="left"/>
      <w:pPr>
        <w:ind w:left="4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5E68FA">
      <w:start w:val="1"/>
      <w:numFmt w:val="lowerRoman"/>
      <w:lvlText w:val="%6"/>
      <w:lvlJc w:val="left"/>
      <w:pPr>
        <w:ind w:left="4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4C13B8">
      <w:start w:val="1"/>
      <w:numFmt w:val="decimal"/>
      <w:lvlText w:val="%7"/>
      <w:lvlJc w:val="left"/>
      <w:pPr>
        <w:ind w:left="5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C46E48">
      <w:start w:val="1"/>
      <w:numFmt w:val="lowerLetter"/>
      <w:lvlText w:val="%8"/>
      <w:lvlJc w:val="left"/>
      <w:pPr>
        <w:ind w:left="6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3AECCA">
      <w:start w:val="1"/>
      <w:numFmt w:val="lowerRoman"/>
      <w:lvlText w:val="%9"/>
      <w:lvlJc w:val="left"/>
      <w:pPr>
        <w:ind w:left="6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7F35FA"/>
    <w:multiLevelType w:val="hybridMultilevel"/>
    <w:tmpl w:val="E1CE1D58"/>
    <w:lvl w:ilvl="0" w:tplc="42A66AA2">
      <w:start w:val="1"/>
      <w:numFmt w:val="decimal"/>
      <w:lvlText w:val="%1."/>
      <w:lvlJc w:val="left"/>
      <w:pPr>
        <w:ind w:left="1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0A4120">
      <w:start w:val="1"/>
      <w:numFmt w:val="lowerLetter"/>
      <w:lvlText w:val="%2"/>
      <w:lvlJc w:val="left"/>
      <w:pPr>
        <w:ind w:left="2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F06ED2">
      <w:start w:val="1"/>
      <w:numFmt w:val="lowerRoman"/>
      <w:lvlText w:val="%3"/>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D25F9E">
      <w:start w:val="1"/>
      <w:numFmt w:val="decimal"/>
      <w:lvlText w:val="%4"/>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EE9C9A">
      <w:start w:val="1"/>
      <w:numFmt w:val="lowerLetter"/>
      <w:lvlText w:val="%5"/>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784408">
      <w:start w:val="1"/>
      <w:numFmt w:val="lowerRoman"/>
      <w:lvlText w:val="%6"/>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A26F32">
      <w:start w:val="1"/>
      <w:numFmt w:val="decimal"/>
      <w:lvlText w:val="%7"/>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4CCD5C">
      <w:start w:val="1"/>
      <w:numFmt w:val="lowerLetter"/>
      <w:lvlText w:val="%8"/>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5EE690">
      <w:start w:val="1"/>
      <w:numFmt w:val="lowerRoman"/>
      <w:lvlText w:val="%9"/>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25708F8"/>
    <w:multiLevelType w:val="hybridMultilevel"/>
    <w:tmpl w:val="92F43CCE"/>
    <w:lvl w:ilvl="0" w:tplc="308E38D6">
      <w:start w:val="1"/>
      <w:numFmt w:val="decimal"/>
      <w:lvlText w:val="(%1)"/>
      <w:lvlJc w:val="left"/>
      <w:pPr>
        <w:ind w:left="1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5822D0">
      <w:start w:val="1"/>
      <w:numFmt w:val="lowerLetter"/>
      <w:lvlText w:val="(%2)"/>
      <w:lvlJc w:val="left"/>
      <w:pPr>
        <w:ind w:left="21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B4EFF8">
      <w:start w:val="1"/>
      <w:numFmt w:val="lowerRoman"/>
      <w:lvlText w:val="%3"/>
      <w:lvlJc w:val="left"/>
      <w:pPr>
        <w:ind w:left="2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2AF3A">
      <w:start w:val="1"/>
      <w:numFmt w:val="decimal"/>
      <w:lvlText w:val="%4"/>
      <w:lvlJc w:val="left"/>
      <w:pPr>
        <w:ind w:left="3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CA1610">
      <w:start w:val="1"/>
      <w:numFmt w:val="lowerLetter"/>
      <w:lvlText w:val="%5"/>
      <w:lvlJc w:val="left"/>
      <w:pPr>
        <w:ind w:left="4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7E4ADA">
      <w:start w:val="1"/>
      <w:numFmt w:val="lowerRoman"/>
      <w:lvlText w:val="%6"/>
      <w:lvlJc w:val="left"/>
      <w:pPr>
        <w:ind w:left="49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0C89A4">
      <w:start w:val="1"/>
      <w:numFmt w:val="decimal"/>
      <w:lvlText w:val="%7"/>
      <w:lvlJc w:val="left"/>
      <w:pPr>
        <w:ind w:left="5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C4147C">
      <w:start w:val="1"/>
      <w:numFmt w:val="lowerLetter"/>
      <w:lvlText w:val="%8"/>
      <w:lvlJc w:val="left"/>
      <w:pPr>
        <w:ind w:left="6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5E6954">
      <w:start w:val="1"/>
      <w:numFmt w:val="lowerRoman"/>
      <w:lvlText w:val="%9"/>
      <w:lvlJc w:val="left"/>
      <w:pPr>
        <w:ind w:left="7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7DC6CE1"/>
    <w:multiLevelType w:val="hybridMultilevel"/>
    <w:tmpl w:val="99A86C96"/>
    <w:lvl w:ilvl="0" w:tplc="38383D46">
      <w:start w:val="1"/>
      <w:numFmt w:val="decimal"/>
      <w:lvlText w:val="%1."/>
      <w:lvlJc w:val="left"/>
      <w:pPr>
        <w:ind w:left="1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EC2380">
      <w:start w:val="1"/>
      <w:numFmt w:val="lowerLetter"/>
      <w:lvlText w:val="%2"/>
      <w:lvlJc w:val="left"/>
      <w:pPr>
        <w:ind w:left="2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A48004">
      <w:start w:val="1"/>
      <w:numFmt w:val="lowerRoman"/>
      <w:lvlText w:val="%3"/>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D8C342">
      <w:start w:val="1"/>
      <w:numFmt w:val="decimal"/>
      <w:lvlText w:val="%4"/>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34F554">
      <w:start w:val="1"/>
      <w:numFmt w:val="lowerLetter"/>
      <w:lvlText w:val="%5"/>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AC2E02">
      <w:start w:val="1"/>
      <w:numFmt w:val="lowerRoman"/>
      <w:lvlText w:val="%6"/>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FA5C4C">
      <w:start w:val="1"/>
      <w:numFmt w:val="decimal"/>
      <w:lvlText w:val="%7"/>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6A9838">
      <w:start w:val="1"/>
      <w:numFmt w:val="lowerLetter"/>
      <w:lvlText w:val="%8"/>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C6EC6C">
      <w:start w:val="1"/>
      <w:numFmt w:val="lowerRoman"/>
      <w:lvlText w:val="%9"/>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8EF00EE"/>
    <w:multiLevelType w:val="hybridMultilevel"/>
    <w:tmpl w:val="96A23FE2"/>
    <w:lvl w:ilvl="0" w:tplc="12AE1334">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160654C8">
      <w:start w:val="1"/>
      <w:numFmt w:val="lowerLetter"/>
      <w:lvlText w:val="%2."/>
      <w:lvlJc w:val="left"/>
      <w:pPr>
        <w:ind w:left="11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114E2EE8">
      <w:start w:val="1"/>
      <w:numFmt w:val="lowerRoman"/>
      <w:lvlText w:val="%3"/>
      <w:lvlJc w:val="left"/>
      <w:pPr>
        <w:ind w:left="18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C386919A">
      <w:start w:val="1"/>
      <w:numFmt w:val="decimal"/>
      <w:lvlText w:val="%4"/>
      <w:lvlJc w:val="left"/>
      <w:pPr>
        <w:ind w:left="25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6320297C">
      <w:start w:val="1"/>
      <w:numFmt w:val="lowerLetter"/>
      <w:lvlText w:val="%5"/>
      <w:lvlJc w:val="left"/>
      <w:pPr>
        <w:ind w:left="325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F11A2284">
      <w:start w:val="1"/>
      <w:numFmt w:val="lowerRoman"/>
      <w:lvlText w:val="%6"/>
      <w:lvlJc w:val="left"/>
      <w:pPr>
        <w:ind w:left="397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7A1E3F40">
      <w:start w:val="1"/>
      <w:numFmt w:val="decimal"/>
      <w:lvlText w:val="%7"/>
      <w:lvlJc w:val="left"/>
      <w:pPr>
        <w:ind w:left="469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FDAAFF10">
      <w:start w:val="1"/>
      <w:numFmt w:val="lowerLetter"/>
      <w:lvlText w:val="%8"/>
      <w:lvlJc w:val="left"/>
      <w:pPr>
        <w:ind w:left="541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BABC2C88">
      <w:start w:val="1"/>
      <w:numFmt w:val="lowerRoman"/>
      <w:lvlText w:val="%9"/>
      <w:lvlJc w:val="left"/>
      <w:pPr>
        <w:ind w:left="6133"/>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5" w15:restartNumberingAfterBreak="0">
    <w:nsid w:val="5D3E563C"/>
    <w:multiLevelType w:val="hybridMultilevel"/>
    <w:tmpl w:val="E3302B90"/>
    <w:lvl w:ilvl="0" w:tplc="A232E462">
      <w:start w:val="1"/>
      <w:numFmt w:val="lowerLetter"/>
      <w:lvlText w:val="%1."/>
      <w:lvlJc w:val="left"/>
      <w:pPr>
        <w:ind w:left="2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A4D880">
      <w:start w:val="1"/>
      <w:numFmt w:val="lowerLetter"/>
      <w:lvlText w:val="%2"/>
      <w:lvlJc w:val="left"/>
      <w:pPr>
        <w:ind w:left="3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E86320">
      <w:start w:val="1"/>
      <w:numFmt w:val="lowerRoman"/>
      <w:lvlText w:val="%3"/>
      <w:lvlJc w:val="left"/>
      <w:pPr>
        <w:ind w:left="3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3A6766">
      <w:start w:val="1"/>
      <w:numFmt w:val="decimal"/>
      <w:lvlText w:val="%4"/>
      <w:lvlJc w:val="left"/>
      <w:pPr>
        <w:ind w:left="4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6C7DF6">
      <w:start w:val="1"/>
      <w:numFmt w:val="lowerLetter"/>
      <w:lvlText w:val="%5"/>
      <w:lvlJc w:val="left"/>
      <w:pPr>
        <w:ind w:left="5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D2E68C">
      <w:start w:val="1"/>
      <w:numFmt w:val="lowerRoman"/>
      <w:lvlText w:val="%6"/>
      <w:lvlJc w:val="left"/>
      <w:pPr>
        <w:ind w:left="6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BE97A0">
      <w:start w:val="1"/>
      <w:numFmt w:val="decimal"/>
      <w:lvlText w:val="%7"/>
      <w:lvlJc w:val="left"/>
      <w:pPr>
        <w:ind w:left="6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0ADEF0">
      <w:start w:val="1"/>
      <w:numFmt w:val="lowerLetter"/>
      <w:lvlText w:val="%8"/>
      <w:lvlJc w:val="left"/>
      <w:pPr>
        <w:ind w:left="7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44864A">
      <w:start w:val="1"/>
      <w:numFmt w:val="lowerRoman"/>
      <w:lvlText w:val="%9"/>
      <w:lvlJc w:val="left"/>
      <w:pPr>
        <w:ind w:left="8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E273DF7"/>
    <w:multiLevelType w:val="hybridMultilevel"/>
    <w:tmpl w:val="FD4E2BF8"/>
    <w:lvl w:ilvl="0" w:tplc="2D3A978E">
      <w:start w:val="1"/>
      <w:numFmt w:val="bullet"/>
      <w:lvlText w:val="•"/>
      <w:lvlJc w:val="left"/>
      <w:pPr>
        <w:ind w:left="14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89065A0">
      <w:start w:val="1"/>
      <w:numFmt w:val="bullet"/>
      <w:lvlText w:val="o"/>
      <w:lvlJc w:val="left"/>
      <w:pPr>
        <w:ind w:left="2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F0A026">
      <w:start w:val="1"/>
      <w:numFmt w:val="bullet"/>
      <w:lvlText w:val="▪"/>
      <w:lvlJc w:val="left"/>
      <w:pPr>
        <w:ind w:left="2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AE3E3E">
      <w:start w:val="1"/>
      <w:numFmt w:val="bullet"/>
      <w:lvlText w:val="•"/>
      <w:lvlJc w:val="left"/>
      <w:pPr>
        <w:ind w:left="35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E249B32">
      <w:start w:val="1"/>
      <w:numFmt w:val="bullet"/>
      <w:lvlText w:val="o"/>
      <w:lvlJc w:val="left"/>
      <w:pPr>
        <w:ind w:left="4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5437CA">
      <w:start w:val="1"/>
      <w:numFmt w:val="bullet"/>
      <w:lvlText w:val="▪"/>
      <w:lvlJc w:val="left"/>
      <w:pPr>
        <w:ind w:left="5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BC7816">
      <w:start w:val="1"/>
      <w:numFmt w:val="bullet"/>
      <w:lvlText w:val="•"/>
      <w:lvlJc w:val="left"/>
      <w:pPr>
        <w:ind w:left="5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5C816FC">
      <w:start w:val="1"/>
      <w:numFmt w:val="bullet"/>
      <w:lvlText w:val="o"/>
      <w:lvlJc w:val="left"/>
      <w:pPr>
        <w:ind w:left="6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1A7312">
      <w:start w:val="1"/>
      <w:numFmt w:val="bullet"/>
      <w:lvlText w:val="▪"/>
      <w:lvlJc w:val="left"/>
      <w:pPr>
        <w:ind w:left="7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1FF507D"/>
    <w:multiLevelType w:val="hybridMultilevel"/>
    <w:tmpl w:val="0C1CDB4E"/>
    <w:lvl w:ilvl="0" w:tplc="DE806BA8">
      <w:start w:val="1"/>
      <w:numFmt w:val="lowerLetter"/>
      <w:lvlText w:val="%1."/>
      <w:lvlJc w:val="left"/>
      <w:pPr>
        <w:ind w:left="1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0438C0">
      <w:start w:val="1"/>
      <w:numFmt w:val="lowerLetter"/>
      <w:lvlText w:val="%2"/>
      <w:lvlJc w:val="left"/>
      <w:pPr>
        <w:ind w:left="2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462CF4">
      <w:start w:val="1"/>
      <w:numFmt w:val="lowerRoman"/>
      <w:lvlText w:val="%3"/>
      <w:lvlJc w:val="left"/>
      <w:pPr>
        <w:ind w:left="3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F22AE2">
      <w:start w:val="1"/>
      <w:numFmt w:val="decimal"/>
      <w:lvlText w:val="%4"/>
      <w:lvlJc w:val="left"/>
      <w:pPr>
        <w:ind w:left="3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828BFA">
      <w:start w:val="1"/>
      <w:numFmt w:val="lowerLetter"/>
      <w:lvlText w:val="%5"/>
      <w:lvlJc w:val="left"/>
      <w:pPr>
        <w:ind w:left="4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3E603C">
      <w:start w:val="1"/>
      <w:numFmt w:val="lowerRoman"/>
      <w:lvlText w:val="%6"/>
      <w:lvlJc w:val="left"/>
      <w:pPr>
        <w:ind w:left="5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3AEF888">
      <w:start w:val="1"/>
      <w:numFmt w:val="decimal"/>
      <w:lvlText w:val="%7"/>
      <w:lvlJc w:val="left"/>
      <w:pPr>
        <w:ind w:left="6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3AE48C">
      <w:start w:val="1"/>
      <w:numFmt w:val="lowerLetter"/>
      <w:lvlText w:val="%8"/>
      <w:lvlJc w:val="left"/>
      <w:pPr>
        <w:ind w:left="6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3E1722">
      <w:start w:val="1"/>
      <w:numFmt w:val="lowerRoman"/>
      <w:lvlText w:val="%9"/>
      <w:lvlJc w:val="left"/>
      <w:pPr>
        <w:ind w:left="7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56775B6"/>
    <w:multiLevelType w:val="hybridMultilevel"/>
    <w:tmpl w:val="530EB47C"/>
    <w:lvl w:ilvl="0" w:tplc="9710ABBC">
      <w:start w:val="10"/>
      <w:numFmt w:val="decimal"/>
      <w:lvlText w:val="%1"/>
      <w:lvlJc w:val="left"/>
      <w:pPr>
        <w:ind w:left="427"/>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1" w:tplc="D4B25C7E">
      <w:start w:val="1"/>
      <w:numFmt w:val="lowerLetter"/>
      <w:lvlText w:val="%2"/>
      <w:lvlJc w:val="left"/>
      <w:pPr>
        <w:ind w:left="15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2" w:tplc="E5DE1600">
      <w:start w:val="1"/>
      <w:numFmt w:val="lowerRoman"/>
      <w:lvlText w:val="%3"/>
      <w:lvlJc w:val="left"/>
      <w:pPr>
        <w:ind w:left="223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3" w:tplc="68EA401C">
      <w:start w:val="1"/>
      <w:numFmt w:val="decimal"/>
      <w:lvlText w:val="%4"/>
      <w:lvlJc w:val="left"/>
      <w:pPr>
        <w:ind w:left="29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4" w:tplc="F774B434">
      <w:start w:val="1"/>
      <w:numFmt w:val="lowerLetter"/>
      <w:lvlText w:val="%5"/>
      <w:lvlJc w:val="left"/>
      <w:pPr>
        <w:ind w:left="36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5" w:tplc="D5B0608C">
      <w:start w:val="1"/>
      <w:numFmt w:val="lowerRoman"/>
      <w:lvlText w:val="%6"/>
      <w:lvlJc w:val="left"/>
      <w:pPr>
        <w:ind w:left="439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6" w:tplc="71623F9E">
      <w:start w:val="1"/>
      <w:numFmt w:val="decimal"/>
      <w:lvlText w:val="%7"/>
      <w:lvlJc w:val="left"/>
      <w:pPr>
        <w:ind w:left="5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7" w:tplc="F83CCDEE">
      <w:start w:val="1"/>
      <w:numFmt w:val="lowerLetter"/>
      <w:lvlText w:val="%8"/>
      <w:lvlJc w:val="left"/>
      <w:pPr>
        <w:ind w:left="583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lvl w:ilvl="8" w:tplc="DFEC09DA">
      <w:start w:val="1"/>
      <w:numFmt w:val="lowerRoman"/>
      <w:lvlText w:val="%9"/>
      <w:lvlJc w:val="left"/>
      <w:pPr>
        <w:ind w:left="65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superscript"/>
      </w:rPr>
    </w:lvl>
  </w:abstractNum>
  <w:abstractNum w:abstractNumId="19" w15:restartNumberingAfterBreak="0">
    <w:nsid w:val="67156F4F"/>
    <w:multiLevelType w:val="hybridMultilevel"/>
    <w:tmpl w:val="CE5C54A0"/>
    <w:lvl w:ilvl="0" w:tplc="10BC70D8">
      <w:start w:val="1"/>
      <w:numFmt w:val="decimal"/>
      <w:lvlText w:val="%1."/>
      <w:lvlJc w:val="left"/>
      <w:pPr>
        <w:ind w:left="1520"/>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83ACBEC0">
      <w:start w:val="1"/>
      <w:numFmt w:val="lowerLetter"/>
      <w:lvlText w:val="%2"/>
      <w:lvlJc w:val="left"/>
      <w:pPr>
        <w:ind w:left="223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80A22DCC">
      <w:start w:val="1"/>
      <w:numFmt w:val="lowerRoman"/>
      <w:lvlText w:val="%3"/>
      <w:lvlJc w:val="left"/>
      <w:pPr>
        <w:ind w:left="29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55EA8858">
      <w:start w:val="1"/>
      <w:numFmt w:val="decimal"/>
      <w:lvlText w:val="%4"/>
      <w:lvlJc w:val="left"/>
      <w:pPr>
        <w:ind w:left="36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2E9EF03A">
      <w:start w:val="1"/>
      <w:numFmt w:val="lowerLetter"/>
      <w:lvlText w:val="%5"/>
      <w:lvlJc w:val="left"/>
      <w:pPr>
        <w:ind w:left="439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ABBE2DC2">
      <w:start w:val="1"/>
      <w:numFmt w:val="lowerRoman"/>
      <w:lvlText w:val="%6"/>
      <w:lvlJc w:val="left"/>
      <w:pPr>
        <w:ind w:left="5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F4B2137E">
      <w:start w:val="1"/>
      <w:numFmt w:val="decimal"/>
      <w:lvlText w:val="%7"/>
      <w:lvlJc w:val="left"/>
      <w:pPr>
        <w:ind w:left="583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0ED44306">
      <w:start w:val="1"/>
      <w:numFmt w:val="lowerLetter"/>
      <w:lvlText w:val="%8"/>
      <w:lvlJc w:val="left"/>
      <w:pPr>
        <w:ind w:left="65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D3C26EE0">
      <w:start w:val="1"/>
      <w:numFmt w:val="lowerRoman"/>
      <w:lvlText w:val="%9"/>
      <w:lvlJc w:val="left"/>
      <w:pPr>
        <w:ind w:left="72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0" w15:restartNumberingAfterBreak="0">
    <w:nsid w:val="6DCA2702"/>
    <w:multiLevelType w:val="hybridMultilevel"/>
    <w:tmpl w:val="68A8849A"/>
    <w:lvl w:ilvl="0" w:tplc="799CB5EE">
      <w:start w:val="1"/>
      <w:numFmt w:val="lowerLetter"/>
      <w:lvlText w:val="(%1)"/>
      <w:lvlJc w:val="left"/>
      <w:pPr>
        <w:ind w:left="18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FBCA096A">
      <w:start w:val="1"/>
      <w:numFmt w:val="lowerLetter"/>
      <w:lvlText w:val="%2"/>
      <w:lvlJc w:val="left"/>
      <w:pPr>
        <w:ind w:left="223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6D860ECC">
      <w:start w:val="1"/>
      <w:numFmt w:val="lowerRoman"/>
      <w:lvlText w:val="%3"/>
      <w:lvlJc w:val="left"/>
      <w:pPr>
        <w:ind w:left="29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1B0614AE">
      <w:start w:val="1"/>
      <w:numFmt w:val="decimal"/>
      <w:lvlText w:val="%4"/>
      <w:lvlJc w:val="left"/>
      <w:pPr>
        <w:ind w:left="36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A31874F4">
      <w:start w:val="1"/>
      <w:numFmt w:val="lowerLetter"/>
      <w:lvlText w:val="%5"/>
      <w:lvlJc w:val="left"/>
      <w:pPr>
        <w:ind w:left="439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1402EF30">
      <w:start w:val="1"/>
      <w:numFmt w:val="lowerRoman"/>
      <w:lvlText w:val="%6"/>
      <w:lvlJc w:val="left"/>
      <w:pPr>
        <w:ind w:left="511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9A400004">
      <w:start w:val="1"/>
      <w:numFmt w:val="decimal"/>
      <w:lvlText w:val="%7"/>
      <w:lvlJc w:val="left"/>
      <w:pPr>
        <w:ind w:left="583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1B7E0110">
      <w:start w:val="1"/>
      <w:numFmt w:val="lowerLetter"/>
      <w:lvlText w:val="%8"/>
      <w:lvlJc w:val="left"/>
      <w:pPr>
        <w:ind w:left="655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1D4C4DD4">
      <w:start w:val="1"/>
      <w:numFmt w:val="lowerRoman"/>
      <w:lvlText w:val="%9"/>
      <w:lvlJc w:val="left"/>
      <w:pPr>
        <w:ind w:left="7272"/>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21" w15:restartNumberingAfterBreak="0">
    <w:nsid w:val="6EA916BD"/>
    <w:multiLevelType w:val="hybridMultilevel"/>
    <w:tmpl w:val="82D83658"/>
    <w:lvl w:ilvl="0" w:tplc="7632B8F8">
      <w:numFmt w:val="bullet"/>
      <w:lvlText w:val=""/>
      <w:lvlJc w:val="left"/>
      <w:pPr>
        <w:ind w:left="670" w:hanging="360"/>
      </w:pPr>
      <w:rPr>
        <w:rFonts w:ascii="Symbol" w:eastAsia="Times New Roman" w:hAnsi="Symbol" w:cs="Times New Roman" w:hint="default"/>
      </w:rPr>
    </w:lvl>
    <w:lvl w:ilvl="1" w:tplc="04090003" w:tentative="1">
      <w:start w:val="1"/>
      <w:numFmt w:val="bullet"/>
      <w:lvlText w:val="o"/>
      <w:lvlJc w:val="left"/>
      <w:pPr>
        <w:ind w:left="1390" w:hanging="360"/>
      </w:pPr>
      <w:rPr>
        <w:rFonts w:ascii="Courier New" w:hAnsi="Courier New" w:cs="Courier New" w:hint="default"/>
      </w:rPr>
    </w:lvl>
    <w:lvl w:ilvl="2" w:tplc="04090005" w:tentative="1">
      <w:start w:val="1"/>
      <w:numFmt w:val="bullet"/>
      <w:lvlText w:val=""/>
      <w:lvlJc w:val="left"/>
      <w:pPr>
        <w:ind w:left="2110" w:hanging="360"/>
      </w:pPr>
      <w:rPr>
        <w:rFonts w:ascii="Wingdings" w:hAnsi="Wingdings" w:hint="default"/>
      </w:rPr>
    </w:lvl>
    <w:lvl w:ilvl="3" w:tplc="04090001" w:tentative="1">
      <w:start w:val="1"/>
      <w:numFmt w:val="bullet"/>
      <w:lvlText w:val=""/>
      <w:lvlJc w:val="left"/>
      <w:pPr>
        <w:ind w:left="2830" w:hanging="360"/>
      </w:pPr>
      <w:rPr>
        <w:rFonts w:ascii="Symbol" w:hAnsi="Symbol" w:hint="default"/>
      </w:rPr>
    </w:lvl>
    <w:lvl w:ilvl="4" w:tplc="04090003" w:tentative="1">
      <w:start w:val="1"/>
      <w:numFmt w:val="bullet"/>
      <w:lvlText w:val="o"/>
      <w:lvlJc w:val="left"/>
      <w:pPr>
        <w:ind w:left="3550" w:hanging="360"/>
      </w:pPr>
      <w:rPr>
        <w:rFonts w:ascii="Courier New" w:hAnsi="Courier New" w:cs="Courier New" w:hint="default"/>
      </w:rPr>
    </w:lvl>
    <w:lvl w:ilvl="5" w:tplc="04090005" w:tentative="1">
      <w:start w:val="1"/>
      <w:numFmt w:val="bullet"/>
      <w:lvlText w:val=""/>
      <w:lvlJc w:val="left"/>
      <w:pPr>
        <w:ind w:left="4270" w:hanging="360"/>
      </w:pPr>
      <w:rPr>
        <w:rFonts w:ascii="Wingdings" w:hAnsi="Wingdings" w:hint="default"/>
      </w:rPr>
    </w:lvl>
    <w:lvl w:ilvl="6" w:tplc="04090001" w:tentative="1">
      <w:start w:val="1"/>
      <w:numFmt w:val="bullet"/>
      <w:lvlText w:val=""/>
      <w:lvlJc w:val="left"/>
      <w:pPr>
        <w:ind w:left="4990" w:hanging="360"/>
      </w:pPr>
      <w:rPr>
        <w:rFonts w:ascii="Symbol" w:hAnsi="Symbol" w:hint="default"/>
      </w:rPr>
    </w:lvl>
    <w:lvl w:ilvl="7" w:tplc="04090003" w:tentative="1">
      <w:start w:val="1"/>
      <w:numFmt w:val="bullet"/>
      <w:lvlText w:val="o"/>
      <w:lvlJc w:val="left"/>
      <w:pPr>
        <w:ind w:left="5710" w:hanging="360"/>
      </w:pPr>
      <w:rPr>
        <w:rFonts w:ascii="Courier New" w:hAnsi="Courier New" w:cs="Courier New" w:hint="default"/>
      </w:rPr>
    </w:lvl>
    <w:lvl w:ilvl="8" w:tplc="04090005" w:tentative="1">
      <w:start w:val="1"/>
      <w:numFmt w:val="bullet"/>
      <w:lvlText w:val=""/>
      <w:lvlJc w:val="left"/>
      <w:pPr>
        <w:ind w:left="6430" w:hanging="360"/>
      </w:pPr>
      <w:rPr>
        <w:rFonts w:ascii="Wingdings" w:hAnsi="Wingdings" w:hint="default"/>
      </w:rPr>
    </w:lvl>
  </w:abstractNum>
  <w:abstractNum w:abstractNumId="22" w15:restartNumberingAfterBreak="0">
    <w:nsid w:val="776C4F56"/>
    <w:multiLevelType w:val="hybridMultilevel"/>
    <w:tmpl w:val="AA309794"/>
    <w:lvl w:ilvl="0" w:tplc="A9860B6A">
      <w:start w:val="6"/>
      <w:numFmt w:val="lowerLetter"/>
      <w:lvlText w:val="%1."/>
      <w:lvlJc w:val="left"/>
      <w:pPr>
        <w:ind w:left="2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5AB392">
      <w:start w:val="1"/>
      <w:numFmt w:val="lowerLetter"/>
      <w:lvlText w:val="%2"/>
      <w:lvlJc w:val="left"/>
      <w:pPr>
        <w:ind w:left="3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2ADA7E">
      <w:start w:val="1"/>
      <w:numFmt w:val="lowerRoman"/>
      <w:lvlText w:val="%3"/>
      <w:lvlJc w:val="left"/>
      <w:pPr>
        <w:ind w:left="3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9A66C4">
      <w:start w:val="1"/>
      <w:numFmt w:val="decimal"/>
      <w:lvlText w:val="%4"/>
      <w:lvlJc w:val="left"/>
      <w:pPr>
        <w:ind w:left="46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344606">
      <w:start w:val="1"/>
      <w:numFmt w:val="lowerLetter"/>
      <w:lvlText w:val="%5"/>
      <w:lvlJc w:val="left"/>
      <w:pPr>
        <w:ind w:left="53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1A3456">
      <w:start w:val="1"/>
      <w:numFmt w:val="lowerRoman"/>
      <w:lvlText w:val="%6"/>
      <w:lvlJc w:val="left"/>
      <w:pPr>
        <w:ind w:left="60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1E120E">
      <w:start w:val="1"/>
      <w:numFmt w:val="decimal"/>
      <w:lvlText w:val="%7"/>
      <w:lvlJc w:val="left"/>
      <w:pPr>
        <w:ind w:left="68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72D594">
      <w:start w:val="1"/>
      <w:numFmt w:val="lowerLetter"/>
      <w:lvlText w:val="%8"/>
      <w:lvlJc w:val="left"/>
      <w:pPr>
        <w:ind w:left="7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961702">
      <w:start w:val="1"/>
      <w:numFmt w:val="lowerRoman"/>
      <w:lvlText w:val="%9"/>
      <w:lvlJc w:val="left"/>
      <w:pPr>
        <w:ind w:left="8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7776C27"/>
    <w:multiLevelType w:val="hybridMultilevel"/>
    <w:tmpl w:val="AD68DD12"/>
    <w:lvl w:ilvl="0" w:tplc="7D78EB24">
      <w:start w:val="1"/>
      <w:numFmt w:val="bullet"/>
      <w:lvlText w:val="•"/>
      <w:lvlJc w:val="left"/>
      <w:pPr>
        <w:ind w:left="10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6FAE84E">
      <w:start w:val="1"/>
      <w:numFmt w:val="bullet"/>
      <w:lvlText w:val="o"/>
      <w:lvlJc w:val="left"/>
      <w:pPr>
        <w:ind w:left="19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AAB0D8">
      <w:start w:val="1"/>
      <w:numFmt w:val="bullet"/>
      <w:lvlText w:val="▪"/>
      <w:lvlJc w:val="left"/>
      <w:pPr>
        <w:ind w:left="26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4CFA94">
      <w:start w:val="1"/>
      <w:numFmt w:val="bullet"/>
      <w:lvlText w:val="•"/>
      <w:lvlJc w:val="left"/>
      <w:pPr>
        <w:ind w:left="34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321A1E">
      <w:start w:val="1"/>
      <w:numFmt w:val="bullet"/>
      <w:lvlText w:val="o"/>
      <w:lvlJc w:val="left"/>
      <w:pPr>
        <w:ind w:left="4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06232A">
      <w:start w:val="1"/>
      <w:numFmt w:val="bullet"/>
      <w:lvlText w:val="▪"/>
      <w:lvlJc w:val="left"/>
      <w:pPr>
        <w:ind w:left="4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28476C">
      <w:start w:val="1"/>
      <w:numFmt w:val="bullet"/>
      <w:lvlText w:val="•"/>
      <w:lvlJc w:val="left"/>
      <w:pPr>
        <w:ind w:left="5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EA6728">
      <w:start w:val="1"/>
      <w:numFmt w:val="bullet"/>
      <w:lvlText w:val="o"/>
      <w:lvlJc w:val="left"/>
      <w:pPr>
        <w:ind w:left="6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8ED5C2">
      <w:start w:val="1"/>
      <w:numFmt w:val="bullet"/>
      <w:lvlText w:val="▪"/>
      <w:lvlJc w:val="left"/>
      <w:pPr>
        <w:ind w:left="7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7A2A789A"/>
    <w:multiLevelType w:val="hybridMultilevel"/>
    <w:tmpl w:val="DAD23E96"/>
    <w:lvl w:ilvl="0" w:tplc="879E3886">
      <w:start w:val="1"/>
      <w:numFmt w:val="bullet"/>
      <w:lvlText w:val="•"/>
      <w:lvlJc w:val="left"/>
      <w:pPr>
        <w:ind w:left="12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4A8CBA4">
      <w:start w:val="1"/>
      <w:numFmt w:val="bullet"/>
      <w:lvlText w:val="o"/>
      <w:lvlJc w:val="left"/>
      <w:pPr>
        <w:ind w:left="1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1050D0">
      <w:start w:val="1"/>
      <w:numFmt w:val="bullet"/>
      <w:lvlText w:val="▪"/>
      <w:lvlJc w:val="left"/>
      <w:pPr>
        <w:ind w:left="2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76F63E">
      <w:start w:val="1"/>
      <w:numFmt w:val="bullet"/>
      <w:lvlText w:val="•"/>
      <w:lvlJc w:val="left"/>
      <w:pPr>
        <w:ind w:left="3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B4CB7C">
      <w:start w:val="1"/>
      <w:numFmt w:val="bullet"/>
      <w:lvlText w:val="o"/>
      <w:lvlJc w:val="left"/>
      <w:pPr>
        <w:ind w:left="4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044D00">
      <w:start w:val="1"/>
      <w:numFmt w:val="bullet"/>
      <w:lvlText w:val="▪"/>
      <w:lvlJc w:val="left"/>
      <w:pPr>
        <w:ind w:left="4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AA81D8">
      <w:start w:val="1"/>
      <w:numFmt w:val="bullet"/>
      <w:lvlText w:val="•"/>
      <w:lvlJc w:val="left"/>
      <w:pPr>
        <w:ind w:left="5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E0A86E">
      <w:start w:val="1"/>
      <w:numFmt w:val="bullet"/>
      <w:lvlText w:val="o"/>
      <w:lvlJc w:val="left"/>
      <w:pPr>
        <w:ind w:left="6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FAE96C">
      <w:start w:val="1"/>
      <w:numFmt w:val="bullet"/>
      <w:lvlText w:val="▪"/>
      <w:lvlJc w:val="left"/>
      <w:pPr>
        <w:ind w:left="6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DB27024"/>
    <w:multiLevelType w:val="hybridMultilevel"/>
    <w:tmpl w:val="C804EDEC"/>
    <w:lvl w:ilvl="0" w:tplc="33989984">
      <w:start w:val="2"/>
      <w:numFmt w:val="upperLetter"/>
      <w:lvlText w:val="%1."/>
      <w:lvlJc w:val="left"/>
      <w:pPr>
        <w:ind w:left="1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82436A2">
      <w:start w:val="1"/>
      <w:numFmt w:val="lowerLetter"/>
      <w:lvlText w:val="%2"/>
      <w:lvlJc w:val="left"/>
      <w:pPr>
        <w:ind w:left="1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14A8C8">
      <w:start w:val="1"/>
      <w:numFmt w:val="lowerRoman"/>
      <w:lvlText w:val="%3"/>
      <w:lvlJc w:val="left"/>
      <w:pPr>
        <w:ind w:left="2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DDC5BDE">
      <w:start w:val="1"/>
      <w:numFmt w:val="decimal"/>
      <w:lvlText w:val="%4"/>
      <w:lvlJc w:val="left"/>
      <w:pPr>
        <w:ind w:left="30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38363C">
      <w:start w:val="1"/>
      <w:numFmt w:val="lowerLetter"/>
      <w:lvlText w:val="%5"/>
      <w:lvlJc w:val="left"/>
      <w:pPr>
        <w:ind w:left="37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D07326">
      <w:start w:val="1"/>
      <w:numFmt w:val="lowerRoman"/>
      <w:lvlText w:val="%6"/>
      <w:lvlJc w:val="left"/>
      <w:pPr>
        <w:ind w:left="44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30DB44">
      <w:start w:val="1"/>
      <w:numFmt w:val="decimal"/>
      <w:lvlText w:val="%7"/>
      <w:lvlJc w:val="left"/>
      <w:pPr>
        <w:ind w:left="52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F7000BE">
      <w:start w:val="1"/>
      <w:numFmt w:val="lowerLetter"/>
      <w:lvlText w:val="%8"/>
      <w:lvlJc w:val="left"/>
      <w:pPr>
        <w:ind w:left="59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787C1C">
      <w:start w:val="1"/>
      <w:numFmt w:val="lowerRoman"/>
      <w:lvlText w:val="%9"/>
      <w:lvlJc w:val="left"/>
      <w:pPr>
        <w:ind w:left="6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873808184">
    <w:abstractNumId w:val="2"/>
  </w:num>
  <w:num w:numId="2" w16cid:durableId="1107583220">
    <w:abstractNumId w:val="12"/>
  </w:num>
  <w:num w:numId="3" w16cid:durableId="1338653029">
    <w:abstractNumId w:val="25"/>
  </w:num>
  <w:num w:numId="4" w16cid:durableId="8724493">
    <w:abstractNumId w:val="3"/>
  </w:num>
  <w:num w:numId="5" w16cid:durableId="1882664214">
    <w:abstractNumId w:val="8"/>
  </w:num>
  <w:num w:numId="6" w16cid:durableId="824054389">
    <w:abstractNumId w:val="15"/>
  </w:num>
  <w:num w:numId="7" w16cid:durableId="1266160208">
    <w:abstractNumId w:val="17"/>
  </w:num>
  <w:num w:numId="8" w16cid:durableId="1442646045">
    <w:abstractNumId w:val="16"/>
  </w:num>
  <w:num w:numId="9" w16cid:durableId="2004890817">
    <w:abstractNumId w:val="0"/>
  </w:num>
  <w:num w:numId="10" w16cid:durableId="1094395279">
    <w:abstractNumId w:val="7"/>
  </w:num>
  <w:num w:numId="11" w16cid:durableId="281889089">
    <w:abstractNumId w:val="13"/>
  </w:num>
  <w:num w:numId="12" w16cid:durableId="263929262">
    <w:abstractNumId w:val="24"/>
  </w:num>
  <w:num w:numId="13" w16cid:durableId="1398088156">
    <w:abstractNumId w:val="11"/>
  </w:num>
  <w:num w:numId="14" w16cid:durableId="1587376195">
    <w:abstractNumId w:val="22"/>
  </w:num>
  <w:num w:numId="15" w16cid:durableId="1597403291">
    <w:abstractNumId w:val="23"/>
  </w:num>
  <w:num w:numId="16" w16cid:durableId="173038689">
    <w:abstractNumId w:val="9"/>
  </w:num>
  <w:num w:numId="17" w16cid:durableId="987516310">
    <w:abstractNumId w:val="14"/>
  </w:num>
  <w:num w:numId="18" w16cid:durableId="2061707729">
    <w:abstractNumId w:val="4"/>
  </w:num>
  <w:num w:numId="19" w16cid:durableId="711265940">
    <w:abstractNumId w:val="5"/>
  </w:num>
  <w:num w:numId="20" w16cid:durableId="14578733">
    <w:abstractNumId w:val="6"/>
  </w:num>
  <w:num w:numId="21" w16cid:durableId="1923678317">
    <w:abstractNumId w:val="20"/>
  </w:num>
  <w:num w:numId="22" w16cid:durableId="1363941894">
    <w:abstractNumId w:val="19"/>
  </w:num>
  <w:num w:numId="23" w16cid:durableId="729621713">
    <w:abstractNumId w:val="18"/>
  </w:num>
  <w:num w:numId="24" w16cid:durableId="1908227063">
    <w:abstractNumId w:val="1"/>
  </w:num>
  <w:num w:numId="25" w16cid:durableId="578758013">
    <w:abstractNumId w:val="10"/>
  </w:num>
  <w:num w:numId="26" w16cid:durableId="4348351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528"/>
    <w:rsid w:val="000E12E5"/>
    <w:rsid w:val="00260862"/>
    <w:rsid w:val="002A058F"/>
    <w:rsid w:val="005A69D0"/>
    <w:rsid w:val="006936BE"/>
    <w:rsid w:val="007906AB"/>
    <w:rsid w:val="007C4DED"/>
    <w:rsid w:val="00A71AC4"/>
    <w:rsid w:val="00E73528"/>
    <w:rsid w:val="00F53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CDB8F"/>
  <w15:docId w15:val="{F1C37275-4803-44F9-B119-E46C9EA9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493" w:lineRule="auto"/>
      <w:ind w:left="443"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316" w:line="259" w:lineRule="auto"/>
      <w:ind w:left="10" w:right="4" w:hanging="10"/>
      <w:outlineLvl w:val="0"/>
    </w:pPr>
    <w:rPr>
      <w:rFonts w:ascii="Times New Roman" w:eastAsia="Times New Roman" w:hAnsi="Times New Roman" w:cs="Times New Roman"/>
      <w:color w:val="000000"/>
      <w:sz w:val="28"/>
    </w:rPr>
  </w:style>
  <w:style w:type="paragraph" w:styleId="Heading2">
    <w:name w:val="heading 2"/>
    <w:next w:val="Normal"/>
    <w:link w:val="Heading2Char"/>
    <w:uiPriority w:val="9"/>
    <w:unhideWhenUsed/>
    <w:qFormat/>
    <w:pPr>
      <w:keepNext/>
      <w:keepLines/>
      <w:spacing w:after="316" w:line="259" w:lineRule="auto"/>
      <w:ind w:left="10" w:right="4" w:hanging="10"/>
      <w:outlineLvl w:val="1"/>
    </w:pPr>
    <w:rPr>
      <w:rFonts w:ascii="Times New Roman" w:eastAsia="Times New Roman" w:hAnsi="Times New Roman" w:cs="Times New Roman"/>
      <w:color w:val="000000"/>
      <w:sz w:val="28"/>
    </w:rPr>
  </w:style>
  <w:style w:type="paragraph" w:styleId="Heading3">
    <w:name w:val="heading 3"/>
    <w:next w:val="Normal"/>
    <w:link w:val="Heading3Char"/>
    <w:uiPriority w:val="9"/>
    <w:unhideWhenUsed/>
    <w:qFormat/>
    <w:pPr>
      <w:keepNext/>
      <w:keepLines/>
      <w:spacing w:after="316" w:line="259" w:lineRule="auto"/>
      <w:ind w:left="10" w:right="4" w:hanging="10"/>
      <w:outlineLvl w:val="2"/>
    </w:pPr>
    <w:rPr>
      <w:rFonts w:ascii="Times New Roman" w:eastAsia="Times New Roman" w:hAnsi="Times New Roman" w:cs="Times New Roman"/>
      <w:color w:val="000000"/>
      <w:sz w:val="28"/>
    </w:rPr>
  </w:style>
  <w:style w:type="paragraph" w:styleId="Heading4">
    <w:name w:val="heading 4"/>
    <w:next w:val="Normal"/>
    <w:link w:val="Heading4Char"/>
    <w:uiPriority w:val="9"/>
    <w:unhideWhenUsed/>
    <w:qFormat/>
    <w:pPr>
      <w:keepNext/>
      <w:keepLines/>
      <w:spacing w:after="36" w:line="259" w:lineRule="auto"/>
      <w:ind w:left="3217"/>
      <w:jc w:val="center"/>
      <w:outlineLvl w:val="3"/>
    </w:pPr>
    <w:rPr>
      <w:rFonts w:ascii="Times New Roman" w:eastAsia="Times New Roman" w:hAnsi="Times New Roman" w:cs="Times New Roman"/>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Times New Roman" w:eastAsia="Times New Roman" w:hAnsi="Times New Roman" w:cs="Times New Roman"/>
      <w:color w:val="000000"/>
      <w:sz w:val="28"/>
      <w:u w:val="single" w:color="000000"/>
    </w:rPr>
  </w:style>
  <w:style w:type="paragraph" w:customStyle="1" w:styleId="footnotedescription">
    <w:name w:val="footnote description"/>
    <w:next w:val="Normal"/>
    <w:link w:val="footnotedescriptionChar"/>
    <w:hidden/>
    <w:pPr>
      <w:spacing w:after="0" w:line="290" w:lineRule="auto"/>
      <w:ind w:left="325" w:right="331"/>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Heading1Char">
    <w:name w:val="Heading 1 Char"/>
    <w:link w:val="Heading1"/>
    <w:rPr>
      <w:rFonts w:ascii="Times New Roman" w:eastAsia="Times New Roman" w:hAnsi="Times New Roman" w:cs="Times New Roman"/>
      <w:color w:val="000000"/>
      <w:sz w:val="28"/>
    </w:rPr>
  </w:style>
  <w:style w:type="character" w:customStyle="1" w:styleId="Heading2Char">
    <w:name w:val="Heading 2 Char"/>
    <w:link w:val="Heading2"/>
    <w:rPr>
      <w:rFonts w:ascii="Times New Roman" w:eastAsia="Times New Roman" w:hAnsi="Times New Roman" w:cs="Times New Roman"/>
      <w:color w:val="000000"/>
      <w:sz w:val="28"/>
    </w:rPr>
  </w:style>
  <w:style w:type="character" w:customStyle="1" w:styleId="Heading3Char">
    <w:name w:val="Heading 3 Char"/>
    <w:link w:val="Heading3"/>
    <w:rPr>
      <w:rFonts w:ascii="Times New Roman" w:eastAsia="Times New Roman" w:hAnsi="Times New Roman" w:cs="Times New Roman"/>
      <w:color w:val="000000"/>
      <w:sz w:val="28"/>
    </w:rPr>
  </w:style>
  <w:style w:type="paragraph" w:styleId="TOC1">
    <w:name w:val="toc 1"/>
    <w:hidden/>
    <w:pPr>
      <w:spacing w:after="85" w:line="259" w:lineRule="auto"/>
      <w:ind w:left="335" w:right="345" w:hanging="10"/>
      <w:jc w:val="center"/>
    </w:pPr>
    <w:rPr>
      <w:rFonts w:ascii="Times New Roman" w:eastAsia="Times New Roman" w:hAnsi="Times New Roman" w:cs="Times New Roman"/>
      <w:color w:val="000000"/>
      <w:sz w:val="28"/>
    </w:rPr>
  </w:style>
  <w:style w:type="paragraph" w:styleId="TOC2">
    <w:name w:val="toc 2"/>
    <w:hidden/>
    <w:pPr>
      <w:spacing w:after="87" w:line="259" w:lineRule="auto"/>
      <w:ind w:left="631" w:right="335" w:hanging="10"/>
      <w:jc w:val="both"/>
    </w:pPr>
    <w:rPr>
      <w:rFonts w:ascii="Times New Roman" w:eastAsia="Times New Roman" w:hAnsi="Times New Roman" w:cs="Times New Roman"/>
      <w:color w:val="000000"/>
      <w:sz w:val="28"/>
    </w:rPr>
  </w:style>
  <w:style w:type="paragraph" w:styleId="TOC3">
    <w:name w:val="toc 3"/>
    <w:hidden/>
    <w:pPr>
      <w:spacing w:after="87" w:line="259" w:lineRule="auto"/>
      <w:ind w:left="910" w:right="335" w:hanging="10"/>
      <w:jc w:val="both"/>
    </w:pPr>
    <w:rPr>
      <w:rFonts w:ascii="Times New Roman" w:eastAsia="Times New Roman" w:hAnsi="Times New Roman" w:cs="Times New Roman"/>
      <w:color w:val="000000"/>
      <w:sz w:val="28"/>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C4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3521</Words>
  <Characters>20071</Characters>
  <Application>Microsoft Office Word</Application>
  <DocSecurity>0</DocSecurity>
  <Lines>167</Lines>
  <Paragraphs>47</Paragraphs>
  <ScaleCrop>false</ScaleCrop>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Attorney Fee Opinion and Order FINAL.docx</dc:title>
  <dc:subject/>
  <dc:creator>WilliamBarkholz</dc:creator>
  <cp:keywords/>
  <cp:lastModifiedBy>John Rabiej</cp:lastModifiedBy>
  <cp:revision>2</cp:revision>
  <dcterms:created xsi:type="dcterms:W3CDTF">2026-07-31T10:28:00Z</dcterms:created>
  <dcterms:modified xsi:type="dcterms:W3CDTF">2026-07-31T10:28:00Z</dcterms:modified>
</cp:coreProperties>
</file>