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5BDD4" w14:textId="77777777" w:rsidR="00602AD9" w:rsidRPr="00602AD9" w:rsidRDefault="00602AD9" w:rsidP="00602AD9">
      <w:pPr>
        <w:spacing w:after="0" w:line="240" w:lineRule="auto"/>
        <w:jc w:val="both"/>
        <w:rPr>
          <w:rFonts w:ascii="Times New Roman Bold" w:hAnsi="Times New Roman Bold"/>
          <w:b/>
          <w:bCs/>
          <w:smallCaps/>
          <w:color w:val="000000" w:themeColor="text1"/>
          <w:kern w:val="0"/>
          <w:szCs w:val="24"/>
          <w:u w:val="single"/>
          <w14:ligatures w14:val="none"/>
        </w:rPr>
      </w:pPr>
      <w:r w:rsidRPr="00602AD9">
        <w:rPr>
          <w:noProof/>
          <w:color w:val="000000" w:themeColor="text1"/>
          <w:kern w:val="0"/>
          <w:szCs w:val="24"/>
          <w14:ligatures w14:val="none"/>
        </w:rPr>
        <w:drawing>
          <wp:inline distT="0" distB="0" distL="0" distR="0" wp14:anchorId="41BA8CE2" wp14:editId="2CBB8E66">
            <wp:extent cx="5943600" cy="828675"/>
            <wp:effectExtent l="0" t="0" r="0" b="9525"/>
            <wp:docPr id="5" name="Picture 5" descr="Graphical user interface, 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imeline&#10;&#10;Description automatically generated with medium confidence"/>
                    <pic:cNvPicPr>
                      <a:picLocks noChangeAspect="1" noChangeArrowheads="1"/>
                    </pic:cNvPicPr>
                  </pic:nvPicPr>
                  <pic:blipFill rotWithShape="1">
                    <a:blip r:embed="rId7">
                      <a:extLst>
                        <a:ext uri="{28A0092B-C50C-407E-A947-70E740481C1C}">
                          <a14:useLocalDpi xmlns:a14="http://schemas.microsoft.com/office/drawing/2010/main" val="0"/>
                        </a:ext>
                      </a:extLst>
                    </a:blip>
                    <a:srcRect l="-481" t="18882" r="481" b="63826"/>
                    <a:stretch/>
                  </pic:blipFill>
                  <pic:spPr bwMode="auto">
                    <a:xfrm>
                      <a:off x="0" y="0"/>
                      <a:ext cx="5943600" cy="828675"/>
                    </a:xfrm>
                    <a:prstGeom prst="rect">
                      <a:avLst/>
                    </a:prstGeom>
                    <a:noFill/>
                    <a:ln>
                      <a:noFill/>
                    </a:ln>
                    <a:extLst>
                      <a:ext uri="{53640926-AAD7-44D8-BBD7-CCE9431645EC}">
                        <a14:shadowObscured xmlns:a14="http://schemas.microsoft.com/office/drawing/2010/main"/>
                      </a:ext>
                    </a:extLst>
                  </pic:spPr>
                </pic:pic>
              </a:graphicData>
            </a:graphic>
          </wp:inline>
        </w:drawing>
      </w:r>
    </w:p>
    <w:p w14:paraId="6C40357F" w14:textId="77777777" w:rsidR="00602AD9" w:rsidRPr="00602AD9" w:rsidRDefault="00602AD9" w:rsidP="00602AD9">
      <w:pPr>
        <w:spacing w:after="0" w:line="240" w:lineRule="auto"/>
        <w:jc w:val="both"/>
        <w:rPr>
          <w:rFonts w:ascii="Times New Roman Bold" w:hAnsi="Times New Roman Bold"/>
          <w:b/>
          <w:bCs/>
          <w:smallCaps/>
          <w:color w:val="000000" w:themeColor="text1"/>
          <w:kern w:val="0"/>
          <w:szCs w:val="24"/>
          <w:u w:val="single"/>
          <w14:ligatures w14:val="none"/>
        </w:rPr>
      </w:pPr>
    </w:p>
    <w:p w14:paraId="76512DEA" w14:textId="77777777" w:rsidR="00602AD9" w:rsidRPr="00602AD9" w:rsidRDefault="00602AD9" w:rsidP="00602AD9">
      <w:pPr>
        <w:spacing w:after="0" w:line="240" w:lineRule="auto"/>
        <w:jc w:val="center"/>
        <w:rPr>
          <w:rFonts w:ascii="Times New Roman Bold" w:hAnsi="Times New Roman Bold"/>
          <w:b/>
          <w:bCs/>
          <w:smallCaps/>
          <w:color w:val="000000" w:themeColor="text1"/>
          <w:kern w:val="0"/>
          <w:szCs w:val="24"/>
          <w14:ligatures w14:val="none"/>
        </w:rPr>
      </w:pPr>
      <w:r w:rsidRPr="00602AD9">
        <w:rPr>
          <w:rFonts w:ascii="Times New Roman Bold" w:hAnsi="Times New Roman Bold"/>
          <w:b/>
          <w:bCs/>
          <w:smallCaps/>
          <w:color w:val="000000" w:themeColor="text1"/>
          <w:kern w:val="0"/>
          <w:szCs w:val="24"/>
          <w14:ligatures w14:val="none"/>
        </w:rPr>
        <w:t>PRELIMINARY DRAFT PUBLISHED FOR PUBLIC COMMENT</w:t>
      </w:r>
    </w:p>
    <w:p w14:paraId="235B4FB0" w14:textId="77777777" w:rsidR="00602AD9" w:rsidRPr="00602AD9" w:rsidRDefault="00602AD9" w:rsidP="00602AD9">
      <w:pPr>
        <w:spacing w:after="0" w:line="240" w:lineRule="auto"/>
        <w:jc w:val="center"/>
        <w:rPr>
          <w:rFonts w:ascii="Times New Roman Bold" w:hAnsi="Times New Roman Bold"/>
          <w:b/>
          <w:bCs/>
          <w:smallCaps/>
          <w:color w:val="000000" w:themeColor="text1"/>
          <w:kern w:val="0"/>
          <w:szCs w:val="24"/>
          <w14:ligatures w14:val="none"/>
        </w:rPr>
      </w:pPr>
      <w:r w:rsidRPr="00602AD9">
        <w:rPr>
          <w:rFonts w:ascii="Times New Roman Bold" w:hAnsi="Times New Roman Bold"/>
          <w:b/>
          <w:bCs/>
          <w:smallCaps/>
          <w:color w:val="000000" w:themeColor="text1"/>
          <w:kern w:val="0"/>
          <w:szCs w:val="24"/>
          <w14:ligatures w14:val="none"/>
        </w:rPr>
        <w:t>COMMENTS DUE BY SEPTEMBER 18, 2026</w:t>
      </w:r>
    </w:p>
    <w:p w14:paraId="010CD926" w14:textId="77777777" w:rsidR="00602AD9" w:rsidRPr="00602AD9" w:rsidRDefault="00602AD9" w:rsidP="00602AD9">
      <w:pPr>
        <w:spacing w:after="0" w:line="240" w:lineRule="auto"/>
        <w:jc w:val="both"/>
        <w:rPr>
          <w:rFonts w:ascii="Times New Roman Bold" w:hAnsi="Times New Roman Bold"/>
          <w:b/>
          <w:bCs/>
          <w:smallCaps/>
          <w:color w:val="000000" w:themeColor="text1"/>
          <w:kern w:val="0"/>
          <w:szCs w:val="24"/>
          <w:u w:val="single"/>
          <w14:ligatures w14:val="none"/>
        </w:rPr>
      </w:pPr>
    </w:p>
    <w:p w14:paraId="64F341D9" w14:textId="77777777" w:rsidR="00602AD9" w:rsidRPr="00602AD9" w:rsidRDefault="00602AD9" w:rsidP="00602AD9">
      <w:pPr>
        <w:spacing w:after="0" w:line="240" w:lineRule="auto"/>
        <w:jc w:val="both"/>
        <w:rPr>
          <w:rFonts w:ascii="Times New Roman Bold" w:hAnsi="Times New Roman Bold"/>
          <w:b/>
          <w:bCs/>
          <w:smallCaps/>
          <w:color w:val="000000" w:themeColor="text1"/>
          <w:kern w:val="0"/>
          <w:szCs w:val="24"/>
          <w:u w:val="single"/>
          <w14:ligatures w14:val="none"/>
        </w:rPr>
      </w:pPr>
    </w:p>
    <w:p w14:paraId="633200C4" w14:textId="77777777" w:rsidR="00602AD9" w:rsidRPr="00602AD9" w:rsidRDefault="00602AD9" w:rsidP="00602AD9">
      <w:pPr>
        <w:spacing w:after="0" w:line="240" w:lineRule="auto"/>
        <w:jc w:val="both"/>
        <w:rPr>
          <w:color w:val="000000" w:themeColor="text1"/>
          <w:kern w:val="0"/>
          <w:szCs w:val="24"/>
          <w14:ligatures w14:val="none"/>
        </w:rPr>
      </w:pPr>
      <w:r w:rsidRPr="00602AD9">
        <w:rPr>
          <w:rFonts w:ascii="Times New Roman Bold" w:hAnsi="Times New Roman Bold"/>
          <w:b/>
          <w:bCs/>
          <w:smallCaps/>
          <w:color w:val="000000" w:themeColor="text1"/>
          <w:kern w:val="0"/>
          <w:szCs w:val="24"/>
          <w:u w:val="single"/>
          <w14:ligatures w14:val="none"/>
        </w:rPr>
        <w:t>GUIDELINE</w:t>
      </w:r>
      <w:r w:rsidRPr="00602AD9">
        <w:rPr>
          <w:b/>
          <w:bCs/>
          <w:color w:val="000000" w:themeColor="text1"/>
          <w:kern w:val="0"/>
          <w:szCs w:val="24"/>
          <w:u w:val="single"/>
          <w14:ligatures w14:val="none"/>
        </w:rPr>
        <w:t xml:space="preserve"> </w:t>
      </w:r>
      <w:bookmarkStart w:id="0" w:name="_Hlk152852856"/>
      <w:r w:rsidRPr="00602AD9">
        <w:rPr>
          <w:b/>
          <w:bCs/>
          <w:color w:val="000000" w:themeColor="text1"/>
          <w:kern w:val="0"/>
          <w:szCs w:val="24"/>
          <w:u w:val="single"/>
          <w14:ligatures w14:val="none"/>
        </w:rPr>
        <w:t>MDL-</w:t>
      </w:r>
      <w:r w:rsidRPr="00602AD9">
        <w:rPr>
          <w:rFonts w:cs="Times New Roman"/>
          <w:b/>
          <w:bCs/>
          <w:color w:val="000000" w:themeColor="text1"/>
          <w:kern w:val="0"/>
          <w:szCs w:val="24"/>
          <w:u w:val="single"/>
          <w14:ligatures w14:val="none"/>
        </w:rPr>
        <w:t>§ 18</w:t>
      </w:r>
      <w:r w:rsidRPr="00602AD9">
        <w:rPr>
          <w:b/>
          <w:bCs/>
          <w:color w:val="000000" w:themeColor="text1"/>
          <w:kern w:val="0"/>
          <w:szCs w:val="24"/>
          <w14:ligatures w14:val="none"/>
        </w:rPr>
        <w:t xml:space="preserve">: </w:t>
      </w:r>
      <w:bookmarkEnd w:id="0"/>
      <w:r w:rsidRPr="00602AD9">
        <w:rPr>
          <w:color w:val="000000" w:themeColor="text1"/>
          <w:kern w:val="0"/>
          <w:szCs w:val="24"/>
          <w14:ligatures w14:val="none"/>
        </w:rPr>
        <w:t xml:space="preserve">Under Chapter 11 of the Bankruptcy Code, unliquidated or contingent tort liabilities can be estimated for purposes of allowance. </w:t>
      </w:r>
    </w:p>
    <w:p w14:paraId="105449D4"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p>
    <w:p w14:paraId="0CA10FB4"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rFonts w:cs="Times New Roman"/>
          <w:color w:val="000000" w:themeColor="text1"/>
          <w:kern w:val="0"/>
          <w:szCs w:val="24"/>
          <w14:ligatures w14:val="none"/>
        </w:rPr>
        <w:t>Corporate defendants facing financial distress solely or primarily because of pending and threatened mass-tort claims in an MDL have filed petitions for Chapter 11 relief under the Bankruptcy Code to attempt global resolution.</w:t>
      </w:r>
      <w:r w:rsidRPr="00602AD9">
        <w:rPr>
          <w:rFonts w:cs="Times New Roman"/>
          <w:color w:val="000000" w:themeColor="text1"/>
          <w:kern w:val="0"/>
          <w:szCs w:val="24"/>
          <w:vertAlign w:val="superscript"/>
          <w14:ligatures w14:val="none"/>
        </w:rPr>
        <w:footnoteReference w:id="1"/>
      </w:r>
      <w:r w:rsidRPr="00602AD9">
        <w:rPr>
          <w:rFonts w:cs="Times New Roman"/>
          <w:color w:val="000000" w:themeColor="text1"/>
          <w:kern w:val="0"/>
          <w:szCs w:val="24"/>
          <w14:ligatures w14:val="none"/>
        </w:rPr>
        <w:t xml:space="preserve"> Negotiating a Chapter 11 reorganization plan offers the prospect, if there is sufficient consensus, of a relatively quick and efficient restructuring of a debtor’s business with the ability to pay its creditors, including tort claimants. The sooner a company can be reorganized, the sooner the company’s future earning capacity to compensate its creditors can be realized. </w:t>
      </w:r>
      <w:r w:rsidRPr="00602AD9">
        <w:rPr>
          <w:color w:val="000000" w:themeColor="text1"/>
          <w:kern w:val="0"/>
          <w:szCs w:val="24"/>
          <w14:ligatures w14:val="none"/>
        </w:rPr>
        <w:t>When the amounts of tort claims are disputed and cannot be resolved without causing undue delay, courts frequently must estimate individual and aggregate unliquidated or contingent tort claims. Initiated by the court or at a party’s request, these judicial estimations serve several critical purposes in resolving mass-tort bankruptcies.</w:t>
      </w:r>
      <w:r w:rsidRPr="00602AD9">
        <w:rPr>
          <w:color w:val="000000" w:themeColor="text1"/>
          <w:kern w:val="0"/>
          <w:szCs w:val="24"/>
          <w:vertAlign w:val="superscript"/>
          <w14:ligatures w14:val="none"/>
        </w:rPr>
        <w:footnoteReference w:id="2"/>
      </w:r>
      <w:r w:rsidRPr="00602AD9">
        <w:rPr>
          <w:color w:val="000000" w:themeColor="text1"/>
          <w:kern w:val="0"/>
          <w:szCs w:val="24"/>
          <w14:ligatures w14:val="none"/>
        </w:rPr>
        <w:t xml:space="preserve"> Under the Bankruptcy Code, a judge can confirm a proposed plan of reorganization only if it satisfies the “feasibility requirement” by demonstrating it is financially viable and fully capable of fulfilling its projected obligations.</w:t>
      </w:r>
      <w:r w:rsidRPr="00602AD9">
        <w:rPr>
          <w:color w:val="000000" w:themeColor="text1"/>
          <w:kern w:val="0"/>
          <w:szCs w:val="24"/>
          <w:vertAlign w:val="superscript"/>
          <w14:ligatures w14:val="none"/>
        </w:rPr>
        <w:footnoteReference w:id="3"/>
      </w:r>
      <w:r w:rsidRPr="00602AD9">
        <w:rPr>
          <w:color w:val="000000" w:themeColor="text1"/>
          <w:kern w:val="0"/>
          <w:szCs w:val="24"/>
          <w14:ligatures w14:val="none"/>
        </w:rPr>
        <w:t xml:space="preserve"> In a mass-tort bankruptcy, a judge can make this determination only if it has a realistic assessment of what the total aggregate-tort liability actually is.  Because tort claims are contingent or unliquidated, a judge must estimate the aggregate pool of mass-tort claims to </w:t>
      </w:r>
      <w:r w:rsidRPr="00602AD9">
        <w:rPr>
          <w:color w:val="000000" w:themeColor="text1"/>
          <w:kern w:val="0"/>
          <w:szCs w:val="24"/>
          <w14:ligatures w14:val="none"/>
        </w:rPr>
        <w:lastRenderedPageBreak/>
        <w:t>evaluate whether the proposed reorganization is financially viable.</w:t>
      </w:r>
      <w:r w:rsidRPr="00602AD9">
        <w:rPr>
          <w:color w:val="000000" w:themeColor="text1"/>
          <w:kern w:val="0"/>
          <w:szCs w:val="24"/>
          <w:vertAlign w:val="superscript"/>
          <w14:ligatures w14:val="none"/>
        </w:rPr>
        <w:footnoteReference w:id="4"/>
      </w:r>
      <w:r w:rsidRPr="00602AD9">
        <w:rPr>
          <w:color w:val="000000" w:themeColor="text1"/>
          <w:kern w:val="0"/>
          <w:szCs w:val="24"/>
          <w14:ligatures w14:val="none"/>
        </w:rPr>
        <w:t xml:space="preserve"> A bankruptcy judge has discretionary authority to temporarily allow a claim in an amount which it deems proper for the purpose of accepting the plan when it determines that definitively fixing the amount of the tort claims would unduly delay the administration of the case.</w:t>
      </w:r>
      <w:r w:rsidRPr="00602AD9">
        <w:rPr>
          <w:rFonts w:cs="Times New Roman"/>
          <w:color w:val="000000" w:themeColor="text1"/>
          <w:kern w:val="0"/>
          <w:szCs w:val="24"/>
          <w:vertAlign w:val="superscript"/>
          <w14:ligatures w14:val="none"/>
        </w:rPr>
        <w:footnoteReference w:id="5"/>
      </w:r>
      <w:r w:rsidRPr="00602AD9">
        <w:rPr>
          <w:rFonts w:cs="Times New Roman"/>
          <w:color w:val="000000" w:themeColor="text1"/>
          <w:kern w:val="0"/>
          <w:szCs w:val="24"/>
          <w14:ligatures w14:val="none"/>
        </w:rPr>
        <w:t xml:space="preserve">  </w:t>
      </w:r>
    </w:p>
    <w:p w14:paraId="19E41D06"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While an estimate of total tort liabilities is required to evaluate whether a proposed plan is feasible, it does not establish a definitive ceiling on the funding required to pay the claims.</w:t>
      </w:r>
      <w:r w:rsidRPr="00602AD9">
        <w:rPr>
          <w:color w:val="000000" w:themeColor="text1"/>
          <w:kern w:val="0"/>
          <w:szCs w:val="24"/>
          <w:vertAlign w:val="superscript"/>
          <w14:ligatures w14:val="none"/>
        </w:rPr>
        <w:footnoteReference w:id="6"/>
      </w:r>
      <w:r w:rsidRPr="00602AD9">
        <w:rPr>
          <w:color w:val="000000" w:themeColor="text1"/>
          <w:kern w:val="0"/>
          <w:szCs w:val="24"/>
          <w14:ligatures w14:val="none"/>
        </w:rPr>
        <w:t xml:space="preserve">  Instead, it functions as the court’s benchmark to evaluate whether the funding levels in a proposed plan are financially feasible and satisfy other confirmation requirements, like the “best interests of creditors test.”</w:t>
      </w:r>
      <w:r w:rsidRPr="00602AD9">
        <w:rPr>
          <w:color w:val="000000" w:themeColor="text1"/>
          <w:kern w:val="0"/>
          <w:szCs w:val="24"/>
          <w:vertAlign w:val="superscript"/>
          <w14:ligatures w14:val="none"/>
        </w:rPr>
        <w:footnoteReference w:id="7"/>
      </w:r>
      <w:r w:rsidRPr="00602AD9">
        <w:rPr>
          <w:color w:val="000000" w:themeColor="text1"/>
          <w:kern w:val="0"/>
          <w:szCs w:val="24"/>
          <w14:ligatures w14:val="none"/>
        </w:rPr>
        <w:t xml:space="preserve"> In practice, parties adopt the judge’s estimates or occasionally adjust these judicial figures through subsequent negotiations, incorporating the revised estimates into proposed reorganization plans that remain subject to final court confirmation.</w:t>
      </w:r>
      <w:r w:rsidRPr="00602AD9">
        <w:rPr>
          <w:color w:val="000000" w:themeColor="text1"/>
          <w:kern w:val="0"/>
          <w:szCs w:val="24"/>
          <w:vertAlign w:val="superscript"/>
          <w14:ligatures w14:val="none"/>
        </w:rPr>
        <w:footnoteReference w:id="8"/>
      </w:r>
      <w:r w:rsidRPr="00602AD9">
        <w:rPr>
          <w:color w:val="000000" w:themeColor="text1"/>
          <w:kern w:val="0"/>
          <w:szCs w:val="24"/>
          <w14:ligatures w14:val="none"/>
        </w:rPr>
        <w:t xml:space="preserve"> Courts are careful not to approve estimations that profess to facilitate confirmation but operate as an unconsented, de facto cap on claim distributions.</w:t>
      </w:r>
      <w:r w:rsidRPr="00602AD9">
        <w:rPr>
          <w:color w:val="000000" w:themeColor="text1"/>
          <w:kern w:val="0"/>
          <w:szCs w:val="24"/>
          <w:vertAlign w:val="superscript"/>
          <w14:ligatures w14:val="none"/>
        </w:rPr>
        <w:footnoteReference w:id="9"/>
      </w:r>
    </w:p>
    <w:p w14:paraId="5F3A1E3C" w14:textId="77777777" w:rsidR="00602AD9" w:rsidRPr="00602AD9" w:rsidRDefault="00602AD9" w:rsidP="00602AD9">
      <w:pPr>
        <w:spacing w:after="0" w:line="360" w:lineRule="auto"/>
        <w:ind w:firstLine="360"/>
        <w:jc w:val="both"/>
        <w:rPr>
          <w:color w:val="000000" w:themeColor="text1"/>
          <w:kern w:val="0"/>
          <w:szCs w:val="24"/>
          <w14:ligatures w14:val="none"/>
        </w:rPr>
      </w:pPr>
      <w:r w:rsidRPr="00602AD9">
        <w:rPr>
          <w:color w:val="000000" w:themeColor="text1"/>
          <w:kern w:val="0"/>
          <w:szCs w:val="24"/>
          <w14:ligatures w14:val="none"/>
        </w:rPr>
        <w:lastRenderedPageBreak/>
        <w:t>Beyond facilitating claim allowance and settlement, these estimates of aggregate amounts of tort claims are essential for broader strategic goals, such as confirming a reorganization plan or establishing settlement values for successor entities. Additionally, judicial estimates of individual tort claims can play a critical role in determining the proportional voting weight of unliquidated claims.</w:t>
      </w:r>
      <w:r w:rsidRPr="00602AD9">
        <w:rPr>
          <w:color w:val="000000" w:themeColor="text1"/>
          <w:kern w:val="0"/>
          <w:szCs w:val="24"/>
          <w:vertAlign w:val="superscript"/>
          <w14:ligatures w14:val="none"/>
        </w:rPr>
        <w:footnoteReference w:id="10"/>
      </w:r>
      <w:r w:rsidRPr="00602AD9">
        <w:rPr>
          <w:color w:val="000000" w:themeColor="text1"/>
          <w:kern w:val="0"/>
          <w:szCs w:val="24"/>
          <w14:ligatures w14:val="none"/>
        </w:rPr>
        <w:t xml:space="preserve"> Ultimately, the required level of precision for these estimates is dictated by the specific purpose they serve. </w:t>
      </w:r>
    </w:p>
    <w:p w14:paraId="53A6C055" w14:textId="77777777" w:rsidR="00602AD9" w:rsidRPr="00602AD9" w:rsidRDefault="00602AD9" w:rsidP="00602AD9">
      <w:pPr>
        <w:spacing w:after="0" w:line="360" w:lineRule="auto"/>
        <w:ind w:firstLine="36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 xml:space="preserve">The following best practices provide guidance on the means to most efficiently and effectively estimate the amounts of tort </w:t>
      </w:r>
      <w:proofErr w:type="gramStart"/>
      <w:r w:rsidRPr="00602AD9">
        <w:rPr>
          <w:rFonts w:cs="Times New Roman"/>
          <w:color w:val="000000" w:themeColor="text1"/>
          <w:kern w:val="0"/>
          <w:szCs w:val="24"/>
          <w14:ligatures w14:val="none"/>
        </w:rPr>
        <w:t>claims</w:t>
      </w:r>
      <w:proofErr w:type="gramEnd"/>
      <w:r w:rsidRPr="00602AD9">
        <w:rPr>
          <w:rFonts w:cs="Times New Roman"/>
          <w:color w:val="000000" w:themeColor="text1"/>
          <w:kern w:val="0"/>
          <w:szCs w:val="24"/>
          <w14:ligatures w14:val="none"/>
        </w:rPr>
        <w:t xml:space="preserve"> for bankruptcy-relief purposes. </w:t>
      </w:r>
    </w:p>
    <w:p w14:paraId="3F2D633B" w14:textId="77777777" w:rsidR="00602AD9" w:rsidRPr="00602AD9" w:rsidRDefault="00602AD9" w:rsidP="00602AD9">
      <w:pPr>
        <w:spacing w:after="0" w:line="240" w:lineRule="auto"/>
        <w:ind w:left="720" w:right="720"/>
        <w:jc w:val="both"/>
        <w:rPr>
          <w:caps/>
          <w:color w:val="000000" w:themeColor="text1"/>
          <w:kern w:val="0"/>
          <w:szCs w:val="24"/>
          <w14:ligatures w14:val="none"/>
        </w:rPr>
      </w:pPr>
    </w:p>
    <w:p w14:paraId="4B44ACEB" w14:textId="77777777" w:rsidR="00602AD9" w:rsidRPr="00602AD9" w:rsidRDefault="00602AD9" w:rsidP="00602AD9">
      <w:pPr>
        <w:spacing w:after="0" w:line="240" w:lineRule="auto"/>
        <w:ind w:left="720" w:right="720"/>
        <w:jc w:val="both"/>
        <w:rPr>
          <w:color w:val="000000" w:themeColor="text1"/>
          <w:kern w:val="0"/>
          <w:szCs w:val="24"/>
          <w14:ligatures w14:val="none"/>
        </w:rPr>
      </w:pPr>
      <w:r w:rsidRPr="00602AD9">
        <w:rPr>
          <w:b/>
          <w:bCs/>
          <w:caps/>
          <w:color w:val="000000" w:themeColor="text1"/>
          <w:kern w:val="0"/>
          <w:szCs w:val="24"/>
          <w14:ligatures w14:val="none"/>
        </w:rPr>
        <w:t xml:space="preserve">best practice </w:t>
      </w:r>
      <w:r w:rsidRPr="00602AD9">
        <w:rPr>
          <w:b/>
          <w:bCs/>
          <w:color w:val="000000" w:themeColor="text1"/>
          <w:kern w:val="0"/>
          <w:szCs w:val="24"/>
          <w14:ligatures w14:val="none"/>
        </w:rPr>
        <w:t>MDL-</w:t>
      </w:r>
      <w:r w:rsidRPr="00602AD9">
        <w:rPr>
          <w:rFonts w:cs="Times New Roman"/>
          <w:b/>
          <w:bCs/>
          <w:color w:val="000000" w:themeColor="text1"/>
          <w:kern w:val="0"/>
          <w:szCs w:val="24"/>
          <w14:ligatures w14:val="none"/>
        </w:rPr>
        <w:t>§ 18(a)</w:t>
      </w:r>
      <w:r w:rsidRPr="00602AD9">
        <w:rPr>
          <w:b/>
          <w:bCs/>
          <w:color w:val="000000" w:themeColor="text1"/>
          <w:kern w:val="0"/>
          <w:szCs w:val="24"/>
          <w14:ligatures w14:val="none"/>
        </w:rPr>
        <w:t xml:space="preserve">: </w:t>
      </w:r>
      <w:r w:rsidRPr="00602AD9">
        <w:rPr>
          <w:caps/>
          <w:color w:val="000000" w:themeColor="text1"/>
          <w:kern w:val="0"/>
          <w:szCs w:val="24"/>
          <w14:ligatures w14:val="none"/>
        </w:rPr>
        <w:t>T</w:t>
      </w:r>
      <w:r w:rsidRPr="00602AD9">
        <w:rPr>
          <w:color w:val="000000" w:themeColor="text1"/>
          <w:kern w:val="0"/>
          <w:szCs w:val="24"/>
          <w14:ligatures w14:val="none"/>
        </w:rPr>
        <w:t>he court in a mass-tort bankruptcy should determine whether judicial estimation of the amounts of contingent or unliquidated tort claims (whether in the aggregate or by claim category) is warranted to avoid unduly delaying administration of the case.</w:t>
      </w:r>
      <w:r w:rsidRPr="00602AD9">
        <w:rPr>
          <w:color w:val="000000" w:themeColor="text1"/>
          <w:kern w:val="0"/>
          <w:szCs w:val="24"/>
          <w:vertAlign w:val="superscript"/>
          <w14:ligatures w14:val="none"/>
        </w:rPr>
        <w:footnoteReference w:id="11"/>
      </w:r>
      <w:r w:rsidRPr="00602AD9">
        <w:rPr>
          <w:color w:val="000000" w:themeColor="text1"/>
          <w:kern w:val="0"/>
          <w:szCs w:val="24"/>
          <w14:ligatures w14:val="none"/>
        </w:rPr>
        <w:t xml:space="preserve">  </w:t>
      </w:r>
    </w:p>
    <w:p w14:paraId="24AA8F16" w14:textId="77777777" w:rsidR="00602AD9" w:rsidRPr="00602AD9" w:rsidRDefault="00602AD9" w:rsidP="00602AD9">
      <w:pPr>
        <w:spacing w:after="0" w:line="240" w:lineRule="auto"/>
        <w:ind w:left="720" w:right="720"/>
        <w:jc w:val="both"/>
        <w:rPr>
          <w:color w:val="000000" w:themeColor="text1"/>
          <w:kern w:val="0"/>
          <w:szCs w:val="24"/>
          <w14:ligatures w14:val="none"/>
        </w:rPr>
      </w:pPr>
    </w:p>
    <w:p w14:paraId="3E3FFF0E"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color w:val="000000" w:themeColor="text1"/>
          <w:kern w:val="0"/>
          <w:szCs w:val="24"/>
          <w14:ligatures w14:val="none"/>
        </w:rPr>
        <w:t>Judicial estimates of unliquidated or contingent tort claims are often necessary to move forward on key bankruptcy proceedings that would otherwise be delayed.</w:t>
      </w:r>
      <w:r w:rsidRPr="00602AD9">
        <w:rPr>
          <w:color w:val="000000" w:themeColor="text1"/>
          <w:kern w:val="0"/>
          <w:szCs w:val="24"/>
          <w:vertAlign w:val="superscript"/>
          <w14:ligatures w14:val="none"/>
        </w:rPr>
        <w:footnoteReference w:id="12"/>
      </w:r>
      <w:r w:rsidRPr="00602AD9">
        <w:rPr>
          <w:color w:val="000000" w:themeColor="text1"/>
          <w:kern w:val="0"/>
          <w:szCs w:val="24"/>
          <w14:ligatures w14:val="none"/>
        </w:rPr>
        <w:t xml:space="preserve"> These proceedings involve determining plan feasibility, ensuring fair treatment within claim classes, confirming reorganization plans, assigning voting weights, and evaluating successor-entity interests.  In practice, judicial estimation provides an impartial, neutral valuation of tort claims, often serving to bridge the divide between opposing parties and facilitating a move toward a consensus or middle ground.</w:t>
      </w:r>
      <w:r w:rsidRPr="00602AD9">
        <w:rPr>
          <w:rFonts w:cs="Times New Roman"/>
          <w:color w:val="000000" w:themeColor="text1"/>
          <w:kern w:val="0"/>
          <w:szCs w:val="24"/>
          <w:vertAlign w:val="superscript"/>
          <w14:ligatures w14:val="none"/>
        </w:rPr>
        <w:footnoteReference w:id="13"/>
      </w:r>
      <w:r w:rsidRPr="00602AD9">
        <w:rPr>
          <w:rFonts w:cs="Times New Roman"/>
          <w:color w:val="000000" w:themeColor="text1"/>
          <w:kern w:val="0"/>
          <w:szCs w:val="24"/>
          <w14:ligatures w14:val="none"/>
        </w:rPr>
        <w:t xml:space="preserve"> The court has wide latitude in prescribing a process to estimate tort claims. Courts have </w:t>
      </w:r>
      <w:r w:rsidRPr="00602AD9">
        <w:rPr>
          <w:rFonts w:cs="Times New Roman"/>
          <w:color w:val="000000" w:themeColor="text1"/>
          <w:kern w:val="0"/>
          <w:szCs w:val="24"/>
          <w14:ligatures w14:val="none"/>
        </w:rPr>
        <w:lastRenderedPageBreak/>
        <w:t>employed various processes, including arbitration, record review, summary trial, evidentiary hearing, and simple review of pleadings and briefs.</w:t>
      </w:r>
      <w:r w:rsidRPr="00602AD9">
        <w:rPr>
          <w:rFonts w:cs="Times New Roman"/>
          <w:color w:val="000000" w:themeColor="text1"/>
          <w:kern w:val="0"/>
          <w:szCs w:val="24"/>
          <w:vertAlign w:val="superscript"/>
          <w14:ligatures w14:val="none"/>
        </w:rPr>
        <w:footnoteReference w:id="14"/>
      </w:r>
    </w:p>
    <w:p w14:paraId="3828A18A"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color w:val="000000" w:themeColor="text1"/>
          <w:kern w:val="0"/>
          <w:szCs w:val="24"/>
          <w14:ligatures w14:val="none"/>
        </w:rPr>
        <w:t>Methodologies for estimating large volumes of contingent tort claims range from straightforward to highly complex and expensive.  In non-asbestos bankruptcies, this methodology is often complicated by a lack of comparative personal-injury claim values from past litigation.</w:t>
      </w:r>
      <w:r w:rsidRPr="00602AD9">
        <w:rPr>
          <w:color w:val="000000" w:themeColor="text1"/>
          <w:kern w:val="0"/>
          <w:szCs w:val="24"/>
          <w:vertAlign w:val="superscript"/>
          <w14:ligatures w14:val="none"/>
        </w:rPr>
        <w:footnoteReference w:id="15"/>
      </w:r>
      <w:r w:rsidRPr="00602AD9">
        <w:rPr>
          <w:color w:val="000000" w:themeColor="text1"/>
          <w:kern w:val="0"/>
          <w:szCs w:val="24"/>
          <w14:ligatures w14:val="none"/>
        </w:rPr>
        <w:t xml:space="preserve"> The more complex, the greater the risk of delays that conflict with the Bankruptcy Code’s efficiency requirements.</w:t>
      </w:r>
      <w:r w:rsidRPr="00602AD9">
        <w:rPr>
          <w:rFonts w:cs="Times New Roman"/>
          <w:color w:val="000000" w:themeColor="text1"/>
          <w:kern w:val="0"/>
          <w:szCs w:val="24"/>
          <w:vertAlign w:val="superscript"/>
          <w14:ligatures w14:val="none"/>
        </w:rPr>
        <w:footnoteReference w:id="16"/>
      </w:r>
      <w:r w:rsidRPr="00602AD9">
        <w:rPr>
          <w:rFonts w:cs="Times New Roman"/>
          <w:color w:val="000000" w:themeColor="text1"/>
          <w:kern w:val="0"/>
          <w:szCs w:val="24"/>
          <w14:ligatures w14:val="none"/>
        </w:rPr>
        <w:t xml:space="preserve">  Furthermore, if a reorganization plan relies on an estimate that a voting majority rejects, the resulting disapproval may undermine the process’s utility in preventing undue delay.</w:t>
      </w:r>
      <w:r w:rsidRPr="00602AD9">
        <w:rPr>
          <w:rFonts w:cs="Times New Roman"/>
          <w:color w:val="000000" w:themeColor="text1"/>
          <w:kern w:val="0"/>
          <w:szCs w:val="24"/>
          <w:vertAlign w:val="superscript"/>
          <w14:ligatures w14:val="none"/>
        </w:rPr>
        <w:footnoteReference w:id="17"/>
      </w:r>
      <w:r w:rsidRPr="00602AD9">
        <w:rPr>
          <w:rFonts w:cs="Times New Roman"/>
          <w:color w:val="000000" w:themeColor="text1"/>
          <w:kern w:val="0"/>
          <w:szCs w:val="24"/>
          <w14:ligatures w14:val="none"/>
        </w:rPr>
        <w:t xml:space="preserve">  While possibly creating delays and historically limited to asbestos litigation under specific statutory authority -- raising questions regarding its broader application -- judicial estimation may nonetheless remain the most viable path for achieving a timely resolution compared to available alternatives.</w:t>
      </w:r>
    </w:p>
    <w:p w14:paraId="09CA02BA"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r w:rsidRPr="00602AD9">
        <w:rPr>
          <w:rFonts w:cs="Times New Roman"/>
          <w:b/>
          <w:bCs/>
          <w:caps/>
          <w:color w:val="000000" w:themeColor="text1"/>
          <w:kern w:val="0"/>
          <w:szCs w:val="24"/>
          <w14:ligatures w14:val="none"/>
        </w:rPr>
        <w:t xml:space="preserve">best practice </w:t>
      </w:r>
      <w:r w:rsidRPr="00602AD9">
        <w:rPr>
          <w:rFonts w:cs="Times New Roman"/>
          <w:b/>
          <w:bCs/>
          <w:color w:val="000000" w:themeColor="text1"/>
          <w:kern w:val="0"/>
          <w:szCs w:val="24"/>
          <w14:ligatures w14:val="none"/>
        </w:rPr>
        <w:t>MDL-§ 18(b):</w:t>
      </w:r>
      <w:r w:rsidRPr="00602AD9">
        <w:rPr>
          <w:b/>
          <w:bCs/>
          <w:color w:val="000000" w:themeColor="text1"/>
          <w:kern w:val="0"/>
          <w:szCs w:val="24"/>
          <w14:ligatures w14:val="none"/>
        </w:rPr>
        <w:t xml:space="preserve"> </w:t>
      </w:r>
      <w:r w:rsidRPr="00602AD9">
        <w:rPr>
          <w:rFonts w:cs="Times New Roman"/>
          <w:color w:val="000000" w:themeColor="text1"/>
          <w:kern w:val="0"/>
          <w:szCs w:val="24"/>
          <w14:ligatures w14:val="none"/>
        </w:rPr>
        <w:t xml:space="preserve">The court should clearly express the reasons for and purpose of estimating the amounts of contingent or unliquidated tort claims. </w:t>
      </w:r>
    </w:p>
    <w:p w14:paraId="25D75A03"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p>
    <w:p w14:paraId="51A4E0A8"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A bankruptcy judge should exercise its discretion to undertake estimation of tort claims only if the parties are unable to reach agreement on the amounts.</w:t>
      </w:r>
      <w:r w:rsidRPr="00602AD9">
        <w:rPr>
          <w:rFonts w:cs="Times New Roman"/>
          <w:color w:val="000000" w:themeColor="text1"/>
          <w:kern w:val="0"/>
          <w:szCs w:val="24"/>
          <w:vertAlign w:val="superscript"/>
          <w14:ligatures w14:val="none"/>
        </w:rPr>
        <w:footnoteReference w:id="18"/>
      </w:r>
      <w:r w:rsidRPr="00602AD9">
        <w:rPr>
          <w:rFonts w:cs="Times New Roman"/>
          <w:color w:val="000000" w:themeColor="text1"/>
          <w:kern w:val="0"/>
          <w:szCs w:val="24"/>
          <w14:ligatures w14:val="none"/>
        </w:rPr>
        <w:t xml:space="preserve"> While such estimates are primarily designed generally for claim allowance, they frequently serve supplementary functions within the bankruptcy proceedings.</w:t>
      </w:r>
      <w:r w:rsidRPr="00602AD9">
        <w:rPr>
          <w:rFonts w:cs="Times New Roman"/>
          <w:color w:val="000000" w:themeColor="text1"/>
          <w:kern w:val="0"/>
          <w:szCs w:val="24"/>
          <w:vertAlign w:val="superscript"/>
          <w14:ligatures w14:val="none"/>
        </w:rPr>
        <w:footnoteReference w:id="19"/>
      </w:r>
      <w:r w:rsidRPr="00602AD9">
        <w:rPr>
          <w:rFonts w:cs="Times New Roman"/>
          <w:color w:val="000000" w:themeColor="text1"/>
          <w:kern w:val="0"/>
          <w:szCs w:val="24"/>
          <w14:ligatures w14:val="none"/>
        </w:rPr>
        <w:t xml:space="preserve"> To prevent ambiguity, the court must explicitly define the specific purpose of any estimation. </w:t>
      </w:r>
    </w:p>
    <w:p w14:paraId="3D4B7662"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color w:val="000000" w:themeColor="text1"/>
          <w:kern w:val="0"/>
          <w:szCs w:val="24"/>
          <w14:ligatures w14:val="none"/>
        </w:rPr>
        <w:lastRenderedPageBreak/>
        <w:t>Clarification is especially important if it is unclear whether the estimation will act as an unconsented, practical cap on distribution by creating a limited fund for the payment of tort claims.</w:t>
      </w:r>
      <w:r w:rsidRPr="00602AD9">
        <w:rPr>
          <w:color w:val="000000" w:themeColor="text1"/>
          <w:kern w:val="0"/>
          <w:szCs w:val="24"/>
          <w:vertAlign w:val="superscript"/>
          <w14:ligatures w14:val="none"/>
        </w:rPr>
        <w:footnoteReference w:id="20"/>
      </w:r>
      <w:r w:rsidRPr="00602AD9">
        <w:rPr>
          <w:color w:val="000000" w:themeColor="text1"/>
          <w:kern w:val="0"/>
          <w:szCs w:val="24"/>
          <w14:ligatures w14:val="none"/>
        </w:rPr>
        <w:t xml:space="preserve"> Although a bankruptcy judge holds core jurisdiction to estimate claims for plan-confirmation purposes, the estimation of personal-injury tort claims for distribution purposes is explicitly excluded from core proceedings.</w:t>
      </w:r>
      <w:r w:rsidRPr="00602AD9">
        <w:rPr>
          <w:color w:val="000000" w:themeColor="text1"/>
          <w:kern w:val="0"/>
          <w:szCs w:val="24"/>
          <w:vertAlign w:val="superscript"/>
          <w14:ligatures w14:val="none"/>
        </w:rPr>
        <w:footnoteReference w:id="21"/>
      </w:r>
      <w:r w:rsidRPr="00602AD9">
        <w:rPr>
          <w:color w:val="000000" w:themeColor="text1"/>
          <w:kern w:val="0"/>
          <w:szCs w:val="24"/>
          <w14:ligatures w14:val="none"/>
        </w:rPr>
        <w:t xml:space="preserve"> Because non-core matters require final determination by an Article III judge rather than a bankruptcy judge -- unless the parties consent -- the court must provide clear guidance. Specifically, the court must clarify that the estimation for confirmation purposes serves solely to assess whether the proposed plan is structurally sound enough to survive the projected claim volume. An express statement by the court would eliminate any doubt that its estimation does not operate as a “distribution cap” for non-consenting parties -- who preserve their right to reject the estimate by voting against the reorganization plan.</w:t>
      </w:r>
      <w:r w:rsidRPr="00602AD9">
        <w:rPr>
          <w:color w:val="000000" w:themeColor="text1"/>
          <w:kern w:val="0"/>
          <w:szCs w:val="24"/>
          <w:vertAlign w:val="superscript"/>
          <w14:ligatures w14:val="none"/>
        </w:rPr>
        <w:footnoteReference w:id="22"/>
      </w:r>
      <w:r w:rsidRPr="00602AD9">
        <w:rPr>
          <w:color w:val="000000" w:themeColor="text1"/>
          <w:kern w:val="0"/>
          <w:szCs w:val="24"/>
          <w14:ligatures w14:val="none"/>
        </w:rPr>
        <w:t xml:space="preserve"> </w:t>
      </w:r>
    </w:p>
    <w:p w14:paraId="13094FEB"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r w:rsidRPr="00602AD9">
        <w:rPr>
          <w:rFonts w:cs="Times New Roman"/>
          <w:b/>
          <w:bCs/>
          <w:color w:val="000000" w:themeColor="text1"/>
          <w:kern w:val="0"/>
          <w:szCs w:val="24"/>
          <w14:ligatures w14:val="none"/>
        </w:rPr>
        <w:t>Best Practice MDL-§ 18(c):</w:t>
      </w:r>
      <w:r w:rsidRPr="00602AD9">
        <w:rPr>
          <w:b/>
          <w:bCs/>
          <w:color w:val="000000" w:themeColor="text1"/>
          <w:kern w:val="0"/>
          <w:szCs w:val="24"/>
          <w14:ligatures w14:val="none"/>
        </w:rPr>
        <w:t xml:space="preserve"> </w:t>
      </w:r>
      <w:r w:rsidRPr="00602AD9">
        <w:rPr>
          <w:color w:val="000000" w:themeColor="text1"/>
          <w:kern w:val="0"/>
          <w:szCs w:val="24"/>
          <w14:ligatures w14:val="none"/>
        </w:rPr>
        <w:t>The court should determine</w:t>
      </w:r>
      <w:r w:rsidRPr="00602AD9">
        <w:rPr>
          <w:rFonts w:cs="Times New Roman"/>
          <w:color w:val="000000" w:themeColor="text1"/>
          <w:kern w:val="0"/>
          <w:szCs w:val="24"/>
          <w14:ligatures w14:val="none"/>
        </w:rPr>
        <w:t xml:space="preserve"> the methodology for estimating the amount of contingent or unliquidated tort claims. </w:t>
      </w:r>
    </w:p>
    <w:p w14:paraId="674B9454" w14:textId="77777777" w:rsidR="00602AD9" w:rsidRPr="00602AD9" w:rsidRDefault="00602AD9" w:rsidP="00602AD9">
      <w:pPr>
        <w:spacing w:after="0" w:line="240" w:lineRule="auto"/>
        <w:ind w:left="720" w:right="720"/>
        <w:jc w:val="both"/>
        <w:rPr>
          <w:rFonts w:cs="Times New Roman"/>
          <w:b/>
          <w:bCs/>
          <w:color w:val="000000" w:themeColor="text1"/>
          <w:kern w:val="0"/>
          <w:szCs w:val="24"/>
          <w14:ligatures w14:val="none"/>
        </w:rPr>
      </w:pPr>
    </w:p>
    <w:p w14:paraId="59864FED"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 xml:space="preserve">Judges have broad discretion when choosing how to estimate the amounts of contingent or unliquidated tort claims. The chosen methodology depends on the goals of the appraisal and how much accuracy is needed. Approaches range from simple matrices based on injury classes for voting purposes to thorough, individual assessments for purposes of distribution. </w:t>
      </w:r>
    </w:p>
    <w:p w14:paraId="10B52924"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A standardized matrix-pricing or simplified injury-classification model is adequate for voting purposes, as the primary objective is merely to distinguish between low- and high-value tort claims.</w:t>
      </w:r>
      <w:r w:rsidRPr="00602AD9">
        <w:rPr>
          <w:color w:val="000000" w:themeColor="text1"/>
          <w:kern w:val="0"/>
          <w:szCs w:val="24"/>
          <w:vertAlign w:val="superscript"/>
          <w14:ligatures w14:val="none"/>
        </w:rPr>
        <w:footnoteReference w:id="23"/>
      </w:r>
      <w:r w:rsidRPr="00602AD9">
        <w:rPr>
          <w:color w:val="000000" w:themeColor="text1"/>
          <w:kern w:val="0"/>
          <w:szCs w:val="24"/>
          <w14:ligatures w14:val="none"/>
        </w:rPr>
        <w:t xml:space="preserve"> This approach requires minimal data inputs. Although this approach may sacrifice a degree of precision, its primary margin of error -- the over-classification of low-value claims -- </w:t>
      </w:r>
      <w:r w:rsidRPr="00602AD9">
        <w:rPr>
          <w:color w:val="000000" w:themeColor="text1"/>
          <w:kern w:val="0"/>
          <w:szCs w:val="24"/>
          <w14:ligatures w14:val="none"/>
        </w:rPr>
        <w:lastRenderedPageBreak/>
        <w:t>rarely prejudices the claimant.</w:t>
      </w:r>
      <w:r w:rsidRPr="00602AD9">
        <w:rPr>
          <w:color w:val="000000" w:themeColor="text1"/>
          <w:kern w:val="0"/>
          <w:szCs w:val="24"/>
          <w:vertAlign w:val="superscript"/>
          <w14:ligatures w14:val="none"/>
        </w:rPr>
        <w:footnoteReference w:id="24"/>
      </w:r>
      <w:r w:rsidRPr="00602AD9">
        <w:rPr>
          <w:color w:val="000000" w:themeColor="text1"/>
          <w:kern w:val="0"/>
          <w:szCs w:val="24"/>
          <w14:ligatures w14:val="none"/>
        </w:rPr>
        <w:t xml:space="preserve">  This stands in contrast to the traditional uniform-valuation model, which inherently disadvantages high-value claims by failing to account for their greater magnitude.</w:t>
      </w:r>
    </w:p>
    <w:p w14:paraId="10F80F17"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At the opposite end of the spectrum where estimation is used for distribution purposes, a  detailed review is required to determine the value of individual tort claims by measuring distinct medical and impairment data against the statistical likelihood of a favorable jury verdict.</w:t>
      </w:r>
      <w:r w:rsidRPr="00602AD9">
        <w:rPr>
          <w:color w:val="000000" w:themeColor="text1"/>
          <w:kern w:val="0"/>
          <w:szCs w:val="24"/>
          <w:vertAlign w:val="superscript"/>
          <w14:ligatures w14:val="none"/>
        </w:rPr>
        <w:footnoteReference w:id="25"/>
      </w:r>
      <w:r w:rsidRPr="00602AD9">
        <w:rPr>
          <w:color w:val="000000" w:themeColor="text1"/>
          <w:kern w:val="0"/>
          <w:szCs w:val="24"/>
          <w14:ligatures w14:val="none"/>
        </w:rPr>
        <w:t xml:space="preserve"> Importantly, such estimations are non-core matters on which a bankruptcy judge may only submit proposed findings of fact and conclusions of law to an Article III judge for final adjudication.</w:t>
      </w:r>
      <w:r w:rsidRPr="00602AD9">
        <w:rPr>
          <w:color w:val="000000" w:themeColor="text1"/>
          <w:kern w:val="0"/>
          <w:szCs w:val="24"/>
          <w:vertAlign w:val="superscript"/>
          <w14:ligatures w14:val="none"/>
        </w:rPr>
        <w:footnoteReference w:id="26"/>
      </w:r>
      <w:r w:rsidRPr="00602AD9">
        <w:rPr>
          <w:color w:val="000000" w:themeColor="text1"/>
          <w:kern w:val="0"/>
          <w:szCs w:val="24"/>
          <w14:ligatures w14:val="none"/>
        </w:rPr>
        <w:t xml:space="preserve"> In other, more typical contexts, for example, when evaluating the interests of a successor entity or entering settlement negotiations, the methodology applied is more rigorous than for voting purposes but less so for distribution purposes. </w:t>
      </w:r>
      <w:r w:rsidRPr="00602AD9">
        <w:rPr>
          <w:color w:val="000000" w:themeColor="text1"/>
          <w:kern w:val="0"/>
          <w:szCs w:val="24"/>
          <w:vertAlign w:val="superscript"/>
          <w14:ligatures w14:val="none"/>
        </w:rPr>
        <w:footnoteReference w:id="27"/>
      </w:r>
      <w:r w:rsidRPr="00602AD9">
        <w:rPr>
          <w:color w:val="000000" w:themeColor="text1"/>
          <w:kern w:val="0"/>
          <w:szCs w:val="24"/>
          <w14:ligatures w14:val="none"/>
        </w:rPr>
        <w:t xml:space="preserve"> In such instances, litigants often develop a model utilizing a matrix of claim attributes and characteristics commonly relied upon during settlement negotiations.</w:t>
      </w:r>
      <w:r w:rsidRPr="00602AD9">
        <w:rPr>
          <w:color w:val="000000" w:themeColor="text1"/>
          <w:kern w:val="0"/>
          <w:szCs w:val="24"/>
          <w:vertAlign w:val="superscript"/>
          <w14:ligatures w14:val="none"/>
        </w:rPr>
        <w:footnoteReference w:id="28"/>
      </w:r>
      <w:r w:rsidRPr="00602AD9">
        <w:rPr>
          <w:color w:val="000000" w:themeColor="text1"/>
          <w:kern w:val="0"/>
          <w:szCs w:val="24"/>
          <w14:ligatures w14:val="none"/>
        </w:rPr>
        <w:t xml:space="preserve">  </w:t>
      </w:r>
    </w:p>
    <w:p w14:paraId="1767A400"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r w:rsidRPr="00602AD9">
        <w:rPr>
          <w:rFonts w:cs="Times New Roman"/>
          <w:b/>
          <w:bCs/>
          <w:caps/>
          <w:color w:val="000000" w:themeColor="text1"/>
          <w:kern w:val="0"/>
          <w:szCs w:val="24"/>
          <w14:ligatures w14:val="none"/>
        </w:rPr>
        <w:t xml:space="preserve">best practice </w:t>
      </w:r>
      <w:r w:rsidRPr="00602AD9">
        <w:rPr>
          <w:rFonts w:cs="Times New Roman"/>
          <w:b/>
          <w:bCs/>
          <w:color w:val="000000" w:themeColor="text1"/>
          <w:kern w:val="0"/>
          <w:szCs w:val="24"/>
          <w14:ligatures w14:val="none"/>
        </w:rPr>
        <w:t>MDL-§ 18(d):</w:t>
      </w:r>
      <w:r w:rsidRPr="00602AD9">
        <w:rPr>
          <w:b/>
          <w:bCs/>
          <w:color w:val="000000" w:themeColor="text1"/>
          <w:kern w:val="0"/>
          <w:szCs w:val="24"/>
          <w14:ligatures w14:val="none"/>
        </w:rPr>
        <w:t xml:space="preserve"> </w:t>
      </w:r>
      <w:r w:rsidRPr="00602AD9">
        <w:rPr>
          <w:color w:val="000000" w:themeColor="text1"/>
          <w:kern w:val="0"/>
          <w:szCs w:val="24"/>
          <w14:ligatures w14:val="none"/>
        </w:rPr>
        <w:t xml:space="preserve">For voting purposes, the court’s chosen estimation methodology should be administratively feasible and need not be perfect, but it should reflect Congressional intent to weight plan voting by claim size; this intent is undermined by the standard $1-per-claim approach used by many courts. </w:t>
      </w:r>
    </w:p>
    <w:p w14:paraId="7E0B41C7" w14:textId="77777777" w:rsidR="00602AD9" w:rsidRPr="00602AD9" w:rsidRDefault="00602AD9" w:rsidP="00602AD9">
      <w:pPr>
        <w:spacing w:after="0" w:line="240" w:lineRule="auto"/>
        <w:ind w:left="720" w:right="720"/>
        <w:jc w:val="both"/>
        <w:rPr>
          <w:rFonts w:cs="Times New Roman"/>
          <w:b/>
          <w:bCs/>
          <w:caps/>
          <w:color w:val="000000" w:themeColor="text1"/>
          <w:kern w:val="0"/>
          <w:szCs w:val="24"/>
          <w14:ligatures w14:val="none"/>
        </w:rPr>
      </w:pPr>
    </w:p>
    <w:p w14:paraId="10E76ED3"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 xml:space="preserve">Voting in connection with the confirmation of a plan under § 1129 is governed by 11 U.S.C. </w:t>
      </w:r>
      <w:r w:rsidRPr="00602AD9">
        <w:rPr>
          <w:rFonts w:cs="Times New Roman"/>
          <w:color w:val="000000" w:themeColor="text1"/>
          <w:kern w:val="0"/>
          <w:szCs w:val="24"/>
          <w14:ligatures w14:val="none"/>
        </w:rPr>
        <w:t>§</w:t>
      </w:r>
      <w:r w:rsidRPr="00602AD9">
        <w:rPr>
          <w:color w:val="000000" w:themeColor="text1"/>
          <w:kern w:val="0"/>
          <w:szCs w:val="24"/>
          <w14:ligatures w14:val="none"/>
        </w:rPr>
        <w:t xml:space="preserve"> 1126(c), which provides that a class of claims accepts a plan</w:t>
      </w:r>
      <w:r w:rsidRPr="00602AD9">
        <w:rPr>
          <w:rFonts w:ascii="Open Sans" w:hAnsi="Open Sans" w:cs="Open Sans"/>
          <w:color w:val="333333"/>
          <w:kern w:val="0"/>
          <w:szCs w:val="24"/>
          <w:shd w:val="clear" w:color="auto" w:fill="FFFFFF"/>
          <w14:ligatures w14:val="none"/>
        </w:rPr>
        <w:t xml:space="preserve"> “</w:t>
      </w:r>
      <w:r w:rsidRPr="00602AD9">
        <w:rPr>
          <w:rFonts w:cs="Times New Roman"/>
          <w:color w:val="333333"/>
          <w:kern w:val="0"/>
          <w:szCs w:val="24"/>
          <w:shd w:val="clear" w:color="auto" w:fill="FFFFFF"/>
          <w14:ligatures w14:val="none"/>
        </w:rPr>
        <w:t>th</w:t>
      </w:r>
      <w:r w:rsidRPr="00602AD9">
        <w:rPr>
          <w:color w:val="000000" w:themeColor="text1"/>
          <w:kern w:val="0"/>
          <w:szCs w:val="24"/>
          <w14:ligatures w14:val="none"/>
        </w:rPr>
        <w:t xml:space="preserve">at hold at least two-thirds </w:t>
      </w:r>
      <w:r w:rsidRPr="00602AD9">
        <w:rPr>
          <w:i/>
          <w:iCs/>
          <w:color w:val="000000" w:themeColor="text1"/>
          <w:kern w:val="0"/>
          <w:szCs w:val="24"/>
          <w14:ligatures w14:val="none"/>
        </w:rPr>
        <w:t>in amount</w:t>
      </w:r>
      <w:r w:rsidRPr="00602AD9">
        <w:rPr>
          <w:color w:val="000000" w:themeColor="text1"/>
          <w:kern w:val="0"/>
          <w:szCs w:val="24"/>
          <w14:ligatures w14:val="none"/>
        </w:rPr>
        <w:t xml:space="preserve"> and more than one-half in number of the allowed claims of such class” votes to accept the plan</w:t>
      </w:r>
      <w:r w:rsidRPr="00602AD9">
        <w:rPr>
          <w:rFonts w:cs="Times New Roman"/>
          <w:color w:val="000000" w:themeColor="text1"/>
          <w:kern w:val="0"/>
          <w:szCs w:val="24"/>
          <w:vertAlign w:val="superscript"/>
          <w14:ligatures w14:val="none"/>
        </w:rPr>
        <w:footnoteReference w:id="29"/>
      </w:r>
      <w:r w:rsidRPr="00602AD9">
        <w:rPr>
          <w:rFonts w:cs="Times New Roman"/>
          <w:color w:val="000000" w:themeColor="text1"/>
          <w:kern w:val="0"/>
          <w:szCs w:val="24"/>
          <w:vertAlign w:val="superscript"/>
          <w14:ligatures w14:val="none"/>
        </w:rPr>
        <w:t xml:space="preserve">    </w:t>
      </w:r>
      <w:r w:rsidRPr="00602AD9">
        <w:rPr>
          <w:color w:val="000000" w:themeColor="text1"/>
          <w:kern w:val="0"/>
          <w:szCs w:val="24"/>
          <w14:ligatures w14:val="none"/>
        </w:rPr>
        <w:t xml:space="preserve">This legislative scheme is grounded on proportional representation for purposes of plan </w:t>
      </w:r>
      <w:r w:rsidRPr="00602AD9">
        <w:rPr>
          <w:color w:val="000000" w:themeColor="text1"/>
          <w:kern w:val="0"/>
          <w:szCs w:val="24"/>
          <w14:ligatures w14:val="none"/>
        </w:rPr>
        <w:lastRenderedPageBreak/>
        <w:t xml:space="preserve">voting larger claims should have a proportionally larger weight in voting than smaller claims. Nevertheless, existing practices often assign a uniform value to all unliquidated personal-injury claims for purposes of voting.  In mass-tort bankruptcies -- primarily those involving asbestos -- it is a standard practice to assign a nominal one-dollar value to every personal-injury claim for the purpose of voting whether to accept a Chapter 11 plan.  This practice essentially converts </w:t>
      </w:r>
      <w:r w:rsidRPr="00602AD9">
        <w:rPr>
          <w:rFonts w:cs="Times New Roman"/>
          <w:color w:val="000000" w:themeColor="text1"/>
          <w:kern w:val="0"/>
          <w:szCs w:val="24"/>
          <w14:ligatures w14:val="none"/>
        </w:rPr>
        <w:t>§</w:t>
      </w:r>
      <w:r w:rsidRPr="00602AD9">
        <w:rPr>
          <w:color w:val="000000" w:themeColor="text1"/>
          <w:kern w:val="0"/>
          <w:szCs w:val="24"/>
          <w14:ligatures w14:val="none"/>
        </w:rPr>
        <w:t xml:space="preserve"> 1126’s proportional voting scheme into a “one-person-one-vote” scheme. The primary rationale of using uniform valuations for voting purposes is administrative efficiency — in other words, the time and complexity involved in estimating individual personal injury claims.</w:t>
      </w:r>
      <w:r w:rsidRPr="00602AD9">
        <w:rPr>
          <w:color w:val="000000" w:themeColor="text1"/>
          <w:kern w:val="0"/>
          <w:szCs w:val="24"/>
          <w:vertAlign w:val="superscript"/>
          <w14:ligatures w14:val="none"/>
        </w:rPr>
        <w:footnoteReference w:id="30"/>
      </w:r>
      <w:r w:rsidRPr="00602AD9">
        <w:rPr>
          <w:color w:val="000000" w:themeColor="text1"/>
          <w:kern w:val="0"/>
          <w:szCs w:val="24"/>
          <w14:ligatures w14:val="none"/>
        </w:rPr>
        <w:t xml:space="preserve"> But estimation practices that ignore the statutory framework have been criticized for:</w:t>
      </w:r>
    </w:p>
    <w:p w14:paraId="19934E20" w14:textId="77777777" w:rsidR="00602AD9" w:rsidRPr="00602AD9" w:rsidRDefault="00602AD9" w:rsidP="00602AD9">
      <w:pPr>
        <w:numPr>
          <w:ilvl w:val="0"/>
          <w:numId w:val="1"/>
        </w:numPr>
        <w:spacing w:after="0" w:line="360" w:lineRule="auto"/>
        <w:contextualSpacing/>
        <w:jc w:val="both"/>
        <w:rPr>
          <w:color w:val="000000" w:themeColor="text1"/>
          <w:kern w:val="0"/>
          <w:szCs w:val="24"/>
          <w14:ligatures w14:val="none"/>
        </w:rPr>
      </w:pPr>
      <w:r w:rsidRPr="00602AD9">
        <w:rPr>
          <w:color w:val="000000" w:themeColor="text1"/>
          <w:kern w:val="0"/>
          <w:szCs w:val="24"/>
          <w14:ligatures w14:val="none"/>
        </w:rPr>
        <w:t>Undermining proportional representation;</w:t>
      </w:r>
      <w:r w:rsidRPr="00602AD9">
        <w:rPr>
          <w:color w:val="000000" w:themeColor="text1"/>
          <w:kern w:val="0"/>
          <w:szCs w:val="24"/>
          <w:vertAlign w:val="superscript"/>
          <w14:ligatures w14:val="none"/>
        </w:rPr>
        <w:footnoteReference w:id="31"/>
      </w:r>
    </w:p>
    <w:p w14:paraId="4328E150" w14:textId="77777777" w:rsidR="00602AD9" w:rsidRPr="00602AD9" w:rsidRDefault="00602AD9" w:rsidP="00602AD9">
      <w:pPr>
        <w:numPr>
          <w:ilvl w:val="0"/>
          <w:numId w:val="1"/>
        </w:numPr>
        <w:spacing w:after="0" w:line="360" w:lineRule="auto"/>
        <w:contextualSpacing/>
        <w:jc w:val="both"/>
        <w:rPr>
          <w:color w:val="000000" w:themeColor="text1"/>
          <w:kern w:val="0"/>
          <w:szCs w:val="24"/>
          <w14:ligatures w14:val="none"/>
        </w:rPr>
      </w:pPr>
      <w:r w:rsidRPr="00602AD9">
        <w:rPr>
          <w:color w:val="000000" w:themeColor="text1"/>
          <w:kern w:val="0"/>
          <w:szCs w:val="24"/>
          <w14:ligatures w14:val="none"/>
        </w:rPr>
        <w:t>Overrepresenting smaller or marginal claims while underrepresenting more serious injury claimants; and</w:t>
      </w:r>
    </w:p>
    <w:p w14:paraId="1258A30A" w14:textId="77777777" w:rsidR="00602AD9" w:rsidRPr="00602AD9" w:rsidRDefault="00602AD9" w:rsidP="00602AD9">
      <w:pPr>
        <w:numPr>
          <w:ilvl w:val="0"/>
          <w:numId w:val="1"/>
        </w:numPr>
        <w:spacing w:after="0" w:line="360" w:lineRule="auto"/>
        <w:ind w:left="1080"/>
        <w:contextualSpacing/>
        <w:jc w:val="both"/>
        <w:rPr>
          <w:color w:val="000000" w:themeColor="text1"/>
          <w:kern w:val="0"/>
          <w:szCs w:val="24"/>
          <w14:ligatures w14:val="none"/>
        </w:rPr>
      </w:pPr>
      <w:r w:rsidRPr="00602AD9">
        <w:rPr>
          <w:color w:val="000000" w:themeColor="text1"/>
          <w:kern w:val="0"/>
          <w:szCs w:val="24"/>
          <w14:ligatures w14:val="none"/>
        </w:rPr>
        <w:t>Creating the danger of manipulation through claim-solicitation campaigns.</w:t>
      </w:r>
    </w:p>
    <w:p w14:paraId="6D737C77"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The long-accepted practice of assigning uniform nominal values to tort claims for voting purposes in asbestos-related bankruptcies has persisted for decades with minimal challenge.  But the urgency of this issue has intensified as theoretical concerns have shifted into tangible reality.  A recent mass-tort bankruptcy highlighted this, when tens of thousands of personal-injury claims for minor harms were filed months after the bankruptcy filing, which overshadowed and marginalized more substantial filings. By assigning a uniform one-dollar value to all claims, the voting power of seriously injured parties was effectively diluted, fundamentally skewing the negotiation of the reorganization plan’s core terms.</w:t>
      </w:r>
    </w:p>
    <w:p w14:paraId="027AC62A"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 xml:space="preserve">The practice of valuing all tort claims at a uniform $1 is inconsistent with statutory requirements. Such a process cannot be justified by claimants’ consensus approving a proposed </w:t>
      </w:r>
      <w:r w:rsidRPr="00602AD9">
        <w:rPr>
          <w:color w:val="000000" w:themeColor="text1"/>
          <w:kern w:val="0"/>
          <w:szCs w:val="24"/>
          <w14:ligatures w14:val="none"/>
        </w:rPr>
        <w:lastRenderedPageBreak/>
        <w:t>plan  if that consensus is reached through a system that gives undue weight to minor-injury holders at the expense of those with significant claims.</w:t>
      </w:r>
      <w:r w:rsidRPr="00602AD9">
        <w:rPr>
          <w:color w:val="000000" w:themeColor="text1"/>
          <w:kern w:val="0"/>
          <w:szCs w:val="24"/>
          <w:vertAlign w:val="superscript"/>
          <w14:ligatures w14:val="none"/>
        </w:rPr>
        <w:footnoteReference w:id="32"/>
      </w:r>
      <w:r w:rsidRPr="00602AD9">
        <w:rPr>
          <w:color w:val="000000" w:themeColor="text1"/>
          <w:kern w:val="0"/>
          <w:szCs w:val="24"/>
          <w14:ligatures w14:val="none"/>
        </w:rPr>
        <w:t xml:space="preserve"> Many severely injured claimants approve a proposed imperfect plan and accept reduced payouts simply to avoid the high costs and lengthy timelines of a formal dispute.</w:t>
      </w:r>
      <w:r w:rsidRPr="00602AD9">
        <w:rPr>
          <w:color w:val="000000" w:themeColor="text1"/>
          <w:kern w:val="0"/>
          <w:szCs w:val="24"/>
          <w:vertAlign w:val="superscript"/>
          <w14:ligatures w14:val="none"/>
        </w:rPr>
        <w:footnoteReference w:id="33"/>
      </w:r>
      <w:r w:rsidRPr="00602AD9">
        <w:rPr>
          <w:color w:val="000000" w:themeColor="text1"/>
          <w:kern w:val="0"/>
          <w:szCs w:val="24"/>
          <w14:ligatures w14:val="none"/>
        </w:rPr>
        <w:t xml:space="preserve"> High approval rates usually indicate that claimants feel they have no better practical alternative, not that they find the terms fair.</w:t>
      </w:r>
      <w:r w:rsidRPr="00602AD9">
        <w:rPr>
          <w:color w:val="000000" w:themeColor="text1"/>
          <w:kern w:val="0"/>
          <w:szCs w:val="24"/>
          <w:vertAlign w:val="superscript"/>
          <w14:ligatures w14:val="none"/>
        </w:rPr>
        <w:t xml:space="preserve"> </w:t>
      </w:r>
      <w:r w:rsidRPr="00602AD9">
        <w:rPr>
          <w:color w:val="000000" w:themeColor="text1"/>
          <w:kern w:val="0"/>
          <w:szCs w:val="24"/>
          <w:vertAlign w:val="superscript"/>
          <w14:ligatures w14:val="none"/>
        </w:rPr>
        <w:footnoteReference w:id="34"/>
      </w:r>
    </w:p>
    <w:p w14:paraId="3B10E025"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 xml:space="preserve">There are alternative estimation methods that can be quickly and efficiently implemented, which would not unduly delay confirmation, and which are consistent with </w:t>
      </w:r>
      <w:r w:rsidRPr="00602AD9">
        <w:rPr>
          <w:rFonts w:cs="Times New Roman"/>
          <w:color w:val="000000" w:themeColor="text1"/>
          <w:kern w:val="0"/>
          <w:szCs w:val="24"/>
          <w14:ligatures w14:val="none"/>
        </w:rPr>
        <w:t>§</w:t>
      </w:r>
      <w:r w:rsidRPr="00602AD9">
        <w:rPr>
          <w:color w:val="000000" w:themeColor="text1"/>
          <w:kern w:val="0"/>
          <w:szCs w:val="24"/>
          <w14:ligatures w14:val="none"/>
        </w:rPr>
        <w:t xml:space="preserve">1126. </w:t>
      </w:r>
      <w:r w:rsidRPr="00602AD9">
        <w:rPr>
          <w:color w:val="000000" w:themeColor="text1"/>
          <w:kern w:val="0"/>
          <w:szCs w:val="24"/>
          <w:vertAlign w:val="superscript"/>
          <w14:ligatures w14:val="none"/>
        </w:rPr>
        <w:footnoteReference w:id="35"/>
      </w:r>
      <w:r w:rsidRPr="00602AD9">
        <w:rPr>
          <w:color w:val="000000" w:themeColor="text1"/>
          <w:kern w:val="0"/>
          <w:szCs w:val="24"/>
          <w14:ligatures w14:val="none"/>
        </w:rPr>
        <w:t xml:space="preserve">  Instead of a uniform $1 valuation, one alternative method is to group tort claims into a few categories by </w:t>
      </w:r>
      <w:proofErr w:type="gramStart"/>
      <w:r w:rsidRPr="00602AD9">
        <w:rPr>
          <w:color w:val="000000" w:themeColor="text1"/>
          <w:kern w:val="0"/>
          <w:szCs w:val="24"/>
          <w14:ligatures w14:val="none"/>
        </w:rPr>
        <w:t>weighting</w:t>
      </w:r>
      <w:proofErr w:type="gramEnd"/>
      <w:r w:rsidRPr="00602AD9">
        <w:rPr>
          <w:color w:val="000000" w:themeColor="text1"/>
          <w:kern w:val="0"/>
          <w:szCs w:val="24"/>
          <w14:ligatures w14:val="none"/>
        </w:rPr>
        <w:t xml:space="preserve"> them based on the type of injury and the level of impairment. For example, in the </w:t>
      </w:r>
      <w:r w:rsidRPr="00602AD9">
        <w:rPr>
          <w:i/>
          <w:iCs/>
          <w:color w:val="000000" w:themeColor="text1"/>
          <w:kern w:val="0"/>
          <w:szCs w:val="24"/>
          <w14:ligatures w14:val="none"/>
        </w:rPr>
        <w:t>In re Quigley</w:t>
      </w:r>
      <w:r w:rsidRPr="00602AD9">
        <w:rPr>
          <w:color w:val="000000" w:themeColor="text1"/>
          <w:kern w:val="0"/>
          <w:szCs w:val="24"/>
          <w14:ligatures w14:val="none"/>
        </w:rPr>
        <w:t xml:space="preserve"> bankruptcy case, the bankruptcy court included three disease category designations — mesothelioma, lung cancer, and “other ”— on the ballots distributed to creditors and assigned values to these three categories for voting purposes based on the values agreed to by the parties in the trust distribution procedures.</w:t>
      </w:r>
      <w:r w:rsidRPr="00602AD9">
        <w:rPr>
          <w:color w:val="000000" w:themeColor="text1"/>
          <w:kern w:val="0"/>
          <w:szCs w:val="24"/>
          <w:vertAlign w:val="superscript"/>
          <w14:ligatures w14:val="none"/>
        </w:rPr>
        <w:footnoteReference w:id="36"/>
      </w:r>
      <w:r w:rsidRPr="00602AD9">
        <w:rPr>
          <w:color w:val="000000" w:themeColor="text1"/>
          <w:kern w:val="0"/>
          <w:szCs w:val="24"/>
          <w14:ligatures w14:val="none"/>
        </w:rPr>
        <w:t xml:space="preserve"> This method better aligns voting strength with actual claim values, ensuring that holders of minor claims do not dilute the influence of those with more substantial injuries.</w:t>
      </w:r>
      <w:r w:rsidRPr="00602AD9">
        <w:rPr>
          <w:color w:val="000000" w:themeColor="text1"/>
          <w:kern w:val="0"/>
          <w:szCs w:val="24"/>
          <w:vertAlign w:val="superscript"/>
          <w14:ligatures w14:val="none"/>
        </w:rPr>
        <w:footnoteReference w:id="37"/>
      </w:r>
      <w:r w:rsidRPr="00602AD9">
        <w:rPr>
          <w:color w:val="000000" w:themeColor="text1"/>
          <w:kern w:val="0"/>
          <w:szCs w:val="24"/>
          <w14:ligatures w14:val="none"/>
        </w:rPr>
        <w:t xml:space="preserve">  Though the estimates are not perfectly precise this classification method is far superior to uniform valuation and more consistent with legislative intent.  </w:t>
      </w:r>
    </w:p>
    <w:p w14:paraId="1173CFB3"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lastRenderedPageBreak/>
        <w:t>If the court decides to adopt this classification method, the parties should propose definitions of the injury categories and impairment levels used to value tort claims.</w:t>
      </w:r>
      <w:r w:rsidRPr="00602AD9">
        <w:rPr>
          <w:color w:val="000000" w:themeColor="text1"/>
          <w:kern w:val="0"/>
          <w:szCs w:val="24"/>
          <w:vertAlign w:val="superscript"/>
          <w14:ligatures w14:val="none"/>
        </w:rPr>
        <w:footnoteReference w:id="38"/>
      </w:r>
      <w:r w:rsidRPr="00602AD9">
        <w:rPr>
          <w:color w:val="000000" w:themeColor="text1"/>
          <w:kern w:val="0"/>
          <w:szCs w:val="24"/>
          <w14:ligatures w14:val="none"/>
        </w:rPr>
        <w:t xml:space="preserve"> Since the goal is a streamlined voting process, just a few classifications might be needed in most instances to distinguish significant personal-injury claims from minor ones, </w:t>
      </w:r>
      <w:r w:rsidRPr="00602AD9">
        <w:rPr>
          <w:i/>
          <w:iCs/>
          <w:color w:val="000000" w:themeColor="text1"/>
          <w:kern w:val="0"/>
          <w:szCs w:val="24"/>
          <w14:ligatures w14:val="none"/>
        </w:rPr>
        <w:t>e.g</w:t>
      </w:r>
      <w:r w:rsidRPr="00602AD9">
        <w:rPr>
          <w:color w:val="000000" w:themeColor="text1"/>
          <w:kern w:val="0"/>
          <w:szCs w:val="24"/>
          <w14:ligatures w14:val="none"/>
        </w:rPr>
        <w:t>., mesothelioma, lung cancer, and other.</w:t>
      </w:r>
      <w:r w:rsidRPr="00602AD9">
        <w:rPr>
          <w:color w:val="000000" w:themeColor="text1"/>
          <w:kern w:val="0"/>
          <w:szCs w:val="24"/>
          <w:vertAlign w:val="superscript"/>
          <w14:ligatures w14:val="none"/>
        </w:rPr>
        <w:footnoteReference w:id="39"/>
      </w:r>
      <w:r w:rsidRPr="00602AD9">
        <w:rPr>
          <w:color w:val="000000" w:themeColor="text1"/>
          <w:kern w:val="0"/>
          <w:szCs w:val="24"/>
          <w14:ligatures w14:val="none"/>
        </w:rPr>
        <w:t xml:space="preserve"> To simplify administration, proof-of-claim forms can be modified to include checkboxes for injury type and severity.  The parties should consider suggesting a point system to avoid the perception that tort-claim estimates are definitive. A point-based system may be particularly useful because it allows claims to be categorized relative to one another without requiring the court to determine precise dollar values at the voting stage. This method is often easier to manage and helps bypass disputes over whether these valuations represent final amounts.</w:t>
      </w:r>
    </w:p>
    <w:p w14:paraId="22F3D1DB"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 xml:space="preserve">Other alternative estimation methodologies can be considered if they remain simple and quick to administer.   </w:t>
      </w:r>
    </w:p>
    <w:p w14:paraId="7EC69180"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 xml:space="preserve">Although none of the methods may reach absolute precision, they are far more effective than the arbitrary practice of assigning a uniform $1 value to every tort claim. While not exhaustive, they are also more than adequate for the primary task of categorizing claims by the severity of the injury for voting purposes.  </w:t>
      </w:r>
    </w:p>
    <w:p w14:paraId="22C8DEA0" w14:textId="77777777" w:rsidR="00602AD9" w:rsidRPr="00602AD9" w:rsidRDefault="00602AD9" w:rsidP="00602AD9">
      <w:pPr>
        <w:spacing w:after="0" w:line="240" w:lineRule="auto"/>
        <w:ind w:left="720" w:right="720"/>
        <w:jc w:val="both"/>
        <w:rPr>
          <w:color w:val="000000" w:themeColor="text1"/>
          <w:kern w:val="0"/>
          <w:szCs w:val="24"/>
          <w14:ligatures w14:val="none"/>
        </w:rPr>
      </w:pPr>
      <w:r w:rsidRPr="00602AD9">
        <w:rPr>
          <w:rFonts w:cs="Times New Roman"/>
          <w:b/>
          <w:bCs/>
          <w:caps/>
          <w:color w:val="000000" w:themeColor="text1"/>
          <w:kern w:val="0"/>
          <w:szCs w:val="24"/>
          <w14:ligatures w14:val="none"/>
        </w:rPr>
        <w:t xml:space="preserve">best practice </w:t>
      </w:r>
      <w:r w:rsidRPr="00602AD9">
        <w:rPr>
          <w:rFonts w:cs="Times New Roman"/>
          <w:b/>
          <w:bCs/>
          <w:color w:val="000000" w:themeColor="text1"/>
          <w:kern w:val="0"/>
          <w:szCs w:val="24"/>
          <w14:ligatures w14:val="none"/>
        </w:rPr>
        <w:t>MDL-§ 18(e):</w:t>
      </w:r>
      <w:r w:rsidRPr="00602AD9">
        <w:rPr>
          <w:color w:val="000000" w:themeColor="text1"/>
          <w:kern w:val="0"/>
          <w:szCs w:val="24"/>
          <w14:ligatures w14:val="none"/>
        </w:rPr>
        <w:t xml:space="preserve"> For purposes of resolving a final settlement, determining interests of successor entities, and other pivotal functions, the court should employ a more rigorous estimation methodology. </w:t>
      </w:r>
    </w:p>
    <w:p w14:paraId="0F11752C" w14:textId="77777777" w:rsidR="00602AD9" w:rsidRPr="00602AD9" w:rsidRDefault="00602AD9" w:rsidP="00602AD9">
      <w:pPr>
        <w:spacing w:after="0" w:line="240" w:lineRule="auto"/>
        <w:ind w:left="720" w:right="720"/>
        <w:jc w:val="both"/>
        <w:rPr>
          <w:rFonts w:cs="Times New Roman"/>
          <w:b/>
          <w:bCs/>
          <w:caps/>
          <w:color w:val="000000" w:themeColor="text1"/>
          <w:kern w:val="0"/>
          <w:szCs w:val="24"/>
          <w14:ligatures w14:val="none"/>
        </w:rPr>
      </w:pPr>
    </w:p>
    <w:p w14:paraId="2BC8D2AE"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 xml:space="preserve">The parties often fundamentally disagree over the validity and value of </w:t>
      </w:r>
      <w:proofErr w:type="gramStart"/>
      <w:r w:rsidRPr="00602AD9">
        <w:rPr>
          <w:rFonts w:cs="Times New Roman"/>
          <w:color w:val="000000" w:themeColor="text1"/>
          <w:kern w:val="0"/>
          <w:szCs w:val="24"/>
          <w14:ligatures w14:val="none"/>
        </w:rPr>
        <w:t>all</w:t>
      </w:r>
      <w:proofErr w:type="gramEnd"/>
      <w:r w:rsidRPr="00602AD9">
        <w:rPr>
          <w:rFonts w:cs="Times New Roman"/>
          <w:color w:val="000000" w:themeColor="text1"/>
          <w:kern w:val="0"/>
          <w:szCs w:val="24"/>
          <w14:ligatures w14:val="none"/>
        </w:rPr>
        <w:t xml:space="preserve"> or a large portion of the tort claims and are unable to negotiate procedures for disposing of such tort claims and arrive at a consensual plan of reorganization, always the preferred outcome.  In a mass-tort bankruptcy, negotiating a consensual reorganization plan usually hinges on the parties’ and court’s ability to properly value the aggregate amount of contingent or unliquidated tort claims.</w:t>
      </w:r>
      <w:r w:rsidRPr="00602AD9">
        <w:rPr>
          <w:color w:val="000000" w:themeColor="text1"/>
          <w:kern w:val="0"/>
          <w:szCs w:val="24"/>
          <w14:ligatures w14:val="none"/>
        </w:rPr>
        <w:t xml:space="preserve"> In </w:t>
      </w:r>
      <w:r w:rsidRPr="00602AD9">
        <w:rPr>
          <w:color w:val="000000" w:themeColor="text1"/>
          <w:kern w:val="0"/>
          <w:szCs w:val="24"/>
          <w14:ligatures w14:val="none"/>
        </w:rPr>
        <w:lastRenderedPageBreak/>
        <w:t>instances of negotiation deadlock, the court’s estimation of aggregate tort claims becomes essential not only for breaking the stalemate but also for providing the granular data necessary for comprehensive case management and final estate resolution.</w:t>
      </w:r>
      <w:r w:rsidRPr="00602AD9">
        <w:rPr>
          <w:rFonts w:cs="Times New Roman"/>
          <w:color w:val="000000" w:themeColor="text1"/>
          <w:kern w:val="0"/>
          <w:szCs w:val="24"/>
          <w:vertAlign w:val="superscript"/>
          <w14:ligatures w14:val="none"/>
        </w:rPr>
        <w:footnoteReference w:id="40"/>
      </w:r>
    </w:p>
    <w:p w14:paraId="524731CE"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color w:val="000000" w:themeColor="text1"/>
          <w:kern w:val="0"/>
          <w:szCs w:val="24"/>
          <w14:ligatures w14:val="none"/>
        </w:rPr>
        <w:t>Estimating contingent or unliquidated tort claims may require only a relatively simple methodology for voting purposes</w:t>
      </w:r>
      <w:r w:rsidRPr="00602AD9">
        <w:rPr>
          <w:rFonts w:cs="Times New Roman"/>
          <w:color w:val="000000" w:themeColor="text1"/>
          <w:kern w:val="0"/>
          <w:szCs w:val="24"/>
          <w14:ligatures w14:val="none"/>
        </w:rPr>
        <w:t xml:space="preserve">.  But </w:t>
      </w:r>
      <w:r w:rsidRPr="00602AD9">
        <w:rPr>
          <w:color w:val="000000" w:themeColor="text1"/>
          <w:kern w:val="0"/>
          <w:szCs w:val="24"/>
          <w14:ligatures w14:val="none"/>
        </w:rPr>
        <w:t xml:space="preserve">a more rigorous methodology </w:t>
      </w:r>
      <w:r w:rsidRPr="00602AD9">
        <w:rPr>
          <w:rFonts w:cs="Times New Roman"/>
          <w:color w:val="000000" w:themeColor="text1"/>
          <w:kern w:val="0"/>
          <w:szCs w:val="24"/>
          <w14:ligatures w14:val="none"/>
        </w:rPr>
        <w:t>is required when applied to settlements,</w:t>
      </w:r>
      <w:r w:rsidRPr="00602AD9">
        <w:rPr>
          <w:color w:val="000000" w:themeColor="text1"/>
          <w:kern w:val="0"/>
          <w:szCs w:val="24"/>
          <w14:ligatures w14:val="none"/>
        </w:rPr>
        <w:t xml:space="preserve"> the determination of successor-entity interests, or other similar </w:t>
      </w:r>
      <w:r w:rsidRPr="00602AD9">
        <w:rPr>
          <w:rFonts w:cs="Times New Roman"/>
          <w:color w:val="000000" w:themeColor="text1"/>
          <w:kern w:val="0"/>
          <w:szCs w:val="24"/>
          <w14:ligatures w14:val="none"/>
        </w:rPr>
        <w:t>outcome-</w:t>
      </w:r>
      <w:proofErr w:type="gramStart"/>
      <w:r w:rsidRPr="00602AD9">
        <w:rPr>
          <w:rFonts w:cs="Times New Roman"/>
          <w:color w:val="000000" w:themeColor="text1"/>
          <w:kern w:val="0"/>
          <w:szCs w:val="24"/>
          <w14:ligatures w14:val="none"/>
        </w:rPr>
        <w:t>determinative</w:t>
      </w:r>
      <w:proofErr w:type="gramEnd"/>
      <w:r w:rsidRPr="00602AD9">
        <w:rPr>
          <w:rFonts w:cs="Times New Roman"/>
          <w:color w:val="000000" w:themeColor="text1"/>
          <w:kern w:val="0"/>
          <w:szCs w:val="24"/>
          <w14:ligatures w14:val="none"/>
        </w:rPr>
        <w:t xml:space="preserve"> functions.</w:t>
      </w:r>
      <w:r w:rsidRPr="00602AD9">
        <w:rPr>
          <w:rFonts w:cs="Times New Roman"/>
          <w:color w:val="000000" w:themeColor="text1"/>
          <w:kern w:val="0"/>
          <w:szCs w:val="24"/>
          <w:vertAlign w:val="superscript"/>
          <w14:ligatures w14:val="none"/>
        </w:rPr>
        <w:footnoteReference w:id="41"/>
      </w:r>
      <w:r w:rsidRPr="00602AD9">
        <w:rPr>
          <w:rFonts w:cs="Times New Roman"/>
          <w:color w:val="000000" w:themeColor="text1"/>
          <w:kern w:val="0"/>
          <w:szCs w:val="24"/>
          <w14:ligatures w14:val="none"/>
        </w:rPr>
        <w:t xml:space="preserve">  </w:t>
      </w:r>
    </w:p>
    <w:p w14:paraId="104E8873"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No matter which estimation process the court chooses,</w:t>
      </w:r>
      <w:r w:rsidRPr="00602AD9">
        <w:rPr>
          <w:color w:val="000000" w:themeColor="text1"/>
          <w:kern w:val="0"/>
          <w:szCs w:val="24"/>
          <w:vertAlign w:val="superscript"/>
          <w14:ligatures w14:val="none"/>
        </w:rPr>
        <w:footnoteReference w:id="42"/>
      </w:r>
      <w:r w:rsidRPr="00602AD9">
        <w:rPr>
          <w:color w:val="000000" w:themeColor="text1"/>
          <w:kern w:val="0"/>
          <w:szCs w:val="24"/>
          <w14:ligatures w14:val="none"/>
        </w:rPr>
        <w:t xml:space="preserve"> a more rigorous estimation methodology would begin with baseline matrices, like those applied during the claim administration, that categorize comparable injuries and assign them mean values. For instance, claims administrators typically use an agreed-upon matrix to distribute compensation post-confirmation based on specific injury types and impairment levels. Even before these figures are finalized, they can often be utilized earlier  in the litigation to categorize injuries -- especially when supported by historical litigation data.</w:t>
      </w:r>
      <w:r w:rsidRPr="00602AD9">
        <w:rPr>
          <w:color w:val="000000" w:themeColor="text1"/>
          <w:kern w:val="0"/>
          <w:szCs w:val="24"/>
          <w:vertAlign w:val="superscript"/>
          <w14:ligatures w14:val="none"/>
        </w:rPr>
        <w:footnoteReference w:id="43"/>
      </w:r>
      <w:r w:rsidRPr="00602AD9">
        <w:rPr>
          <w:color w:val="000000" w:themeColor="text1"/>
          <w:kern w:val="0"/>
          <w:szCs w:val="24"/>
          <w14:ligatures w14:val="none"/>
        </w:rPr>
        <w:t xml:space="preserve"> Furthermore, emerging AI technologies can rapidly and efficiently analyze data collected during the bankruptcy to streamline these classifications for voting purposes.</w:t>
      </w:r>
      <w:r w:rsidRPr="00602AD9">
        <w:rPr>
          <w:color w:val="000000" w:themeColor="text1"/>
          <w:kern w:val="0"/>
          <w:szCs w:val="24"/>
          <w:vertAlign w:val="superscript"/>
          <w14:ligatures w14:val="none"/>
        </w:rPr>
        <w:footnoteReference w:id="44"/>
      </w:r>
      <w:r w:rsidRPr="00602AD9">
        <w:rPr>
          <w:color w:val="000000" w:themeColor="text1"/>
          <w:kern w:val="0"/>
          <w:szCs w:val="24"/>
          <w14:ligatures w14:val="none"/>
        </w:rPr>
        <w:t xml:space="preserve"> In addition, mass-tort settlement calculators are now available that apply </w:t>
      </w:r>
      <w:r w:rsidRPr="00602AD9">
        <w:rPr>
          <w:color w:val="000000" w:themeColor="text1"/>
          <w:kern w:val="0"/>
          <w:szCs w:val="24"/>
          <w14:ligatures w14:val="none"/>
        </w:rPr>
        <w:lastRenderedPageBreak/>
        <w:t>selected data inputs to provide estimated settlement ranges for individual claims to help attorneys make informed strategic decisions, which can be readily adapted for -classification purposes.</w:t>
      </w:r>
      <w:r w:rsidRPr="00602AD9">
        <w:rPr>
          <w:color w:val="000000" w:themeColor="text1"/>
          <w:kern w:val="0"/>
          <w:szCs w:val="24"/>
          <w:vertAlign w:val="superscript"/>
          <w14:ligatures w14:val="none"/>
        </w:rPr>
        <w:footnoteReference w:id="45"/>
      </w:r>
      <w:r w:rsidRPr="00602AD9">
        <w:rPr>
          <w:color w:val="000000" w:themeColor="text1"/>
          <w:kern w:val="0"/>
          <w:szCs w:val="24"/>
          <w14:ligatures w14:val="none"/>
        </w:rPr>
        <w:t xml:space="preserve"> </w:t>
      </w:r>
    </w:p>
    <w:p w14:paraId="2FD56ABC"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color w:val="000000" w:themeColor="text1"/>
          <w:kern w:val="0"/>
          <w:szCs w:val="24"/>
          <w14:ligatures w14:val="none"/>
        </w:rPr>
        <w:t>But to ensure greater accuracy, the court must evaluate how to integrate variables such as injury severity, impairment levels, and the probability of litigation success or outcome-determinative defenses. The necessity and depth of this analysis will depend on whether the results are intended for final settlement, the identification of successor interests, or other critical judicial functions.</w:t>
      </w:r>
    </w:p>
    <w:p w14:paraId="296C88A9"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color w:val="000000" w:themeColor="text1"/>
          <w:kern w:val="0"/>
          <w:szCs w:val="24"/>
          <w14:ligatures w14:val="none"/>
        </w:rPr>
        <w:t>To establish a starting point, the court should estimate the amounts of tort claims in a way that reflects typical tort-system outcomes, considering the various elements that drive value on both a macro and micro scale.</w:t>
      </w:r>
      <w:r w:rsidRPr="00602AD9">
        <w:rPr>
          <w:rFonts w:cs="Times New Roman"/>
          <w:color w:val="000000" w:themeColor="text1"/>
          <w:kern w:val="0"/>
          <w:szCs w:val="24"/>
          <w:vertAlign w:val="superscript"/>
          <w14:ligatures w14:val="none"/>
        </w:rPr>
        <w:footnoteReference w:id="46"/>
      </w:r>
      <w:r w:rsidRPr="00602AD9">
        <w:rPr>
          <w:rFonts w:cs="Times New Roman"/>
          <w:color w:val="000000" w:themeColor="text1"/>
          <w:kern w:val="0"/>
          <w:szCs w:val="24"/>
          <w14:ligatures w14:val="none"/>
        </w:rPr>
        <w:t xml:space="preserve"> This may be necessary to ensure that procedures used to dispose of tort claims after the confirmation of the plan will value such tort claims in a manner consistent with how they would have been handled under the tort system, including voluntary settlements and judgments.</w:t>
      </w:r>
      <w:r w:rsidRPr="00602AD9">
        <w:rPr>
          <w:rFonts w:cs="Times New Roman"/>
          <w:color w:val="000000" w:themeColor="text1"/>
          <w:kern w:val="0"/>
          <w:szCs w:val="24"/>
          <w:vertAlign w:val="superscript"/>
          <w14:ligatures w14:val="none"/>
        </w:rPr>
        <w:footnoteReference w:id="47"/>
      </w:r>
    </w:p>
    <w:p w14:paraId="43C3977B"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color w:val="000000" w:themeColor="text1"/>
          <w:kern w:val="0"/>
          <w:szCs w:val="24"/>
          <w14:ligatures w14:val="none"/>
        </w:rPr>
        <w:lastRenderedPageBreak/>
        <w:t>The court’s methodology must factor in claim strength and the likelihood of success.</w:t>
      </w:r>
      <w:r w:rsidRPr="00602AD9">
        <w:rPr>
          <w:rFonts w:cs="Times New Roman"/>
          <w:color w:val="000000" w:themeColor="text1"/>
          <w:kern w:val="0"/>
          <w:szCs w:val="24"/>
          <w:vertAlign w:val="superscript"/>
          <w14:ligatures w14:val="none"/>
        </w:rPr>
        <w:t xml:space="preserve"> </w:t>
      </w:r>
      <w:r w:rsidRPr="00602AD9">
        <w:rPr>
          <w:rFonts w:cs="Times New Roman"/>
          <w:color w:val="000000" w:themeColor="text1"/>
          <w:kern w:val="0"/>
          <w:szCs w:val="24"/>
          <w:vertAlign w:val="superscript"/>
          <w14:ligatures w14:val="none"/>
        </w:rPr>
        <w:footnoteReference w:id="48"/>
      </w:r>
      <w:r w:rsidRPr="00602AD9">
        <w:rPr>
          <w:color w:val="000000" w:themeColor="text1"/>
          <w:kern w:val="0"/>
          <w:szCs w:val="24"/>
          <w14:ligatures w14:val="none"/>
        </w:rPr>
        <w:t xml:space="preserve"> Because category valuations are based on trial probability, the estimation should explicitly account for challenges to claim validity.</w:t>
      </w:r>
      <w:r w:rsidRPr="00602AD9">
        <w:rPr>
          <w:rFonts w:cs="Times New Roman"/>
          <w:color w:val="000000" w:themeColor="text1"/>
          <w:kern w:val="0"/>
          <w:szCs w:val="24"/>
          <w:vertAlign w:val="superscript"/>
          <w14:ligatures w14:val="none"/>
        </w:rPr>
        <w:t xml:space="preserve"> </w:t>
      </w:r>
      <w:r w:rsidRPr="00602AD9">
        <w:rPr>
          <w:rFonts w:cs="Times New Roman"/>
          <w:color w:val="000000" w:themeColor="text1"/>
          <w:kern w:val="0"/>
          <w:szCs w:val="24"/>
          <w:vertAlign w:val="superscript"/>
          <w14:ligatures w14:val="none"/>
        </w:rPr>
        <w:footnoteReference w:id="49"/>
      </w:r>
    </w:p>
    <w:p w14:paraId="41972C97" w14:textId="77777777" w:rsidR="00602AD9" w:rsidRPr="00602AD9" w:rsidRDefault="00602AD9" w:rsidP="00602AD9">
      <w:pPr>
        <w:spacing w:after="0" w:line="360" w:lineRule="auto"/>
        <w:ind w:firstLine="720"/>
        <w:jc w:val="both"/>
        <w:rPr>
          <w:color w:val="000000" w:themeColor="text1"/>
          <w:kern w:val="0"/>
          <w:szCs w:val="24"/>
          <w14:ligatures w14:val="none"/>
        </w:rPr>
      </w:pPr>
      <w:r w:rsidRPr="00602AD9">
        <w:rPr>
          <w:rFonts w:cs="Times New Roman"/>
          <w:color w:val="000000" w:themeColor="text1"/>
          <w:kern w:val="0"/>
          <w:szCs w:val="24"/>
          <w14:ligatures w14:val="none"/>
        </w:rPr>
        <w:t>In most mass-tort bankruptcies, it will be more appropriate to limit consideration of the actual validity of claims in the judicial-estimation process to calculating an appropriate probability of success, rather than ruling dispositively on matters that affect all the claims.</w:t>
      </w:r>
      <w:r w:rsidRPr="00602AD9">
        <w:rPr>
          <w:rFonts w:cs="Times New Roman"/>
          <w:color w:val="000000" w:themeColor="text1"/>
          <w:kern w:val="0"/>
          <w:szCs w:val="24"/>
          <w:vertAlign w:val="superscript"/>
          <w14:ligatures w14:val="none"/>
        </w:rPr>
        <w:footnoteReference w:id="50"/>
      </w:r>
      <w:r w:rsidRPr="00602AD9">
        <w:rPr>
          <w:rFonts w:cs="Times New Roman"/>
          <w:color w:val="000000" w:themeColor="text1"/>
          <w:kern w:val="0"/>
          <w:szCs w:val="24"/>
          <w14:ligatures w14:val="none"/>
        </w:rPr>
        <w:t xml:space="preserve">  </w:t>
      </w:r>
      <w:r w:rsidRPr="00602AD9">
        <w:rPr>
          <w:color w:val="000000" w:themeColor="text1"/>
          <w:kern w:val="0"/>
          <w:szCs w:val="24"/>
          <w14:ligatures w14:val="none"/>
        </w:rPr>
        <w:t>A court is on firm legal footing when it restricts estimation to evaluating the likelihood of a defense prevailing, whether that chance is 0% or 100%. But the presiding judge may still need to rule on dispositive defenses for large claim groups as an integral part of the allowance process.</w:t>
      </w:r>
    </w:p>
    <w:p w14:paraId="5F966DB4"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Consideration of such objections and defenses may raise questions about the bankruptcy judge’s authority to rule on these matters.</w:t>
      </w:r>
      <w:r w:rsidRPr="00602AD9">
        <w:rPr>
          <w:rFonts w:cs="Times New Roman"/>
          <w:color w:val="000000" w:themeColor="text1"/>
          <w:kern w:val="0"/>
          <w:szCs w:val="24"/>
          <w:vertAlign w:val="superscript"/>
          <w14:ligatures w14:val="none"/>
        </w:rPr>
        <w:footnoteReference w:id="51"/>
      </w:r>
      <w:r w:rsidRPr="00602AD9">
        <w:rPr>
          <w:rFonts w:cs="Times New Roman"/>
          <w:color w:val="000000" w:themeColor="text1"/>
          <w:kern w:val="0"/>
          <w:szCs w:val="24"/>
          <w14:ligatures w14:val="none"/>
        </w:rPr>
        <w:t xml:space="preserve"> The governing statutory provisions exclude from the list of core matters “the liquidation or estimation of contingent or unliquidated personal injury tort </w:t>
      </w:r>
      <w:r w:rsidRPr="00602AD9">
        <w:rPr>
          <w:rFonts w:cs="Times New Roman"/>
          <w:color w:val="000000" w:themeColor="text1"/>
          <w:kern w:val="0"/>
          <w:szCs w:val="24"/>
          <w14:ligatures w14:val="none"/>
        </w:rPr>
        <w:lastRenderedPageBreak/>
        <w:t>or wrongful death claims against the estate for purposes of distribution in a case under Chapter 11.”</w:t>
      </w:r>
      <w:r w:rsidRPr="00602AD9">
        <w:rPr>
          <w:rFonts w:cs="Times New Roman"/>
          <w:color w:val="000000" w:themeColor="text1"/>
          <w:kern w:val="0"/>
          <w:szCs w:val="24"/>
          <w:vertAlign w:val="superscript"/>
          <w14:ligatures w14:val="none"/>
        </w:rPr>
        <w:footnoteReference w:id="52"/>
      </w:r>
      <w:r w:rsidRPr="00602AD9">
        <w:rPr>
          <w:rFonts w:cs="Times New Roman"/>
          <w:color w:val="000000" w:themeColor="text1"/>
          <w:kern w:val="0"/>
          <w:szCs w:val="24"/>
          <w14:ligatures w14:val="none"/>
        </w:rPr>
        <w:t xml:space="preserve">  The determination of individual claim values for distribution is decided at post-confirmation proceedings involving a claim-distribution trust. Courts have generally denied attempts to challenge the validity of large numbers of tort claims based on defenses that the debtor asserts.</w:t>
      </w:r>
      <w:r w:rsidRPr="00602AD9">
        <w:rPr>
          <w:rFonts w:cs="Times New Roman"/>
          <w:color w:val="000000" w:themeColor="text1"/>
          <w:kern w:val="0"/>
          <w:szCs w:val="24"/>
          <w:vertAlign w:val="superscript"/>
          <w14:ligatures w14:val="none"/>
        </w:rPr>
        <w:footnoteReference w:id="53"/>
      </w:r>
      <w:r w:rsidRPr="00602AD9">
        <w:rPr>
          <w:rFonts w:cs="Times New Roman"/>
          <w:color w:val="000000" w:themeColor="text1"/>
          <w:kern w:val="0"/>
          <w:szCs w:val="24"/>
          <w14:ligatures w14:val="none"/>
        </w:rPr>
        <w:t xml:space="preserve"> Nonetheless, courts have agreed “that these statutory restrictions do not prevent a bankruptcy judge from estimating the value of tort claims.”</w:t>
      </w:r>
      <w:r w:rsidRPr="00602AD9">
        <w:rPr>
          <w:rFonts w:cs="Times New Roman"/>
          <w:color w:val="000000" w:themeColor="text1"/>
          <w:kern w:val="0"/>
          <w:szCs w:val="24"/>
          <w:vertAlign w:val="superscript"/>
          <w14:ligatures w14:val="none"/>
        </w:rPr>
        <w:footnoteReference w:id="54"/>
      </w:r>
      <w:r w:rsidRPr="00602AD9">
        <w:rPr>
          <w:rFonts w:cs="Times New Roman"/>
          <w:color w:val="000000" w:themeColor="text1"/>
          <w:kern w:val="0"/>
          <w:szCs w:val="24"/>
          <w14:ligatures w14:val="none"/>
        </w:rPr>
        <w:t xml:space="preserve">  </w:t>
      </w:r>
    </w:p>
    <w:p w14:paraId="28FB6BDB"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 xml:space="preserve">The parties’ right to raise dispositive defenses will still be honored, but on an </w:t>
      </w:r>
      <w:proofErr w:type="gramStart"/>
      <w:r w:rsidRPr="00602AD9">
        <w:rPr>
          <w:rFonts w:cs="Times New Roman"/>
          <w:color w:val="000000" w:themeColor="text1"/>
          <w:kern w:val="0"/>
          <w:szCs w:val="24"/>
          <w14:ligatures w14:val="none"/>
        </w:rPr>
        <w:t>individual-case</w:t>
      </w:r>
      <w:proofErr w:type="gramEnd"/>
      <w:r w:rsidRPr="00602AD9">
        <w:rPr>
          <w:rFonts w:cs="Times New Roman"/>
          <w:color w:val="000000" w:themeColor="text1"/>
          <w:kern w:val="0"/>
          <w:szCs w:val="24"/>
          <w14:ligatures w14:val="none"/>
        </w:rPr>
        <w:t xml:space="preserve"> basis. Such an approach is consistent with the limited purpose of judicial estimation, which is not intended to determine liability or the amount of distribution. It is also consistent with the provisional nature of judicial estimation, which is subject to approval by the claimants.</w:t>
      </w:r>
      <w:r w:rsidRPr="00602AD9">
        <w:rPr>
          <w:rFonts w:cs="Times New Roman"/>
          <w:color w:val="000000" w:themeColor="text1"/>
          <w:kern w:val="0"/>
          <w:szCs w:val="24"/>
          <w:vertAlign w:val="superscript"/>
          <w14:ligatures w14:val="none"/>
        </w:rPr>
        <w:footnoteReference w:id="55"/>
      </w:r>
    </w:p>
    <w:p w14:paraId="506585C0"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bookmarkStart w:id="3" w:name="_Hlk144624650"/>
      <w:r w:rsidRPr="00602AD9">
        <w:rPr>
          <w:rFonts w:cs="Times New Roman"/>
          <w:b/>
          <w:bCs/>
          <w:color w:val="000000" w:themeColor="text1"/>
          <w:kern w:val="0"/>
          <w:szCs w:val="24"/>
          <w14:ligatures w14:val="none"/>
        </w:rPr>
        <w:t>Best Practice MDL-§ 18(e)(</w:t>
      </w:r>
      <w:proofErr w:type="spellStart"/>
      <w:r w:rsidRPr="00602AD9">
        <w:rPr>
          <w:rFonts w:cs="Times New Roman"/>
          <w:b/>
          <w:bCs/>
          <w:color w:val="000000" w:themeColor="text1"/>
          <w:kern w:val="0"/>
          <w:szCs w:val="24"/>
          <w14:ligatures w14:val="none"/>
        </w:rPr>
        <w:t>i</w:t>
      </w:r>
      <w:proofErr w:type="spellEnd"/>
      <w:r w:rsidRPr="00602AD9">
        <w:rPr>
          <w:rFonts w:cs="Times New Roman"/>
          <w:b/>
          <w:bCs/>
          <w:color w:val="000000" w:themeColor="text1"/>
          <w:kern w:val="0"/>
          <w:szCs w:val="24"/>
          <w14:ligatures w14:val="none"/>
        </w:rPr>
        <w:t>):</w:t>
      </w:r>
      <w:r w:rsidRPr="00602AD9">
        <w:rPr>
          <w:b/>
          <w:bCs/>
          <w:color w:val="000000" w:themeColor="text1"/>
          <w:kern w:val="0"/>
          <w:szCs w:val="24"/>
          <w14:ligatures w14:val="none"/>
        </w:rPr>
        <w:t xml:space="preserve"> </w:t>
      </w:r>
      <w:r w:rsidRPr="00602AD9">
        <w:rPr>
          <w:rFonts w:cs="Times New Roman"/>
          <w:color w:val="000000" w:themeColor="text1"/>
          <w:kern w:val="0"/>
          <w:szCs w:val="24"/>
          <w14:ligatures w14:val="none"/>
        </w:rPr>
        <w:t xml:space="preserve">The judge </w:t>
      </w:r>
      <w:bookmarkEnd w:id="3"/>
      <w:r w:rsidRPr="00602AD9">
        <w:rPr>
          <w:rFonts w:cs="Times New Roman"/>
          <w:color w:val="000000" w:themeColor="text1"/>
          <w:kern w:val="0"/>
          <w:szCs w:val="24"/>
          <w14:ligatures w14:val="none"/>
        </w:rPr>
        <w:t xml:space="preserve">should consider appointing an expert under Fed. R. Evid. 706 to recommend estimates of the amounts of the tort claims.  </w:t>
      </w:r>
    </w:p>
    <w:p w14:paraId="61C904BE"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p>
    <w:p w14:paraId="77C7DFBC"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 xml:space="preserve">A judicial estimation of the aggregate value of thousands of tort claims is made </w:t>
      </w:r>
      <w:proofErr w:type="gramStart"/>
      <w:r w:rsidRPr="00602AD9">
        <w:rPr>
          <w:rFonts w:cs="Times New Roman"/>
          <w:color w:val="000000" w:themeColor="text1"/>
          <w:kern w:val="0"/>
          <w:szCs w:val="24"/>
          <w14:ligatures w14:val="none"/>
        </w:rPr>
        <w:t>all the more</w:t>
      </w:r>
      <w:proofErr w:type="gramEnd"/>
      <w:r w:rsidRPr="00602AD9">
        <w:rPr>
          <w:rFonts w:cs="Times New Roman"/>
          <w:color w:val="000000" w:themeColor="text1"/>
          <w:kern w:val="0"/>
          <w:szCs w:val="24"/>
          <w14:ligatures w14:val="none"/>
        </w:rPr>
        <w:t xml:space="preserve"> difficult when the parties’ respective experts, though highly competent, give widely disparate opinions on the value of the tort claims.  The assistance of an impartial court-appointed expert may provide a neutral view that will assist the judge evaluate the proposed estimates as well as facilitate discussions with parties on achieving a consensus. </w:t>
      </w:r>
    </w:p>
    <w:p w14:paraId="49DF3305"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lastRenderedPageBreak/>
        <w:t>Under these circumstances, the court may consider appointing an independent expert under Rule 706.</w:t>
      </w:r>
      <w:r w:rsidRPr="00602AD9">
        <w:rPr>
          <w:rFonts w:cs="Times New Roman"/>
          <w:color w:val="000000" w:themeColor="text1"/>
          <w:kern w:val="0"/>
          <w:szCs w:val="24"/>
          <w:vertAlign w:val="superscript"/>
          <w14:ligatures w14:val="none"/>
        </w:rPr>
        <w:t xml:space="preserve"> </w:t>
      </w:r>
      <w:r w:rsidRPr="00602AD9">
        <w:rPr>
          <w:rFonts w:cs="Times New Roman"/>
          <w:color w:val="000000" w:themeColor="text1"/>
          <w:kern w:val="0"/>
          <w:szCs w:val="24"/>
          <w:vertAlign w:val="superscript"/>
          <w14:ligatures w14:val="none"/>
        </w:rPr>
        <w:footnoteReference w:id="56"/>
      </w:r>
      <w:r w:rsidRPr="00602AD9">
        <w:rPr>
          <w:rFonts w:cs="Times New Roman"/>
          <w:color w:val="000000" w:themeColor="text1"/>
          <w:kern w:val="0"/>
          <w:szCs w:val="24"/>
          <w14:ligatures w14:val="none"/>
        </w:rPr>
        <w:t xml:space="preserve">  The judge should also consider appointing a mediator to work in tandem with the Rule 706 expert and the parties to “create a climate in which a negotiated resolution is more likely, or the range of expert views is narrowed.”</w:t>
      </w:r>
      <w:r w:rsidRPr="00602AD9">
        <w:rPr>
          <w:rFonts w:cs="Times New Roman"/>
          <w:color w:val="000000" w:themeColor="text1"/>
          <w:kern w:val="0"/>
          <w:szCs w:val="24"/>
          <w:vertAlign w:val="superscript"/>
          <w14:ligatures w14:val="none"/>
        </w:rPr>
        <w:footnoteReference w:id="57"/>
      </w:r>
      <w:r w:rsidRPr="00602AD9">
        <w:rPr>
          <w:rFonts w:cs="Times New Roman"/>
          <w:color w:val="000000" w:themeColor="text1"/>
          <w:kern w:val="0"/>
          <w:szCs w:val="24"/>
          <w14:ligatures w14:val="none"/>
        </w:rPr>
        <w:t xml:space="preserve">  The judicial estimation may require evaluation of substantive law, which may be better addressed by a skilled mediator, rather than a statistician expert in evaluating historical data.  Working together, the mediator and the expert can better inform the judge and the entire judicial-estimation process.</w:t>
      </w:r>
    </w:p>
    <w:p w14:paraId="12B52D3F"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The expense incurred in compensating a court-appointed expert as well as additional experts hired to collect and analyze the data is substantial.</w:t>
      </w:r>
      <w:r w:rsidRPr="00602AD9">
        <w:rPr>
          <w:rFonts w:cs="Times New Roman"/>
          <w:color w:val="000000" w:themeColor="text1"/>
          <w:kern w:val="0"/>
          <w:szCs w:val="24"/>
          <w:vertAlign w:val="superscript"/>
          <w14:ligatures w14:val="none"/>
        </w:rPr>
        <w:footnoteReference w:id="58"/>
      </w:r>
      <w:r w:rsidRPr="00602AD9">
        <w:rPr>
          <w:rFonts w:cs="Times New Roman"/>
          <w:color w:val="000000" w:themeColor="text1"/>
          <w:kern w:val="0"/>
          <w:szCs w:val="24"/>
          <w14:ligatures w14:val="none"/>
        </w:rPr>
        <w:t xml:space="preserve"> The court should direct the parties to cooperate with the Rule 706 expert and provide relevant information on request to ensure the process remains cost-effective.  The court-appointed expert is subject to being deposed by any party and cross-examination at the evidentiary hearing under Rule 706.</w:t>
      </w:r>
    </w:p>
    <w:p w14:paraId="4B9588FA"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color w:val="000000" w:themeColor="text1"/>
          <w:kern w:val="0"/>
          <w:szCs w:val="24"/>
          <w14:ligatures w14:val="none"/>
        </w:rPr>
        <w:t xml:space="preserve">The parties may already have significant claimant information and discovery results from the earlier MDL, reducing the need for new investigations. </w:t>
      </w:r>
      <w:r w:rsidRPr="00602AD9">
        <w:rPr>
          <w:rFonts w:cs="Times New Roman"/>
          <w:color w:val="000000" w:themeColor="text1"/>
          <w:kern w:val="0"/>
          <w:szCs w:val="24"/>
          <w14:ligatures w14:val="none"/>
        </w:rPr>
        <w:t>Highly competent experts are often hired at heavy expense early in the MDL litigation to provide comprehensive metrics distinguishing claims based on the severity of injury and estimate the value of tort claims as a basis for distinguishing high and low claims.  The parties’ experts typically have produced extensive and comprehensive data, though they are often at odds with each other.</w:t>
      </w:r>
      <w:r w:rsidRPr="00602AD9">
        <w:rPr>
          <w:rFonts w:cs="Times New Roman"/>
          <w:color w:val="000000" w:themeColor="text1"/>
          <w:kern w:val="0"/>
          <w:szCs w:val="24"/>
          <w:vertAlign w:val="superscript"/>
          <w14:ligatures w14:val="none"/>
        </w:rPr>
        <w:footnoteReference w:id="59"/>
      </w:r>
      <w:r w:rsidRPr="00602AD9">
        <w:rPr>
          <w:rFonts w:cs="Times New Roman"/>
          <w:color w:val="000000" w:themeColor="text1"/>
          <w:kern w:val="0"/>
          <w:szCs w:val="24"/>
          <w14:ligatures w14:val="none"/>
        </w:rPr>
        <w:t xml:space="preserve">  </w:t>
      </w:r>
    </w:p>
    <w:p w14:paraId="42B4B669"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lastRenderedPageBreak/>
        <w:t xml:space="preserve">Sharing some or </w:t>
      </w:r>
      <w:proofErr w:type="gramStart"/>
      <w:r w:rsidRPr="00602AD9">
        <w:rPr>
          <w:rFonts w:cs="Times New Roman"/>
          <w:color w:val="000000" w:themeColor="text1"/>
          <w:kern w:val="0"/>
          <w:szCs w:val="24"/>
          <w14:ligatures w14:val="none"/>
        </w:rPr>
        <w:t>all of</w:t>
      </w:r>
      <w:proofErr w:type="gramEnd"/>
      <w:r w:rsidRPr="00602AD9">
        <w:rPr>
          <w:rFonts w:cs="Times New Roman"/>
          <w:color w:val="000000" w:themeColor="text1"/>
          <w:kern w:val="0"/>
          <w:szCs w:val="24"/>
          <w14:ligatures w14:val="none"/>
        </w:rPr>
        <w:t xml:space="preserve"> the earlier work on estimating the value of the tort claims with the court-appointed expert at the outset would save cost and reduce the time the expert would otherwise expend if starting from scratch. Perhaps more importantly the sharing of information and ongoing discussions between the expert and the parties could enhance the possibility of a negotiated solution, as the strengths and weaknesses of each side are exposed.</w:t>
      </w:r>
    </w:p>
    <w:p w14:paraId="29C6C0F3"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 xml:space="preserve">If there is pending or likely litigation challenging the validity of </w:t>
      </w:r>
      <w:proofErr w:type="gramStart"/>
      <w:r w:rsidRPr="00602AD9">
        <w:rPr>
          <w:rFonts w:cs="Times New Roman"/>
          <w:color w:val="000000" w:themeColor="text1"/>
          <w:kern w:val="0"/>
          <w:szCs w:val="24"/>
          <w14:ligatures w14:val="none"/>
        </w:rPr>
        <w:t>the bankruptcy</w:t>
      </w:r>
      <w:proofErr w:type="gramEnd"/>
      <w:r w:rsidRPr="00602AD9">
        <w:rPr>
          <w:rFonts w:cs="Times New Roman"/>
          <w:color w:val="000000" w:themeColor="text1"/>
          <w:kern w:val="0"/>
          <w:szCs w:val="24"/>
          <w14:ligatures w14:val="none"/>
        </w:rPr>
        <w:t xml:space="preserve"> itself, which may result in the litigation returning to the MDL court, the judge should consider entering a protective order ensuring the confidentiality of the transmitted materials along the lines of Fed. R. Evid. 408(a)(2).</w:t>
      </w:r>
      <w:r w:rsidRPr="00602AD9">
        <w:rPr>
          <w:rFonts w:cs="Times New Roman"/>
          <w:color w:val="000000" w:themeColor="text1"/>
          <w:kern w:val="0"/>
          <w:szCs w:val="24"/>
          <w:vertAlign w:val="superscript"/>
          <w14:ligatures w14:val="none"/>
        </w:rPr>
        <w:footnoteReference w:id="60"/>
      </w:r>
    </w:p>
    <w:p w14:paraId="48E4E5D8" w14:textId="77777777" w:rsidR="00602AD9" w:rsidRPr="00602AD9" w:rsidRDefault="00602AD9" w:rsidP="00602AD9">
      <w:pPr>
        <w:spacing w:after="0" w:line="240" w:lineRule="auto"/>
        <w:ind w:left="720" w:right="720"/>
        <w:jc w:val="both"/>
        <w:rPr>
          <w:rFonts w:cs="Times New Roman"/>
          <w:b/>
          <w:bCs/>
          <w:caps/>
          <w:color w:val="000000" w:themeColor="text1"/>
          <w:kern w:val="0"/>
          <w:szCs w:val="24"/>
          <w14:ligatures w14:val="none"/>
        </w:rPr>
      </w:pPr>
    </w:p>
    <w:p w14:paraId="105278D2"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r w:rsidRPr="00602AD9">
        <w:rPr>
          <w:rFonts w:cs="Times New Roman"/>
          <w:b/>
          <w:bCs/>
          <w:caps/>
          <w:color w:val="000000" w:themeColor="text1"/>
          <w:kern w:val="0"/>
          <w:szCs w:val="24"/>
          <w14:ligatures w14:val="none"/>
        </w:rPr>
        <w:t xml:space="preserve">best practice </w:t>
      </w:r>
      <w:r w:rsidRPr="00602AD9">
        <w:rPr>
          <w:rFonts w:cs="Times New Roman"/>
          <w:b/>
          <w:bCs/>
          <w:color w:val="000000" w:themeColor="text1"/>
          <w:kern w:val="0"/>
          <w:szCs w:val="24"/>
          <w14:ligatures w14:val="none"/>
        </w:rPr>
        <w:t>MDL-§ 18(e)(ii):</w:t>
      </w:r>
      <w:r w:rsidRPr="00602AD9">
        <w:rPr>
          <w:b/>
          <w:bCs/>
          <w:color w:val="000000" w:themeColor="text1"/>
          <w:kern w:val="0"/>
          <w:szCs w:val="24"/>
          <w14:ligatures w14:val="none"/>
        </w:rPr>
        <w:t xml:space="preserve"> </w:t>
      </w:r>
      <w:r w:rsidRPr="00602AD9">
        <w:rPr>
          <w:color w:val="000000" w:themeColor="text1"/>
          <w:kern w:val="0"/>
          <w:szCs w:val="24"/>
          <w14:ligatures w14:val="none"/>
        </w:rPr>
        <w:t>The</w:t>
      </w:r>
      <w:r w:rsidRPr="00602AD9">
        <w:rPr>
          <w:b/>
          <w:bCs/>
          <w:color w:val="000000" w:themeColor="text1"/>
          <w:kern w:val="0"/>
          <w:szCs w:val="24"/>
          <w14:ligatures w14:val="none"/>
        </w:rPr>
        <w:t xml:space="preserve"> </w:t>
      </w:r>
      <w:r w:rsidRPr="00602AD9">
        <w:rPr>
          <w:rFonts w:cs="Times New Roman"/>
          <w:color w:val="000000" w:themeColor="text1"/>
          <w:kern w:val="0"/>
          <w:szCs w:val="24"/>
          <w14:ligatures w14:val="none"/>
        </w:rPr>
        <w:t xml:space="preserve">judge should consider holding an evidentiary hearing to review the Rule 706 expert’s recommendations estimating the amounts of the tort claims as part of this rigorous methodology.  </w:t>
      </w:r>
    </w:p>
    <w:p w14:paraId="46F1D29A"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p>
    <w:p w14:paraId="46292E45"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color w:val="000000" w:themeColor="text1"/>
          <w:kern w:val="0"/>
          <w:szCs w:val="24"/>
          <w14:ligatures w14:val="none"/>
        </w:rPr>
        <w:t xml:space="preserve">The court </w:t>
      </w:r>
      <w:r w:rsidRPr="00602AD9">
        <w:rPr>
          <w:rFonts w:cs="Times New Roman"/>
          <w:color w:val="000000" w:themeColor="text1"/>
          <w:kern w:val="0"/>
          <w:szCs w:val="24"/>
          <w14:ligatures w14:val="none"/>
        </w:rPr>
        <w:t xml:space="preserve">should consult with the parties and schedule an evidentiary hearing to estimate the amounts of the tort claims. In a typical lawsuit involving divergent testimony from highly competent experts, the findings of a neutral impartial authority can have a salutary effect on bringing the parties closer to a negotiated settlement. Similarly, in a mass-tort bankruptcy, the findings of a judge on the estimation of the amounts of the contingent and unliquidated tort claims can provide the debtor and </w:t>
      </w:r>
      <w:proofErr w:type="gramStart"/>
      <w:r w:rsidRPr="00602AD9">
        <w:rPr>
          <w:rFonts w:cs="Times New Roman"/>
          <w:color w:val="000000" w:themeColor="text1"/>
          <w:kern w:val="0"/>
          <w:szCs w:val="24"/>
          <w14:ligatures w14:val="none"/>
        </w:rPr>
        <w:t>creditors</w:t>
      </w:r>
      <w:proofErr w:type="gramEnd"/>
      <w:r w:rsidRPr="00602AD9">
        <w:rPr>
          <w:rFonts w:cs="Times New Roman"/>
          <w:color w:val="000000" w:themeColor="text1"/>
          <w:kern w:val="0"/>
          <w:szCs w:val="24"/>
          <w14:ligatures w14:val="none"/>
        </w:rPr>
        <w:t xml:space="preserve"> an impartial neutral assessment that can facilitate a negotiated outcome.</w:t>
      </w:r>
      <w:r w:rsidRPr="00602AD9">
        <w:rPr>
          <w:rFonts w:cs="Times New Roman"/>
          <w:color w:val="000000" w:themeColor="text1"/>
          <w:kern w:val="0"/>
          <w:szCs w:val="24"/>
          <w:vertAlign w:val="superscript"/>
          <w14:ligatures w14:val="none"/>
        </w:rPr>
        <w:footnoteReference w:id="61"/>
      </w:r>
      <w:r w:rsidRPr="00602AD9">
        <w:rPr>
          <w:rFonts w:cs="Times New Roman"/>
          <w:color w:val="000000" w:themeColor="text1"/>
          <w:kern w:val="0"/>
          <w:szCs w:val="24"/>
          <w14:ligatures w14:val="none"/>
        </w:rPr>
        <w:t xml:space="preserve">  </w:t>
      </w:r>
    </w:p>
    <w:p w14:paraId="34E0DC1E"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proofErr w:type="gramStart"/>
      <w:r w:rsidRPr="00602AD9">
        <w:rPr>
          <w:rFonts w:cs="Times New Roman"/>
          <w:color w:val="000000" w:themeColor="text1"/>
          <w:kern w:val="0"/>
          <w:szCs w:val="24"/>
          <w14:ligatures w14:val="none"/>
        </w:rPr>
        <w:t>A majority of</w:t>
      </w:r>
      <w:proofErr w:type="gramEnd"/>
      <w:r w:rsidRPr="00602AD9">
        <w:rPr>
          <w:rFonts w:cs="Times New Roman"/>
          <w:color w:val="000000" w:themeColor="text1"/>
          <w:kern w:val="0"/>
          <w:szCs w:val="24"/>
          <w14:ligatures w14:val="none"/>
        </w:rPr>
        <w:t xml:space="preserve"> the tort claimants can reject a proposed reorganization plan, which is based on a judicial estimation of the tort claims. If the plan includes releases or a channeling injunction that cannot issue absent the tort claimants’ affirmative vote, the failure to obtain their consent may be fatal to the reorganization and require additional negotiations.   A bankruptcy judge cannot compel parties to accept a chapter 11 plan or vote in favor of a plan, which may contain the court’s estimation of a debtor’s tort liability. Though disfavored, the power to compel acceptance adds undeniable latent persuasive force to the judicial estimation in certain cases.   </w:t>
      </w:r>
    </w:p>
    <w:p w14:paraId="31693694" w14:textId="77777777" w:rsidR="00602AD9" w:rsidRPr="00602AD9" w:rsidRDefault="00602AD9" w:rsidP="00602AD9">
      <w:pPr>
        <w:spacing w:after="0" w:line="240" w:lineRule="auto"/>
        <w:ind w:firstLine="720"/>
        <w:jc w:val="both"/>
        <w:rPr>
          <w:rFonts w:cs="Times New Roman"/>
          <w:color w:val="000000" w:themeColor="text1"/>
          <w:kern w:val="0"/>
          <w:szCs w:val="24"/>
          <w14:ligatures w14:val="none"/>
        </w:rPr>
      </w:pPr>
      <w:bookmarkStart w:id="4" w:name="_Hlk144576953"/>
    </w:p>
    <w:bookmarkEnd w:id="4"/>
    <w:p w14:paraId="2C5F90C7"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r w:rsidRPr="00602AD9">
        <w:rPr>
          <w:rFonts w:cs="Times New Roman"/>
          <w:b/>
          <w:bCs/>
          <w:color w:val="000000" w:themeColor="text1"/>
          <w:kern w:val="0"/>
          <w:szCs w:val="24"/>
          <w14:ligatures w14:val="none"/>
        </w:rPr>
        <w:t xml:space="preserve">Best Practice MDL-§ 18(e)(iii): </w:t>
      </w:r>
      <w:r w:rsidRPr="00602AD9">
        <w:rPr>
          <w:rFonts w:cs="Times New Roman"/>
          <w:color w:val="000000" w:themeColor="text1"/>
          <w:kern w:val="0"/>
          <w:szCs w:val="24"/>
          <w14:ligatures w14:val="none"/>
        </w:rPr>
        <w:t xml:space="preserve">The judge presiding over such an evidentiary hearing should hear evidence presented by all parties. </w:t>
      </w:r>
    </w:p>
    <w:p w14:paraId="6941E0EE"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p>
    <w:p w14:paraId="1F5F04F9"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 xml:space="preserve">An evidentiary hearing on the value of tort claims typically involves testimony from experts representing any unsecured creditors’ committee, tort claimants committee, equity committee, future claims representative, and the debtor.  In some cases, experts for insurers or other parties who have indemnified the debtors have also participated.   </w:t>
      </w:r>
    </w:p>
    <w:p w14:paraId="1B4E7743"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The evidentiary hearing should address the aggregate volume and value of tort claims as adjusted by the probability that the claims will be sustainable and satisfied by any trust formed under the proposed reorganization plan.</w:t>
      </w:r>
      <w:r w:rsidRPr="00602AD9">
        <w:rPr>
          <w:rFonts w:cs="Times New Roman"/>
          <w:color w:val="000000" w:themeColor="text1"/>
          <w:kern w:val="0"/>
          <w:szCs w:val="24"/>
          <w:vertAlign w:val="superscript"/>
          <w14:ligatures w14:val="none"/>
        </w:rPr>
        <w:footnoteReference w:id="62"/>
      </w:r>
      <w:r w:rsidRPr="00602AD9">
        <w:rPr>
          <w:rFonts w:cs="Times New Roman"/>
          <w:color w:val="000000" w:themeColor="text1"/>
          <w:kern w:val="0"/>
          <w:szCs w:val="24"/>
          <w14:ligatures w14:val="none"/>
        </w:rPr>
        <w:t xml:space="preserve"> </w:t>
      </w:r>
    </w:p>
    <w:p w14:paraId="2C41FEA9"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r w:rsidRPr="00602AD9">
        <w:rPr>
          <w:rFonts w:cs="Times New Roman"/>
          <w:b/>
          <w:bCs/>
          <w:color w:val="000000" w:themeColor="text1"/>
          <w:kern w:val="0"/>
          <w:szCs w:val="24"/>
          <w14:ligatures w14:val="none"/>
        </w:rPr>
        <w:t>Best Practice MDL-§ 18(e)(iv):</w:t>
      </w:r>
      <w:r w:rsidRPr="00602AD9">
        <w:rPr>
          <w:b/>
          <w:bCs/>
          <w:color w:val="000000" w:themeColor="text1"/>
          <w:kern w:val="0"/>
          <w:szCs w:val="24"/>
          <w14:ligatures w14:val="none"/>
        </w:rPr>
        <w:t xml:space="preserve"> </w:t>
      </w:r>
      <w:r w:rsidRPr="00602AD9">
        <w:rPr>
          <w:rFonts w:cs="Times New Roman"/>
          <w:color w:val="000000" w:themeColor="text1"/>
          <w:kern w:val="0"/>
          <w:szCs w:val="24"/>
          <w14:ligatures w14:val="none"/>
        </w:rPr>
        <w:t xml:space="preserve">The judge presiding over the evidentiary hearing should allow the parties to make reasonable discovery and determine the scope of the discovery.  </w:t>
      </w:r>
    </w:p>
    <w:p w14:paraId="7AD37182"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p>
    <w:p w14:paraId="1CB67972"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 xml:space="preserve">The judge presiding over the judicial estimation should direct all interested parties to submit a proposed discovery plan, which includes the scope of the discovery and a schedule for fact and expert disclosures, reports, depositions, and motion practice, as well as, time deadlines, aiming for completion in no more than 12 months.  </w:t>
      </w:r>
    </w:p>
    <w:p w14:paraId="1F5DCF93"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r w:rsidRPr="00602AD9">
        <w:rPr>
          <w:rFonts w:cs="Times New Roman"/>
          <w:b/>
          <w:bCs/>
          <w:color w:val="000000" w:themeColor="text1"/>
          <w:kern w:val="0"/>
          <w:szCs w:val="24"/>
          <w14:ligatures w14:val="none"/>
        </w:rPr>
        <w:t>Best Practice MDL-§ 18(f):</w:t>
      </w:r>
      <w:r w:rsidRPr="00602AD9">
        <w:rPr>
          <w:b/>
          <w:bCs/>
          <w:color w:val="000000" w:themeColor="text1"/>
          <w:kern w:val="0"/>
          <w:szCs w:val="24"/>
          <w14:ligatures w14:val="none"/>
        </w:rPr>
        <w:t xml:space="preserve"> </w:t>
      </w:r>
      <w:r w:rsidRPr="00602AD9">
        <w:rPr>
          <w:rFonts w:cs="Times New Roman"/>
          <w:color w:val="000000" w:themeColor="text1"/>
          <w:kern w:val="0"/>
          <w:szCs w:val="24"/>
          <w14:ligatures w14:val="none"/>
        </w:rPr>
        <w:t xml:space="preserve">The presiding judge should explain the reasons for reaching its conclusions in its findings. </w:t>
      </w:r>
    </w:p>
    <w:p w14:paraId="6CF106FA" w14:textId="77777777" w:rsidR="00602AD9" w:rsidRPr="00602AD9" w:rsidRDefault="00602AD9" w:rsidP="00602AD9">
      <w:pPr>
        <w:spacing w:after="0" w:line="240" w:lineRule="auto"/>
        <w:ind w:left="720" w:right="720"/>
        <w:jc w:val="both"/>
        <w:rPr>
          <w:rFonts w:cs="Times New Roman"/>
          <w:color w:val="000000" w:themeColor="text1"/>
          <w:kern w:val="0"/>
          <w:szCs w:val="24"/>
          <w14:ligatures w14:val="none"/>
        </w:rPr>
      </w:pPr>
    </w:p>
    <w:p w14:paraId="75A59715" w14:textId="77777777" w:rsidR="00602AD9" w:rsidRPr="00602AD9" w:rsidRDefault="00602AD9" w:rsidP="00602AD9">
      <w:pPr>
        <w:spacing w:after="0" w:line="360" w:lineRule="auto"/>
        <w:ind w:firstLine="720"/>
        <w:jc w:val="both"/>
        <w:rPr>
          <w:rFonts w:cs="Times New Roman"/>
          <w:color w:val="000000" w:themeColor="text1"/>
          <w:kern w:val="0"/>
          <w:szCs w:val="24"/>
          <w14:ligatures w14:val="none"/>
        </w:rPr>
      </w:pPr>
      <w:r w:rsidRPr="00602AD9">
        <w:rPr>
          <w:rFonts w:cs="Times New Roman"/>
          <w:color w:val="000000" w:themeColor="text1"/>
          <w:kern w:val="0"/>
          <w:szCs w:val="24"/>
          <w14:ligatures w14:val="none"/>
        </w:rPr>
        <w:t xml:space="preserve">The judge should make findings about the estimation of the amounts of tort claims based on all the evidence offered at the estimation hearing, including the report of any Rule 706 expert. The judge will rely on those findings in evaluating the proposed reorganization plan and eligibility of those voting on it.   But the judge’s findings serve an equally important purpose in helping the parties negotiate a consensual reorganization plan.  The weight and persuasive power of the judge’s findings will be more influential if the rationale is revealed.   </w:t>
      </w:r>
    </w:p>
    <w:p w14:paraId="6CA200FB" w14:textId="77777777" w:rsidR="00602AD9" w:rsidRPr="00602AD9" w:rsidRDefault="00602AD9" w:rsidP="00602AD9">
      <w:pPr>
        <w:spacing w:after="0" w:line="240" w:lineRule="auto"/>
        <w:ind w:left="720" w:right="720"/>
        <w:contextualSpacing/>
        <w:jc w:val="both"/>
        <w:rPr>
          <w:rFonts w:eastAsia="Times New Roman" w:cs="Times New Roman"/>
          <w:b/>
          <w:bCs/>
          <w:color w:val="000000"/>
          <w:kern w:val="0"/>
          <w:szCs w:val="24"/>
          <w14:ligatures w14:val="none"/>
        </w:rPr>
      </w:pPr>
    </w:p>
    <w:p w14:paraId="1E0C7CDF" w14:textId="77777777" w:rsidR="00602AD9" w:rsidRPr="00602AD9" w:rsidRDefault="00602AD9" w:rsidP="00602AD9">
      <w:pPr>
        <w:spacing w:after="0" w:line="240" w:lineRule="auto"/>
        <w:ind w:right="720"/>
        <w:contextualSpacing/>
        <w:jc w:val="center"/>
        <w:rPr>
          <w:rFonts w:eastAsia="Times New Roman" w:cs="Times New Roman"/>
          <w:b/>
          <w:bCs/>
          <w:color w:val="000000"/>
          <w:kern w:val="0"/>
          <w:szCs w:val="24"/>
          <w14:ligatures w14:val="none"/>
        </w:rPr>
      </w:pPr>
      <w:r w:rsidRPr="00602AD9">
        <w:rPr>
          <w:rFonts w:eastAsia="Times New Roman" w:cs="Times New Roman"/>
          <w:b/>
          <w:bCs/>
          <w:color w:val="000000"/>
          <w:kern w:val="0"/>
          <w:szCs w:val="24"/>
          <w14:ligatures w14:val="none"/>
        </w:rPr>
        <w:t>* * * * * * * * *</w:t>
      </w:r>
    </w:p>
    <w:p w14:paraId="601F28D6" w14:textId="77777777" w:rsidR="00602AD9" w:rsidRPr="00602AD9" w:rsidRDefault="00602AD9" w:rsidP="00602AD9">
      <w:pPr>
        <w:spacing w:after="0" w:line="240" w:lineRule="auto"/>
        <w:ind w:left="720" w:right="720"/>
        <w:contextualSpacing/>
        <w:jc w:val="both"/>
        <w:rPr>
          <w:rFonts w:eastAsia="Times New Roman" w:cs="Times New Roman"/>
          <w:b/>
          <w:bCs/>
          <w:color w:val="000000"/>
          <w:kern w:val="0"/>
          <w:szCs w:val="24"/>
          <w14:ligatures w14:val="none"/>
        </w:rPr>
      </w:pPr>
    </w:p>
    <w:p w14:paraId="267705F1" w14:textId="77777777" w:rsidR="00C624D6" w:rsidRDefault="00C624D6"/>
    <w:sectPr w:rsidR="00C624D6" w:rsidSect="00602AD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B3DF8" w14:textId="77777777" w:rsidR="00F71500" w:rsidRDefault="00F71500" w:rsidP="00602AD9">
      <w:pPr>
        <w:spacing w:after="0" w:line="240" w:lineRule="auto"/>
      </w:pPr>
      <w:r>
        <w:separator/>
      </w:r>
    </w:p>
  </w:endnote>
  <w:endnote w:type="continuationSeparator" w:id="0">
    <w:p w14:paraId="5B3EF6BD" w14:textId="77777777" w:rsidR="00F71500" w:rsidRDefault="00F71500" w:rsidP="00602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auto"/>
    <w:notTrueType/>
    <w:pitch w:val="default"/>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668663"/>
      <w:docPartObj>
        <w:docPartGallery w:val="Page Numbers (Bottom of Page)"/>
        <w:docPartUnique/>
      </w:docPartObj>
    </w:sdtPr>
    <w:sdtEndPr>
      <w:rPr>
        <w:color w:val="7F7F7F" w:themeColor="background1" w:themeShade="7F"/>
        <w:spacing w:val="60"/>
      </w:rPr>
    </w:sdtEndPr>
    <w:sdtContent>
      <w:p w14:paraId="1D32E6AC" w14:textId="77777777" w:rsidR="00602AD9" w:rsidRDefault="00602AD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4C81E83" w14:textId="77777777" w:rsidR="00602AD9" w:rsidRDefault="00602A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DC56C" w14:textId="77777777" w:rsidR="00F71500" w:rsidRDefault="00F71500" w:rsidP="00602AD9">
      <w:pPr>
        <w:spacing w:after="0" w:line="240" w:lineRule="auto"/>
      </w:pPr>
      <w:r>
        <w:separator/>
      </w:r>
    </w:p>
  </w:footnote>
  <w:footnote w:type="continuationSeparator" w:id="0">
    <w:p w14:paraId="2CB8AD30" w14:textId="77777777" w:rsidR="00F71500" w:rsidRDefault="00F71500" w:rsidP="00602AD9">
      <w:pPr>
        <w:spacing w:after="0" w:line="240" w:lineRule="auto"/>
      </w:pPr>
      <w:r>
        <w:continuationSeparator/>
      </w:r>
    </w:p>
  </w:footnote>
  <w:footnote w:id="1">
    <w:p w14:paraId="32529FCB" w14:textId="77777777" w:rsidR="00602AD9" w:rsidRPr="007B45C1" w:rsidRDefault="00602AD9" w:rsidP="00602AD9">
      <w:pPr>
        <w:pStyle w:val="FootnoteText"/>
        <w:jc w:val="both"/>
        <w:rPr>
          <w:rFonts w:cs="Times New Roman"/>
        </w:rPr>
      </w:pPr>
      <w:r w:rsidRPr="007B45C1">
        <w:rPr>
          <w:rStyle w:val="FootnoteReference"/>
          <w:rFonts w:cs="Times New Roman"/>
        </w:rPr>
        <w:footnoteRef/>
      </w:r>
      <w:r w:rsidRPr="007B45C1">
        <w:rPr>
          <w:rFonts w:cs="Times New Roman"/>
        </w:rPr>
        <w:t xml:space="preserve"> </w:t>
      </w:r>
      <w:r w:rsidRPr="007B45C1">
        <w:rPr>
          <w:rFonts w:cs="Times New Roman"/>
          <w:smallCaps/>
        </w:rPr>
        <w:t>Manual for Complex Litigation</w:t>
      </w:r>
      <w:r w:rsidRPr="007B45C1">
        <w:rPr>
          <w:rFonts w:cs="Times New Roman"/>
        </w:rPr>
        <w:t xml:space="preserve"> (MCL), § 22.5, Fourth Edition, Federal Judicial Center (2004). The criteria for Chapter 11 bankruptcy relief eligibility </w:t>
      </w:r>
      <w:proofErr w:type="gramStart"/>
      <w:r w:rsidRPr="007B45C1">
        <w:rPr>
          <w:rFonts w:cs="Times New Roman"/>
        </w:rPr>
        <w:t>is</w:t>
      </w:r>
      <w:proofErr w:type="gramEnd"/>
      <w:r w:rsidRPr="007B45C1">
        <w:rPr>
          <w:rFonts w:cs="Times New Roman"/>
        </w:rPr>
        <w:t xml:space="preserve"> often hotly disputed.  In </w:t>
      </w:r>
      <w:r w:rsidRPr="007B45C1">
        <w:rPr>
          <w:rFonts w:cs="Times New Roman"/>
          <w:i/>
          <w:iCs/>
        </w:rPr>
        <w:t>LTL Management</w:t>
      </w:r>
      <w:r w:rsidRPr="007B45C1">
        <w:rPr>
          <w:rFonts w:cs="Times New Roman"/>
        </w:rPr>
        <w:t xml:space="preserve">, the dispute centered on the “immediacy” of the financial distress. </w:t>
      </w:r>
      <w:r>
        <w:rPr>
          <w:rFonts w:cs="Times New Roman"/>
        </w:rPr>
        <w:t>“</w:t>
      </w:r>
      <w:r w:rsidRPr="007B45C1">
        <w:rPr>
          <w:rFonts w:cs="Times New Roman"/>
        </w:rPr>
        <w:t>In any event,</w:t>
      </w:r>
      <w:r>
        <w:rPr>
          <w:rFonts w:cs="Times New Roman"/>
        </w:rPr>
        <w:t xml:space="preserve"> </w:t>
      </w:r>
      <w:r w:rsidRPr="007B45C1">
        <w:rPr>
          <w:rFonts w:cs="Times New Roman"/>
        </w:rPr>
        <w:t xml:space="preserve">[the] takeaway here is that when financial distress is present, bankruptcy may be an appropriate forum for a debtor to address mass tort liability.” </w:t>
      </w:r>
      <w:r w:rsidRPr="00846C8C">
        <w:rPr>
          <w:rFonts w:cs="Times New Roman"/>
          <w:i/>
          <w:iCs/>
        </w:rPr>
        <w:t>In re LTL Management</w:t>
      </w:r>
      <w:r>
        <w:rPr>
          <w:rFonts w:cs="Times New Roman"/>
          <w:i/>
          <w:iCs/>
        </w:rPr>
        <w:t>,</w:t>
      </w:r>
      <w:r w:rsidRPr="00846C8C">
        <w:rPr>
          <w:rFonts w:cs="Times New Roman"/>
          <w:i/>
          <w:iCs/>
        </w:rPr>
        <w:t xml:space="preserve"> LLC</w:t>
      </w:r>
      <w:r w:rsidRPr="007B45C1">
        <w:rPr>
          <w:rFonts w:cs="Times New Roman"/>
        </w:rPr>
        <w:t>, 64 F.4</w:t>
      </w:r>
      <w:r w:rsidRPr="007B45C1">
        <w:rPr>
          <w:rFonts w:cs="Times New Roman"/>
          <w:vertAlign w:val="superscript"/>
        </w:rPr>
        <w:t xml:space="preserve">th   </w:t>
      </w:r>
      <w:r w:rsidRPr="007B45C1">
        <w:rPr>
          <w:rFonts w:cs="Times New Roman"/>
        </w:rPr>
        <w:t>84, 104 (3</w:t>
      </w:r>
      <w:r w:rsidRPr="007B45C1">
        <w:rPr>
          <w:rFonts w:cs="Times New Roman"/>
          <w:vertAlign w:val="superscript"/>
        </w:rPr>
        <w:t>rd</w:t>
      </w:r>
      <w:r w:rsidRPr="007B45C1">
        <w:rPr>
          <w:rFonts w:cs="Times New Roman"/>
        </w:rPr>
        <w:t xml:space="preserve"> Cir. 2023).</w:t>
      </w:r>
    </w:p>
  </w:footnote>
  <w:footnote w:id="2">
    <w:p w14:paraId="26C90630" w14:textId="77777777" w:rsidR="00602AD9" w:rsidRDefault="00602AD9" w:rsidP="00602AD9">
      <w:pPr>
        <w:pStyle w:val="FootnoteText"/>
        <w:jc w:val="both"/>
      </w:pPr>
      <w:r>
        <w:rPr>
          <w:rStyle w:val="FootnoteReference"/>
        </w:rPr>
        <w:footnoteRef/>
      </w:r>
      <w:r>
        <w:t xml:space="preserve"> </w:t>
      </w:r>
      <w:r w:rsidRPr="00A92C10">
        <w:rPr>
          <w:i/>
          <w:iCs/>
        </w:rPr>
        <w:t xml:space="preserve">See </w:t>
      </w:r>
      <w:r w:rsidRPr="00794FBD">
        <w:rPr>
          <w:i/>
          <w:iCs/>
        </w:rPr>
        <w:t>In re A.H. Robbins Co.,</w:t>
      </w:r>
      <w:r>
        <w:rPr>
          <w:i/>
          <w:iCs/>
        </w:rPr>
        <w:t xml:space="preserve"> 88 B.R. 742 (E.D. Va. 1988), aff’d sub nom. Menard-Sanford v. Mabey (In re A.H. Robbins Co.), </w:t>
      </w:r>
      <w:r w:rsidRPr="00A92C10">
        <w:t>880 F.2d 694 (4</w:t>
      </w:r>
      <w:r w:rsidRPr="00A92C10">
        <w:rPr>
          <w:vertAlign w:val="superscript"/>
        </w:rPr>
        <w:t>th</w:t>
      </w:r>
      <w:r w:rsidRPr="00A92C10">
        <w:t xml:space="preserve"> Cir. </w:t>
      </w:r>
      <w:proofErr w:type="gramStart"/>
      <w:r w:rsidRPr="00A92C10">
        <w:t>1989</w:t>
      </w:r>
      <w:r>
        <w:t>);</w:t>
      </w:r>
      <w:proofErr w:type="gramEnd"/>
      <w:r>
        <w:t xml:space="preserve"> </w:t>
      </w:r>
      <w:r w:rsidRPr="001A562E">
        <w:rPr>
          <w:i/>
          <w:iCs/>
        </w:rPr>
        <w:t xml:space="preserve">but see In Re Diocese of Camden, </w:t>
      </w:r>
      <w:r>
        <w:rPr>
          <w:i/>
          <w:iCs/>
        </w:rPr>
        <w:t>N</w:t>
      </w:r>
      <w:r w:rsidRPr="001A562E">
        <w:rPr>
          <w:i/>
          <w:iCs/>
        </w:rPr>
        <w:t>ew Jersey</w:t>
      </w:r>
      <w:r>
        <w:t>, No. 20-21257 (</w:t>
      </w:r>
      <w:proofErr w:type="spellStart"/>
      <w:r>
        <w:t>Bankr</w:t>
      </w:r>
      <w:proofErr w:type="spellEnd"/>
      <w:r>
        <w:t>. D.J. Feb. 15, 2022) (“estimation would not satisfy the standard under Section 502(c) because it could cause, rather than prevent, undue delay in the administration of the case”).</w:t>
      </w:r>
    </w:p>
  </w:footnote>
  <w:footnote w:id="3">
    <w:p w14:paraId="08FF384E" w14:textId="77777777" w:rsidR="00602AD9" w:rsidRDefault="00602AD9" w:rsidP="00602AD9">
      <w:pPr>
        <w:pStyle w:val="FootnoteText"/>
        <w:jc w:val="both"/>
      </w:pPr>
      <w:r>
        <w:rPr>
          <w:rStyle w:val="FootnoteReference"/>
        </w:rPr>
        <w:footnoteRef/>
      </w:r>
      <w:r>
        <w:t xml:space="preserve"> 11 U.S.C.  </w:t>
      </w:r>
      <w:r w:rsidRPr="007B45C1">
        <w:rPr>
          <w:rFonts w:cs="Times New Roman"/>
        </w:rPr>
        <w:t>§</w:t>
      </w:r>
      <w:r>
        <w:rPr>
          <w:rFonts w:cs="Times New Roman"/>
        </w:rPr>
        <w:t xml:space="preserve">1129(a)(11).  </w:t>
      </w:r>
    </w:p>
  </w:footnote>
  <w:footnote w:id="4">
    <w:p w14:paraId="421FCC25" w14:textId="77777777" w:rsidR="00602AD9" w:rsidRDefault="00602AD9" w:rsidP="00602AD9">
      <w:pPr>
        <w:pStyle w:val="FootnoteText"/>
        <w:jc w:val="both"/>
      </w:pPr>
      <w:r>
        <w:rPr>
          <w:rStyle w:val="FootnoteReference"/>
        </w:rPr>
        <w:footnoteRef/>
      </w:r>
      <w:r>
        <w:t xml:space="preserve"> 11 U.S.C.  </w:t>
      </w:r>
      <w:r w:rsidRPr="007B45C1">
        <w:rPr>
          <w:rFonts w:cs="Times New Roman"/>
        </w:rPr>
        <w:t>§</w:t>
      </w:r>
      <w:r>
        <w:rPr>
          <w:rFonts w:cs="Times New Roman"/>
        </w:rPr>
        <w:t>502(c)(1)</w:t>
      </w:r>
      <w:r w:rsidRPr="00853274">
        <w:rPr>
          <w:rFonts w:cs="Times New Roman"/>
          <w:szCs w:val="24"/>
        </w:rPr>
        <w:t xml:space="preserve"> </w:t>
      </w:r>
      <w:r>
        <w:rPr>
          <w:rFonts w:cs="Times New Roman"/>
          <w:szCs w:val="24"/>
        </w:rPr>
        <w:t>(</w:t>
      </w:r>
      <w:r w:rsidRPr="00853274">
        <w:rPr>
          <w:rFonts w:cs="Times New Roman"/>
          <w:szCs w:val="24"/>
        </w:rPr>
        <w:t>“[t]here shall be estimated for purpose of allowance under this section — (1) any contingent or unliquidated claim, the fixing or liquidation of which, as the case may be, would unduly delay the administration of the case….</w:t>
      </w:r>
      <w:r>
        <w:rPr>
          <w:rFonts w:cs="Times New Roman"/>
          <w:szCs w:val="24"/>
        </w:rPr>
        <w:t xml:space="preserve">”); </w:t>
      </w:r>
      <w:r w:rsidRPr="002D2CE7">
        <w:rPr>
          <w:i/>
          <w:iCs/>
        </w:rPr>
        <w:t>see</w:t>
      </w:r>
      <w:r>
        <w:t xml:space="preserve"> Federal Rule of Bankruptcy Procedure 3018(a) (authorizing a court after hearing and notice to “temporarily allow the claim or interest in an amount which the court deems proper for the purpose of accepting or rejecting a plan”); </w:t>
      </w:r>
      <w:r w:rsidRPr="001A562E">
        <w:rPr>
          <w:i/>
          <w:iCs/>
        </w:rPr>
        <w:t>see In Re Dow Corning Corp</w:t>
      </w:r>
      <w:r>
        <w:t xml:space="preserve">., 187 B.R. 919 (E.D. Mich. 1995) (statute obligates judge to estimate the contingent personal injury claims for purposes of determining feasibility); </w:t>
      </w:r>
      <w:r w:rsidRPr="001A562E">
        <w:rPr>
          <w:i/>
          <w:iCs/>
        </w:rPr>
        <w:t>see also</w:t>
      </w:r>
      <w:r>
        <w:t xml:space="preserve"> </w:t>
      </w:r>
      <w:r w:rsidRPr="006F72DF">
        <w:rPr>
          <w:i/>
          <w:iCs/>
        </w:rPr>
        <w:t>In Re Roman Catholic Archbishop of Portland in Oregon,</w:t>
      </w:r>
      <w:r>
        <w:t xml:space="preserve"> 04-37154, Amended Opinion Re Estimation and Plan Confirmation Issues, Doc. No. 3295, p. 13 (</w:t>
      </w:r>
      <w:proofErr w:type="spellStart"/>
      <w:r>
        <w:t>Bankr</w:t>
      </w:r>
      <w:proofErr w:type="spellEnd"/>
      <w:r>
        <w:t>. D. Ore. 2006) (estimation required to determine confirmation issues and prevent undue delay).</w:t>
      </w:r>
    </w:p>
  </w:footnote>
  <w:footnote w:id="5">
    <w:p w14:paraId="58E7900A" w14:textId="77777777" w:rsidR="00602AD9" w:rsidRPr="007B45C1" w:rsidRDefault="00602AD9" w:rsidP="00602AD9">
      <w:pPr>
        <w:pStyle w:val="FootnoteText"/>
        <w:jc w:val="both"/>
        <w:rPr>
          <w:rFonts w:cs="Times New Roman"/>
        </w:rPr>
      </w:pPr>
      <w:r w:rsidRPr="007B45C1">
        <w:rPr>
          <w:rStyle w:val="FootnoteReference"/>
          <w:rFonts w:cs="Times New Roman"/>
        </w:rPr>
        <w:footnoteRef/>
      </w:r>
      <w:r>
        <w:rPr>
          <w:rFonts w:cs="Times New Roman"/>
        </w:rPr>
        <w:t xml:space="preserve"> Fed. R. Bk. P. 3018(a); </w:t>
      </w:r>
      <w:r w:rsidRPr="001A562E">
        <w:rPr>
          <w:rFonts w:cs="Times New Roman"/>
          <w:i/>
          <w:iCs/>
        </w:rPr>
        <w:t>see</w:t>
      </w:r>
      <w:r>
        <w:rPr>
          <w:rFonts w:cs="Times New Roman"/>
        </w:rPr>
        <w:t xml:space="preserve"> 11 U.S.C. § 502(c)(1), </w:t>
      </w:r>
      <w:r>
        <w:t>which employs the passive voice and leaves the identity of the actor who conducts the estimation to the court's discretion</w:t>
      </w:r>
      <w:r>
        <w:rPr>
          <w:rFonts w:cs="Times New Roman"/>
        </w:rPr>
        <w:t xml:space="preserve">; </w:t>
      </w:r>
      <w:r>
        <w:t>s</w:t>
      </w:r>
      <w:r w:rsidRPr="00586093">
        <w:rPr>
          <w:rFonts w:cs="Times New Roman"/>
          <w:i/>
          <w:iCs/>
        </w:rPr>
        <w:t>ee</w:t>
      </w:r>
      <w:r>
        <w:rPr>
          <w:rFonts w:cs="Times New Roman"/>
        </w:rPr>
        <w:t xml:space="preserve"> also </w:t>
      </w:r>
      <w:r>
        <w:t xml:space="preserve">28 U.S.C. </w:t>
      </w:r>
      <w:r>
        <w:rPr>
          <w:rFonts w:cs="Times New Roman"/>
        </w:rPr>
        <w:t>§157(b)(2)(B) (bankruptcy judge has jurisdiction to hear and determine core proceedings, including allowance and estimation of claims</w:t>
      </w:r>
      <w:r>
        <w:t xml:space="preserve">; </w:t>
      </w:r>
      <w:r w:rsidRPr="00586093">
        <w:rPr>
          <w:rFonts w:cs="Times New Roman"/>
          <w:i/>
          <w:iCs/>
        </w:rPr>
        <w:t xml:space="preserve">see </w:t>
      </w:r>
      <w:r>
        <w:rPr>
          <w:rFonts w:cs="Times New Roman"/>
          <w:i/>
          <w:iCs/>
        </w:rPr>
        <w:t xml:space="preserve">also </w:t>
      </w:r>
      <w:r w:rsidRPr="007B45C1">
        <w:rPr>
          <w:rFonts w:cs="Times New Roman"/>
          <w:smallCaps/>
        </w:rPr>
        <w:t>Manual for Complex Litigation</w:t>
      </w:r>
      <w:r w:rsidRPr="007B45C1">
        <w:rPr>
          <w:rFonts w:cs="Times New Roman"/>
        </w:rPr>
        <w:t xml:space="preserve"> (MCL), § 22.5</w:t>
      </w:r>
      <w:r>
        <w:rPr>
          <w:rFonts w:cs="Times New Roman"/>
        </w:rPr>
        <w:t>6</w:t>
      </w:r>
      <w:r w:rsidRPr="007B45C1">
        <w:rPr>
          <w:rFonts w:cs="Times New Roman"/>
        </w:rPr>
        <w:t>, Fourth Edition, Federal Judicial Center (2004</w:t>
      </w:r>
      <w:r>
        <w:rPr>
          <w:rFonts w:cs="Times New Roman"/>
        </w:rPr>
        <w:t xml:space="preserve">); </w:t>
      </w:r>
      <w:r w:rsidRPr="00AF2AD4">
        <w:rPr>
          <w:rFonts w:cs="Times New Roman"/>
          <w:i/>
          <w:iCs/>
        </w:rPr>
        <w:t>see also</w:t>
      </w:r>
      <w:r>
        <w:rPr>
          <w:rFonts w:cs="Times New Roman"/>
          <w:i/>
          <w:iCs/>
        </w:rPr>
        <w:t>,</w:t>
      </w:r>
      <w:r w:rsidRPr="00AF2AD4">
        <w:rPr>
          <w:rFonts w:cs="Times New Roman"/>
          <w:smallCaps/>
        </w:rPr>
        <w:t xml:space="preserve"> </w:t>
      </w:r>
      <w:r w:rsidRPr="00DF5CB8">
        <w:rPr>
          <w:rFonts w:cs="Times New Roman"/>
          <w:smallCaps/>
        </w:rPr>
        <w:t>Judicial Management of Mass Tort Bankruptcy Cases</w:t>
      </w:r>
      <w:r w:rsidRPr="00DF5CB8">
        <w:rPr>
          <w:rFonts w:cs="Times New Roman"/>
        </w:rPr>
        <w:t xml:space="preserve">, </w:t>
      </w:r>
      <w:r>
        <w:rPr>
          <w:rFonts w:cs="Times New Roman"/>
        </w:rPr>
        <w:t>S. Elizabeth Gibson, Federal Judicial Center,</w:t>
      </w:r>
      <w:r w:rsidRPr="00DF5CB8">
        <w:rPr>
          <w:rFonts w:cs="Times New Roman"/>
        </w:rPr>
        <w:t xml:space="preserve"> </w:t>
      </w:r>
      <w:r>
        <w:rPr>
          <w:rFonts w:cs="Times New Roman"/>
        </w:rPr>
        <w:t>p. 86 (2005) (</w:t>
      </w:r>
      <w:r w:rsidRPr="00853274">
        <w:rPr>
          <w:rFonts w:cs="Times New Roman"/>
          <w:szCs w:val="24"/>
        </w:rPr>
        <w:t>“Normally the allowance of claims and their estimation are core matters that the bankruptcy judge may determine</w:t>
      </w:r>
      <w:r>
        <w:rPr>
          <w:rFonts w:cs="Times New Roman"/>
        </w:rPr>
        <w:t xml:space="preserve">.”). </w:t>
      </w:r>
    </w:p>
  </w:footnote>
  <w:footnote w:id="6">
    <w:p w14:paraId="468DBF5A" w14:textId="77777777" w:rsidR="00602AD9" w:rsidRDefault="00602AD9" w:rsidP="00602AD9">
      <w:pPr>
        <w:pStyle w:val="FootnoteText"/>
        <w:jc w:val="both"/>
      </w:pPr>
      <w:r>
        <w:rPr>
          <w:rStyle w:val="FootnoteReference"/>
        </w:rPr>
        <w:footnoteRef/>
      </w:r>
      <w:r>
        <w:t xml:space="preserve"> 28 U.S.C. </w:t>
      </w:r>
      <w:r>
        <w:rPr>
          <w:rFonts w:cs="Times New Roman"/>
        </w:rPr>
        <w:t>§157(b)(2)(B)</w:t>
      </w:r>
      <w:r w:rsidRPr="00AF2AD4">
        <w:t xml:space="preserve"> </w:t>
      </w:r>
      <w:r w:rsidRPr="001D4B75">
        <w:t>(</w:t>
      </w:r>
      <w:r>
        <w:t xml:space="preserve">bankruptcy judge’s core jurisdiction </w:t>
      </w:r>
      <w:r w:rsidRPr="00853274">
        <w:t>does not extend</w:t>
      </w:r>
      <w:r w:rsidRPr="00853274">
        <w:rPr>
          <w:rFonts w:cs="Times New Roman"/>
          <w:szCs w:val="24"/>
        </w:rPr>
        <w:t xml:space="preserve"> to determining “liability” or the “amounts of distribution” for individual claimants</w:t>
      </w:r>
      <w:r w:rsidRPr="001D4B75">
        <w:t xml:space="preserve"> </w:t>
      </w:r>
      <w:r>
        <w:t>because</w:t>
      </w:r>
      <w:r w:rsidRPr="001D4B75">
        <w:t xml:space="preserve"> “estimation of contingent or unliquidated personal injury tort or wrongful death claims against the estate for purposes of distribution in a case under title 11</w:t>
      </w:r>
      <w:r>
        <w:t>”</w:t>
      </w:r>
      <w:r w:rsidRPr="001D4B75">
        <w:t xml:space="preserve"> is excepted</w:t>
      </w:r>
      <w:r>
        <w:t xml:space="preserve"> from a core proceeding</w:t>
      </w:r>
      <w:r w:rsidRPr="001D4B75">
        <w:t>).</w:t>
      </w:r>
    </w:p>
  </w:footnote>
  <w:footnote w:id="7">
    <w:p w14:paraId="46F2B2DE" w14:textId="77777777" w:rsidR="00602AD9" w:rsidRDefault="00602AD9" w:rsidP="00602AD9">
      <w:pPr>
        <w:pStyle w:val="FootnoteText"/>
        <w:jc w:val="both"/>
      </w:pPr>
      <w:r>
        <w:rPr>
          <w:rStyle w:val="FootnoteReference"/>
        </w:rPr>
        <w:footnoteRef/>
      </w:r>
      <w:r>
        <w:t xml:space="preserve"> </w:t>
      </w:r>
      <w:r w:rsidRPr="00CA6C06">
        <w:rPr>
          <w:i/>
          <w:iCs/>
        </w:rPr>
        <w:t>See</w:t>
      </w:r>
      <w:r>
        <w:rPr>
          <w:i/>
          <w:iCs/>
        </w:rPr>
        <w:t xml:space="preserve"> </w:t>
      </w:r>
      <w:r>
        <w:t xml:space="preserve">11 U.S.C.  </w:t>
      </w:r>
      <w:r w:rsidRPr="007B45C1">
        <w:rPr>
          <w:rFonts w:cs="Times New Roman"/>
        </w:rPr>
        <w:t>§</w:t>
      </w:r>
      <w:r>
        <w:rPr>
          <w:rFonts w:cs="Times New Roman"/>
        </w:rPr>
        <w:t xml:space="preserve">1129(a)(7); </w:t>
      </w:r>
      <w:r>
        <w:t>Valuation estimates further serve to determine whether a proposed plan satisfies the fair and equitable standard, and whether it treats a non-accepting class in an unfairly discriminatory manner.</w:t>
      </w:r>
    </w:p>
  </w:footnote>
  <w:footnote w:id="8">
    <w:p w14:paraId="67C4B9F3" w14:textId="77777777" w:rsidR="00602AD9" w:rsidRDefault="00602AD9" w:rsidP="00602AD9">
      <w:pPr>
        <w:pStyle w:val="FootnoteText"/>
        <w:jc w:val="both"/>
      </w:pPr>
      <w:r>
        <w:rPr>
          <w:rStyle w:val="FootnoteReference"/>
        </w:rPr>
        <w:footnoteRef/>
      </w:r>
      <w:r>
        <w:t xml:space="preserve"> </w:t>
      </w:r>
      <w:r w:rsidRPr="001A562E">
        <w:rPr>
          <w:i/>
          <w:iCs/>
        </w:rPr>
        <w:t>See In Re Eagle-Picher Indus., Inc.,</w:t>
      </w:r>
      <w:r>
        <w:t xml:space="preserve"> 203 B.R. 256, 262 (S.D. Ohio 1996) (judge conducted exhaustive estimation process and calculated $2.5 billion aggregate tort liability, while parties returned to negotiations and agreed on $2 billion); </w:t>
      </w:r>
      <w:r w:rsidRPr="001A562E">
        <w:rPr>
          <w:i/>
          <w:iCs/>
        </w:rPr>
        <w:t xml:space="preserve">see also </w:t>
      </w:r>
      <w:r w:rsidRPr="00ED73B7">
        <w:rPr>
          <w:rFonts w:cs="Times New Roman"/>
          <w:i/>
          <w:iCs/>
        </w:rPr>
        <w:t>In Re LTL Management, LLC</w:t>
      </w:r>
      <w:r>
        <w:rPr>
          <w:rFonts w:cs="Times New Roman"/>
        </w:rPr>
        <w:t xml:space="preserve">, Case No. 21-30589 (MBK), Debtor’s Reply in Support of the Need for Estimation, Doc. 2769, pp. 15-16 (July 22, 2022) (noting that the final amount for trust funding </w:t>
      </w:r>
      <w:r w:rsidRPr="009831C9">
        <w:rPr>
          <w:i/>
          <w:iCs/>
        </w:rPr>
        <w:t>In Re Garlock Sealing Techs. LLC,</w:t>
      </w:r>
      <w:r>
        <w:t xml:space="preserve"> 504 B.R. 71 (</w:t>
      </w:r>
      <w:proofErr w:type="spellStart"/>
      <w:r>
        <w:t>Bankr</w:t>
      </w:r>
      <w:proofErr w:type="spellEnd"/>
      <w:r>
        <w:t xml:space="preserve">. W.D.N.C. 2014) </w:t>
      </w:r>
      <w:r>
        <w:rPr>
          <w:rFonts w:cs="Times New Roman"/>
        </w:rPr>
        <w:t>was four times the court’s estimation – yet still several times less than that initially sought by the claimants).</w:t>
      </w:r>
    </w:p>
  </w:footnote>
  <w:footnote w:id="9">
    <w:p w14:paraId="011E8E2D" w14:textId="77777777" w:rsidR="00602AD9" w:rsidRDefault="00602AD9" w:rsidP="00602AD9">
      <w:pPr>
        <w:pStyle w:val="FootnoteText"/>
        <w:jc w:val="both"/>
      </w:pPr>
      <w:r>
        <w:rPr>
          <w:rStyle w:val="FootnoteReference"/>
        </w:rPr>
        <w:footnoteRef/>
      </w:r>
      <w:r>
        <w:t xml:space="preserve"> </w:t>
      </w:r>
      <w:r w:rsidRPr="001A562E">
        <w:rPr>
          <w:i/>
          <w:iCs/>
        </w:rPr>
        <w:t xml:space="preserve">See </w:t>
      </w:r>
      <w:r w:rsidRPr="001A562E">
        <w:t xml:space="preserve">Best </w:t>
      </w:r>
      <w:r>
        <w:t>P</w:t>
      </w:r>
      <w:r w:rsidRPr="001A562E">
        <w:t>ractice</w:t>
      </w:r>
      <w:r w:rsidRPr="00DC7F94">
        <w:rPr>
          <w:rFonts w:cs="Times New Roman"/>
          <w:b/>
          <w:bCs/>
          <w:szCs w:val="24"/>
        </w:rPr>
        <w:t xml:space="preserve"> </w:t>
      </w:r>
      <w:r w:rsidRPr="001A562E">
        <w:rPr>
          <w:rFonts w:cs="Times New Roman"/>
          <w:szCs w:val="24"/>
        </w:rPr>
        <w:t>MDL-§ 18(b)</w:t>
      </w:r>
      <w:r>
        <w:rPr>
          <w:rFonts w:cs="Times New Roman"/>
          <w:szCs w:val="24"/>
        </w:rPr>
        <w:t xml:space="preserve">, </w:t>
      </w:r>
      <w:r w:rsidRPr="001A562E">
        <w:rPr>
          <w:rFonts w:cs="Times New Roman"/>
          <w:i/>
          <w:iCs/>
          <w:szCs w:val="24"/>
        </w:rPr>
        <w:t>infra</w:t>
      </w:r>
      <w:r>
        <w:rPr>
          <w:rFonts w:cs="Times New Roman"/>
          <w:szCs w:val="24"/>
        </w:rPr>
        <w:t xml:space="preserve">; </w:t>
      </w:r>
      <w:r w:rsidRPr="001A562E">
        <w:rPr>
          <w:rFonts w:cs="Times New Roman"/>
          <w:i/>
          <w:iCs/>
          <w:szCs w:val="24"/>
        </w:rPr>
        <w:t xml:space="preserve">see </w:t>
      </w:r>
      <w:r w:rsidRPr="0031030A">
        <w:rPr>
          <w:rFonts w:cs="Times New Roman"/>
          <w:i/>
          <w:iCs/>
          <w:szCs w:val="24"/>
        </w:rPr>
        <w:t>also</w:t>
      </w:r>
      <w:r w:rsidRPr="00FE7B02">
        <w:rPr>
          <w:b/>
          <w:bCs/>
          <w:szCs w:val="24"/>
        </w:rPr>
        <w:t xml:space="preserve"> </w:t>
      </w:r>
      <w:r>
        <w:rPr>
          <w:i/>
          <w:iCs/>
        </w:rPr>
        <w:t>In</w:t>
      </w:r>
      <w:r w:rsidRPr="001A562E">
        <w:rPr>
          <w:i/>
          <w:iCs/>
        </w:rPr>
        <w:t xml:space="preserve"> Re Roman Catholic Archbishop of Portland in Oregon</w:t>
      </w:r>
      <w:r>
        <w:t xml:space="preserve">, 04-37154, Doc. No. 3295 (Bank. D. Ore. 2006) (court rejected debtor’s proposed plan that expressly capped funding the trust based on the judicial estimation, and instead proposed estimation for voting and confirmation purposes only, which was subsequently implemented); </w:t>
      </w:r>
      <w:r w:rsidRPr="00481FB8">
        <w:rPr>
          <w:i/>
          <w:iCs/>
        </w:rPr>
        <w:t>see also</w:t>
      </w:r>
      <w:r w:rsidRPr="00481FB8">
        <w:t xml:space="preserve"> Elizabeth Gibson, Judicial Management of Mass Tort Bankruptcy Cases, p. 89 (Federal Judicial Center) (“[C]</w:t>
      </w:r>
      <w:proofErr w:type="spellStart"/>
      <w:r w:rsidRPr="00481FB8">
        <w:t>ourts</w:t>
      </w:r>
      <w:proofErr w:type="spellEnd"/>
      <w:r w:rsidRPr="00481FB8">
        <w:t xml:space="preserve"> and commentators generally agree that these statutory restrictions do not prevent a bankruptcy judge from estimating the value of tort claims for purposes of the negotiation and confirmation of the reorganization plan, even if the maximum aggregate payment to tort claimants will be based on this estimate.”)</w:t>
      </w:r>
      <w:r>
        <w:t>; s</w:t>
      </w:r>
      <w:r w:rsidRPr="00AA6101">
        <w:rPr>
          <w:rFonts w:cs="Times New Roman"/>
          <w:i/>
          <w:iCs/>
        </w:rPr>
        <w:t>ee</w:t>
      </w:r>
      <w:r>
        <w:rPr>
          <w:rFonts w:cs="Times New Roman"/>
          <w:i/>
          <w:iCs/>
        </w:rPr>
        <w:t xml:space="preserve"> also</w:t>
      </w:r>
      <w:r w:rsidRPr="00AA6101">
        <w:rPr>
          <w:rFonts w:cs="Times New Roman"/>
          <w:i/>
          <w:iCs/>
        </w:rPr>
        <w:t xml:space="preserve"> </w:t>
      </w:r>
      <w:r w:rsidRPr="00ED73B7">
        <w:rPr>
          <w:rFonts w:cs="Times New Roman"/>
          <w:i/>
          <w:iCs/>
        </w:rPr>
        <w:t>In Re LTL Management, LLC</w:t>
      </w:r>
      <w:r>
        <w:rPr>
          <w:rFonts w:cs="Times New Roman"/>
        </w:rPr>
        <w:t xml:space="preserve">, Case No. 21-30589 (MBK), Debtor’s Reply in Support of the Need for Estimation, Doc. 2769, pp. 5-6 (July 22, 2022) (“Debtor has made clear that it is asking this Court to perform estimation for different purposes, including to assist in the negotiation, formulation, and confirmation of a plan of reorganization...The Debtor </w:t>
      </w:r>
      <w:r w:rsidRPr="00F61F2D">
        <w:rPr>
          <w:rFonts w:cs="Times New Roman"/>
          <w:b/>
          <w:bCs/>
        </w:rPr>
        <w:t>has not</w:t>
      </w:r>
      <w:r>
        <w:rPr>
          <w:rFonts w:cs="Times New Roman"/>
        </w:rPr>
        <w:t xml:space="preserve"> said that an estimation decision would, by itself, set a ‘hard cap’ on the funding of the trust.  The Court need only look at </w:t>
      </w:r>
      <w:r w:rsidRPr="00F61F2D">
        <w:rPr>
          <w:rFonts w:cs="Times New Roman"/>
          <w:i/>
          <w:iCs/>
        </w:rPr>
        <w:t>Garlock</w:t>
      </w:r>
      <w:r>
        <w:rPr>
          <w:rFonts w:cs="Times New Roman"/>
        </w:rPr>
        <w:t>, where the court’s estimation of the debtors’ aggregate liability was less than the amount ultimately placed into the trust</w:t>
      </w:r>
      <w:proofErr w:type="gramStart"/>
      <w:r>
        <w:rPr>
          <w:rFonts w:cs="Times New Roman"/>
        </w:rPr>
        <w:t>.”).</w:t>
      </w:r>
      <w:r w:rsidRPr="00481FB8">
        <w:t>.</w:t>
      </w:r>
      <w:proofErr w:type="gramEnd"/>
    </w:p>
  </w:footnote>
  <w:footnote w:id="10">
    <w:p w14:paraId="0C41013C" w14:textId="77777777" w:rsidR="00602AD9" w:rsidRDefault="00602AD9" w:rsidP="00602AD9">
      <w:pPr>
        <w:pStyle w:val="FootnoteText"/>
        <w:jc w:val="both"/>
      </w:pPr>
      <w:r>
        <w:rPr>
          <w:rStyle w:val="FootnoteReference"/>
        </w:rPr>
        <w:footnoteRef/>
      </w:r>
      <w:r>
        <w:t xml:space="preserve"> </w:t>
      </w:r>
      <w:r w:rsidRPr="001A562E">
        <w:rPr>
          <w:i/>
          <w:iCs/>
        </w:rPr>
        <w:t>See</w:t>
      </w:r>
      <w:r>
        <w:t xml:space="preserve"> Best Practice </w:t>
      </w:r>
      <w:r w:rsidRPr="001A562E">
        <w:rPr>
          <w:rFonts w:cs="Times New Roman"/>
          <w:szCs w:val="24"/>
        </w:rPr>
        <w:t>MDL-§ 18(d)</w:t>
      </w:r>
      <w:r>
        <w:rPr>
          <w:rFonts w:cs="Times New Roman"/>
          <w:szCs w:val="24"/>
        </w:rPr>
        <w:t xml:space="preserve">, </w:t>
      </w:r>
      <w:r w:rsidRPr="001A562E">
        <w:rPr>
          <w:rFonts w:cs="Times New Roman"/>
          <w:i/>
          <w:iCs/>
          <w:szCs w:val="24"/>
        </w:rPr>
        <w:t>infra</w:t>
      </w:r>
      <w:r>
        <w:rPr>
          <w:rFonts w:cs="Times New Roman"/>
          <w:szCs w:val="24"/>
        </w:rPr>
        <w:t>.</w:t>
      </w:r>
    </w:p>
  </w:footnote>
  <w:footnote w:id="11">
    <w:p w14:paraId="34D906B5" w14:textId="77777777" w:rsidR="00602AD9" w:rsidRDefault="00602AD9" w:rsidP="00602AD9">
      <w:pPr>
        <w:pStyle w:val="FootnoteText"/>
        <w:jc w:val="both"/>
      </w:pPr>
      <w:r>
        <w:rPr>
          <w:rStyle w:val="FootnoteReference"/>
        </w:rPr>
        <w:footnoteRef/>
      </w:r>
      <w:r>
        <w:t xml:space="preserve"> </w:t>
      </w:r>
      <w:bookmarkStart w:id="1" w:name="_Hlk144556674"/>
      <w:r w:rsidRPr="00DE435E">
        <w:rPr>
          <w:rFonts w:cs="Times New Roman"/>
          <w:i/>
          <w:iCs/>
        </w:rPr>
        <w:t>See</w:t>
      </w:r>
      <w:r>
        <w:t xml:space="preserve"> </w:t>
      </w:r>
      <w:r w:rsidRPr="007B45C1">
        <w:rPr>
          <w:rFonts w:cs="Times New Roman"/>
          <w:smallCaps/>
        </w:rPr>
        <w:t>Manual for Complex Litigation</w:t>
      </w:r>
      <w:r w:rsidRPr="007B45C1">
        <w:rPr>
          <w:rFonts w:cs="Times New Roman"/>
        </w:rPr>
        <w:t xml:space="preserve"> (MCL), § 22.5</w:t>
      </w:r>
      <w:r>
        <w:rPr>
          <w:rFonts w:cs="Times New Roman"/>
        </w:rPr>
        <w:t>6</w:t>
      </w:r>
      <w:r w:rsidRPr="007B45C1">
        <w:rPr>
          <w:rFonts w:cs="Times New Roman"/>
        </w:rPr>
        <w:t>, Fourth Edition, Federal Judicial Center (2004</w:t>
      </w:r>
      <w:proofErr w:type="gramStart"/>
      <w:r w:rsidRPr="007B45C1">
        <w:rPr>
          <w:rFonts w:cs="Times New Roman"/>
        </w:rPr>
        <w:t>)..</w:t>
      </w:r>
      <w:bookmarkEnd w:id="1"/>
      <w:proofErr w:type="gramEnd"/>
    </w:p>
  </w:footnote>
  <w:footnote w:id="12">
    <w:p w14:paraId="04E31DAB" w14:textId="77777777" w:rsidR="00602AD9" w:rsidRDefault="00602AD9" w:rsidP="00602AD9">
      <w:pPr>
        <w:pStyle w:val="FootnoteText"/>
        <w:jc w:val="both"/>
      </w:pPr>
      <w:r>
        <w:rPr>
          <w:rStyle w:val="FootnoteReference"/>
        </w:rPr>
        <w:footnoteRef/>
      </w:r>
      <w:r>
        <w:t xml:space="preserve"> </w:t>
      </w:r>
      <w:r w:rsidRPr="00CC7BEE">
        <w:rPr>
          <w:i/>
          <w:iCs/>
        </w:rPr>
        <w:t>See</w:t>
      </w:r>
      <w:r>
        <w:t xml:space="preserve"> </w:t>
      </w:r>
      <w:r w:rsidRPr="00ED73B7">
        <w:rPr>
          <w:rFonts w:cs="Times New Roman"/>
          <w:i/>
          <w:iCs/>
        </w:rPr>
        <w:t>In Re LTL Management, LLC</w:t>
      </w:r>
      <w:r>
        <w:rPr>
          <w:rFonts w:cs="Times New Roman"/>
        </w:rPr>
        <w:t>, Case No. 23-12825 (MBK), TCC Motion for Order Authorizing Estimation for Voting Purposes, Doc. 1020-1, p. 18 (July 12, 2023</w:t>
      </w:r>
      <w:r w:rsidRPr="009314B2">
        <w:rPr>
          <w:rFonts w:cs="Times New Roman"/>
        </w:rPr>
        <w:t>) (“In other words, a party solicited to vote on [the reorganization] plan may only be said to have adequate information if such party knows what its recovery will be under the plan.”)</w:t>
      </w:r>
      <w:r>
        <w:rPr>
          <w:rFonts w:cs="Times New Roman"/>
        </w:rPr>
        <w:t>.</w:t>
      </w:r>
    </w:p>
  </w:footnote>
  <w:footnote w:id="13">
    <w:p w14:paraId="17F5E507" w14:textId="77777777" w:rsidR="00602AD9" w:rsidRDefault="00602AD9" w:rsidP="00602AD9">
      <w:pPr>
        <w:pStyle w:val="FootnoteText"/>
        <w:jc w:val="both"/>
      </w:pPr>
      <w:r>
        <w:rPr>
          <w:rStyle w:val="FootnoteReference"/>
        </w:rPr>
        <w:footnoteRef/>
      </w:r>
      <w:r>
        <w:t xml:space="preserve"> S</w:t>
      </w:r>
      <w:r w:rsidRPr="00AA6101">
        <w:rPr>
          <w:rFonts w:cs="Times New Roman"/>
          <w:i/>
          <w:iCs/>
        </w:rPr>
        <w:t xml:space="preserve">ee </w:t>
      </w:r>
      <w:r w:rsidRPr="00ED73B7">
        <w:rPr>
          <w:rFonts w:cs="Times New Roman"/>
          <w:i/>
          <w:iCs/>
        </w:rPr>
        <w:t>In Re LTL Management, LLC</w:t>
      </w:r>
      <w:r>
        <w:rPr>
          <w:rFonts w:cs="Times New Roman"/>
        </w:rPr>
        <w:t>, Case No. 21-30589 (MBK), Debtor’s Reply in Support of the Need for Estimation, Doc. 2769, p. 16 (July 22, 2022).</w:t>
      </w:r>
    </w:p>
  </w:footnote>
  <w:footnote w:id="14">
    <w:p w14:paraId="4F600CB4" w14:textId="77777777" w:rsidR="00602AD9" w:rsidRDefault="00602AD9" w:rsidP="00602AD9">
      <w:pPr>
        <w:pStyle w:val="FootnoteText"/>
        <w:jc w:val="both"/>
      </w:pPr>
      <w:r>
        <w:rPr>
          <w:rStyle w:val="FootnoteReference"/>
        </w:rPr>
        <w:footnoteRef/>
      </w:r>
      <w:r>
        <w:t xml:space="preserve"> </w:t>
      </w:r>
      <w:r w:rsidRPr="00B37AFA">
        <w:rPr>
          <w:i/>
          <w:iCs/>
        </w:rPr>
        <w:t>See</w:t>
      </w:r>
      <w:r>
        <w:t xml:space="preserve"> Due Process Alignment in Mass Restructurings, Sergio Campos &amp; Samir Parikh, 91 Fordham Law Review 325, 338 (2022); </w:t>
      </w:r>
      <w:r w:rsidRPr="00B37AFA">
        <w:rPr>
          <w:i/>
          <w:iCs/>
        </w:rPr>
        <w:t>see also</w:t>
      </w:r>
      <w:r>
        <w:t xml:space="preserve"> </w:t>
      </w:r>
      <w:r w:rsidRPr="00FE7B02">
        <w:rPr>
          <w:rFonts w:cs="Times New Roman"/>
          <w:smallCaps/>
        </w:rPr>
        <w:t>Judicial Management of Mass Tort Bankruptcy Cases</w:t>
      </w:r>
      <w:r w:rsidRPr="00FE7B02">
        <w:rPr>
          <w:rFonts w:cs="Times New Roman"/>
        </w:rPr>
        <w:t>, S. Elizabeth Gibson, Federal Judicial Center, p. 90</w:t>
      </w:r>
      <w:r>
        <w:rPr>
          <w:rFonts w:cs="Times New Roman"/>
        </w:rPr>
        <w:t>, fn. 393</w:t>
      </w:r>
      <w:r w:rsidRPr="00FE7B02">
        <w:rPr>
          <w:rFonts w:cs="Times New Roman"/>
        </w:rPr>
        <w:t xml:space="preserve"> (2005).</w:t>
      </w:r>
    </w:p>
  </w:footnote>
  <w:footnote w:id="15">
    <w:p w14:paraId="32D43EB4" w14:textId="77777777" w:rsidR="00602AD9" w:rsidRDefault="00602AD9" w:rsidP="00602AD9">
      <w:pPr>
        <w:pStyle w:val="FootnoteText"/>
        <w:jc w:val="both"/>
      </w:pPr>
      <w:r>
        <w:rPr>
          <w:rStyle w:val="FootnoteReference"/>
        </w:rPr>
        <w:footnoteRef/>
      </w:r>
      <w:r>
        <w:t xml:space="preserve"> In mass-tort bankruptcies involving asbestos, prior litigation provides a reliable baseline for valuing claims. In contrast, many other mass-tort scenarios offer little to no historical precedent to guide the parties and court.</w:t>
      </w:r>
    </w:p>
  </w:footnote>
  <w:footnote w:id="16">
    <w:p w14:paraId="1376515D" w14:textId="77777777" w:rsidR="00602AD9" w:rsidRPr="008F76D6" w:rsidRDefault="00602AD9" w:rsidP="00602AD9">
      <w:pPr>
        <w:pStyle w:val="FootnoteText"/>
        <w:jc w:val="both"/>
        <w:rPr>
          <w:rFonts w:cs="Times New Roman"/>
        </w:rPr>
      </w:pPr>
      <w:r>
        <w:rPr>
          <w:rStyle w:val="FootnoteReference"/>
        </w:rPr>
        <w:footnoteRef/>
      </w:r>
      <w:r>
        <w:t xml:space="preserve"> </w:t>
      </w:r>
      <w:r w:rsidRPr="008F76D6">
        <w:rPr>
          <w:rFonts w:cs="Times New Roman"/>
          <w:i/>
          <w:iCs/>
        </w:rPr>
        <w:t>See</w:t>
      </w:r>
      <w:r>
        <w:rPr>
          <w:rFonts w:cs="Times New Roman"/>
        </w:rPr>
        <w:t xml:space="preserve"> 11 U.S.C. §502(c); </w:t>
      </w:r>
      <w:r w:rsidRPr="001A562E">
        <w:rPr>
          <w:rFonts w:cs="Times New Roman"/>
          <w:i/>
          <w:iCs/>
        </w:rPr>
        <w:t>see also In Re LTL Management, LLC,</w:t>
      </w:r>
      <w:r>
        <w:rPr>
          <w:rFonts w:cs="Times New Roman"/>
        </w:rPr>
        <w:t xml:space="preserve"> No. 21-30589, Official Committee of Talc Claimants Statement in Response to Debtor’s Reply in Support of the Need for Estimation, Doc. 2774, p. 6 (</w:t>
      </w:r>
      <w:proofErr w:type="spellStart"/>
      <w:r>
        <w:rPr>
          <w:rFonts w:cs="Times New Roman"/>
        </w:rPr>
        <w:t>Bankr</w:t>
      </w:r>
      <w:proofErr w:type="spellEnd"/>
      <w:r>
        <w:rPr>
          <w:rFonts w:cs="Times New Roman"/>
        </w:rPr>
        <w:t xml:space="preserve">. N.J. July 25, 2022) (committee suggests that a stand-alone estimation proceeding would take three to five years based on </w:t>
      </w:r>
      <w:proofErr w:type="gramStart"/>
      <w:r>
        <w:rPr>
          <w:rFonts w:cs="Times New Roman"/>
        </w:rPr>
        <w:t>past experience</w:t>
      </w:r>
      <w:proofErr w:type="gramEnd"/>
      <w:r>
        <w:rPr>
          <w:rFonts w:cs="Times New Roman"/>
        </w:rPr>
        <w:t>).</w:t>
      </w:r>
    </w:p>
  </w:footnote>
  <w:footnote w:id="17">
    <w:p w14:paraId="3D1C2BAF" w14:textId="77777777" w:rsidR="00602AD9" w:rsidRDefault="00602AD9" w:rsidP="00602AD9">
      <w:pPr>
        <w:pStyle w:val="FootnoteText"/>
        <w:jc w:val="both"/>
      </w:pPr>
      <w:r>
        <w:rPr>
          <w:rStyle w:val="FootnoteReference"/>
        </w:rPr>
        <w:footnoteRef/>
      </w:r>
      <w:r>
        <w:t xml:space="preserve"> </w:t>
      </w:r>
      <w:r w:rsidRPr="00AA6101">
        <w:rPr>
          <w:rFonts w:cs="Times New Roman"/>
          <w:i/>
          <w:iCs/>
        </w:rPr>
        <w:t xml:space="preserve">See </w:t>
      </w:r>
      <w:r w:rsidRPr="00ED73B7">
        <w:rPr>
          <w:rFonts w:cs="Times New Roman"/>
          <w:i/>
          <w:iCs/>
        </w:rPr>
        <w:t>In Re LTL Management, LLC</w:t>
      </w:r>
      <w:r>
        <w:rPr>
          <w:rFonts w:cs="Times New Roman"/>
        </w:rPr>
        <w:t>, Case No. 21-30589 (MBK), TCC Statement in Opposition to Debtor’s Request for Estimation, Doc. 2722, p. 6 (July 22, 2022) (“Simply put, if the claimants disagree with the results of the estimation proceeding, they can veto the proposed plan based on that estimation, leaving the case unresolved and putting parties right back to where they started.”).</w:t>
      </w:r>
    </w:p>
  </w:footnote>
  <w:footnote w:id="18">
    <w:p w14:paraId="7CC4BCAD" w14:textId="77777777" w:rsidR="00602AD9" w:rsidRDefault="00602AD9" w:rsidP="00602AD9">
      <w:pPr>
        <w:pStyle w:val="FootnoteText"/>
        <w:jc w:val="both"/>
      </w:pPr>
      <w:r>
        <w:rPr>
          <w:rStyle w:val="FootnoteReference"/>
        </w:rPr>
        <w:footnoteRef/>
      </w:r>
      <w:r>
        <w:t xml:space="preserve"> Under 11 U.S.C. </w:t>
      </w:r>
      <w:r>
        <w:rPr>
          <w:rFonts w:cs="Times New Roman"/>
        </w:rPr>
        <w:t>§</w:t>
      </w:r>
      <w:r>
        <w:t xml:space="preserve">502(c) any contingent or unliquidated claim shall be estimated for purposes of allowance.  Under </w:t>
      </w:r>
      <w:r>
        <w:rPr>
          <w:rFonts w:cs="Times New Roman"/>
        </w:rPr>
        <w:t>§</w:t>
      </w:r>
      <w:r>
        <w:t xml:space="preserve"> 502(a) a claim is deemed allowed unless a creditor objects. </w:t>
      </w:r>
    </w:p>
  </w:footnote>
  <w:footnote w:id="19">
    <w:p w14:paraId="22872C77" w14:textId="77777777" w:rsidR="00602AD9" w:rsidRDefault="00602AD9" w:rsidP="00602AD9">
      <w:pPr>
        <w:pStyle w:val="FootnoteText"/>
        <w:jc w:val="both"/>
      </w:pPr>
      <w:r>
        <w:rPr>
          <w:rStyle w:val="FootnoteReference"/>
        </w:rPr>
        <w:footnoteRef/>
      </w:r>
      <w:r>
        <w:t xml:space="preserve"> S</w:t>
      </w:r>
      <w:r w:rsidRPr="00DE18B1">
        <w:rPr>
          <w:i/>
          <w:iCs/>
        </w:rPr>
        <w:t>ee In Re Chemtura Corp.,</w:t>
      </w:r>
      <w:r w:rsidRPr="00DE18B1">
        <w:t xml:space="preserve"> 448 B.R. 635, 648 fn. 45 (</w:t>
      </w:r>
      <w:proofErr w:type="spellStart"/>
      <w:r w:rsidRPr="00DE18B1">
        <w:t>Bankr</w:t>
      </w:r>
      <w:proofErr w:type="spellEnd"/>
      <w:r w:rsidRPr="00DE18B1">
        <w:t>. S.D.N.Y. 2011) (“Reserves are frequently established [by claim estimation under Section 502(c)] to permit distributions to [other] creditors and other stakeholders without the delay that would result if the disputed claims were resolved by litigation.”)</w:t>
      </w:r>
    </w:p>
  </w:footnote>
  <w:footnote w:id="20">
    <w:p w14:paraId="36C18F32" w14:textId="77777777" w:rsidR="00602AD9" w:rsidRDefault="00602AD9" w:rsidP="00602AD9">
      <w:pPr>
        <w:pStyle w:val="FootnoteText"/>
        <w:jc w:val="both"/>
      </w:pPr>
      <w:r>
        <w:rPr>
          <w:rStyle w:val="FootnoteReference"/>
        </w:rPr>
        <w:footnoteRef/>
      </w:r>
      <w:r>
        <w:t xml:space="preserve"> </w:t>
      </w:r>
      <w:r w:rsidRPr="001A562E">
        <w:rPr>
          <w:i/>
          <w:iCs/>
        </w:rPr>
        <w:t>See In Re Dow Corning</w:t>
      </w:r>
      <w:r>
        <w:t>, 211 B.R. 545, 569 (</w:t>
      </w:r>
      <w:proofErr w:type="spellStart"/>
      <w:r>
        <w:t>Bankr</w:t>
      </w:r>
      <w:proofErr w:type="spellEnd"/>
      <w:r>
        <w:t xml:space="preserve">. </w:t>
      </w:r>
      <w:proofErr w:type="spellStart"/>
      <w:r>
        <w:t>E.D.Mich</w:t>
      </w:r>
      <w:proofErr w:type="spellEnd"/>
      <w:r>
        <w:t>. 1997) (“[A]</w:t>
      </w:r>
      <w:proofErr w:type="spellStart"/>
      <w:r>
        <w:t>llowing</w:t>
      </w:r>
      <w:proofErr w:type="spellEnd"/>
      <w:r>
        <w:t xml:space="preserve"> a bankruptcy judge to estimate the aggregate value of all claims for the apparently benign reason of determining feasibility of a plan of reorganization, when combined with the effects of 11 U.S.C. </w:t>
      </w:r>
      <w:r>
        <w:rPr>
          <w:rFonts w:cs="Times New Roman"/>
        </w:rPr>
        <w:t>§</w:t>
      </w:r>
      <w:r>
        <w:t xml:space="preserve"> 1141(d), can create the result that the estimation was actually for purposes of distribution as well.”).</w:t>
      </w:r>
    </w:p>
  </w:footnote>
  <w:footnote w:id="21">
    <w:p w14:paraId="3A9F5352" w14:textId="77777777" w:rsidR="00602AD9" w:rsidRDefault="00602AD9" w:rsidP="00602AD9">
      <w:pPr>
        <w:pStyle w:val="FootnoteText"/>
        <w:jc w:val="both"/>
      </w:pPr>
      <w:r>
        <w:rPr>
          <w:rStyle w:val="FootnoteReference"/>
        </w:rPr>
        <w:footnoteRef/>
      </w:r>
      <w:r>
        <w:t xml:space="preserve"> 28 U.S.C. </w:t>
      </w:r>
      <w:r>
        <w:rPr>
          <w:rFonts w:cs="Times New Roman"/>
        </w:rPr>
        <w:t>§157(b)(2)(B).</w:t>
      </w:r>
    </w:p>
  </w:footnote>
  <w:footnote w:id="22">
    <w:p w14:paraId="0D4C48AF" w14:textId="77777777" w:rsidR="00602AD9" w:rsidRDefault="00602AD9" w:rsidP="00602AD9">
      <w:pPr>
        <w:pStyle w:val="FootnoteText"/>
        <w:jc w:val="both"/>
      </w:pPr>
      <w:r>
        <w:rPr>
          <w:rStyle w:val="FootnoteReference"/>
        </w:rPr>
        <w:footnoteRef/>
      </w:r>
      <w:r>
        <w:t xml:space="preserve"> </w:t>
      </w:r>
      <w:r w:rsidRPr="001A562E">
        <w:rPr>
          <w:i/>
          <w:iCs/>
        </w:rPr>
        <w:t>See</w:t>
      </w:r>
      <w:r>
        <w:rPr>
          <w:i/>
          <w:iCs/>
        </w:rPr>
        <w:t xml:space="preserve"> In Re North American Health Care, Inc., </w:t>
      </w:r>
      <w:r w:rsidRPr="001A562E">
        <w:t>544 B.R. 684, 690</w:t>
      </w:r>
      <w:r>
        <w:rPr>
          <w:i/>
          <w:iCs/>
        </w:rPr>
        <w:t xml:space="preserve"> </w:t>
      </w:r>
      <w:r w:rsidRPr="001A562E">
        <w:t>(</w:t>
      </w:r>
      <w:proofErr w:type="spellStart"/>
      <w:r w:rsidRPr="001A562E">
        <w:t>Bankr</w:t>
      </w:r>
      <w:proofErr w:type="spellEnd"/>
      <w:r w:rsidRPr="001A562E">
        <w:t>. C.C. Cal. 2016)</w:t>
      </w:r>
      <w:r>
        <w:rPr>
          <w:i/>
          <w:iCs/>
        </w:rPr>
        <w:t xml:space="preserve"> (</w:t>
      </w:r>
      <w:r w:rsidRPr="001A562E">
        <w:t xml:space="preserve">estimated aggregate amount of tort claims not a cap on </w:t>
      </w:r>
      <w:r w:rsidRPr="00E72D86">
        <w:t>distributions</w:t>
      </w:r>
      <w:r w:rsidRPr="001A562E">
        <w:t xml:space="preserve"> and </w:t>
      </w:r>
      <w:r>
        <w:t xml:space="preserve">any </w:t>
      </w:r>
      <w:r w:rsidRPr="001A562E">
        <w:t>order confirming plan will</w:t>
      </w:r>
      <w:r>
        <w:t xml:space="preserve"> expressly provide that tort claims not resolved are not discharged but instead must be liquidated in amount through trials in state or federal courts)</w:t>
      </w:r>
      <w:r>
        <w:rPr>
          <w:i/>
          <w:iCs/>
        </w:rPr>
        <w:t>; see also</w:t>
      </w:r>
      <w:r w:rsidRPr="001A562E">
        <w:rPr>
          <w:i/>
          <w:iCs/>
        </w:rPr>
        <w:t xml:space="preserve"> In Re LTL Management LLC</w:t>
      </w:r>
      <w:r>
        <w:t>, No. 21-30589, Debtor’s Reply in Support of the Need for Estimation, Doc. 2769, p. 6, fn. 5 (</w:t>
      </w:r>
      <w:proofErr w:type="spellStart"/>
      <w:r>
        <w:t>Bankr</w:t>
      </w:r>
      <w:proofErr w:type="spellEnd"/>
      <w:r>
        <w:t>. D.N.J., July 22, 2022) (“Debtor does not object to the Court including language in any order approving an estimation process that provides that the estimation is for purposes of confirming a chapter 11 plan and is not intended to determine the insurers’ coverage obligations.”)</w:t>
      </w:r>
    </w:p>
  </w:footnote>
  <w:footnote w:id="23">
    <w:p w14:paraId="428D1786" w14:textId="77777777" w:rsidR="00602AD9" w:rsidRDefault="00602AD9" w:rsidP="00602AD9">
      <w:pPr>
        <w:pStyle w:val="FootnoteText"/>
        <w:jc w:val="both"/>
      </w:pPr>
      <w:r>
        <w:rPr>
          <w:rStyle w:val="FootnoteReference"/>
        </w:rPr>
        <w:footnoteRef/>
      </w:r>
      <w:r>
        <w:t xml:space="preserve"> </w:t>
      </w:r>
      <w:r w:rsidRPr="001A562E">
        <w:rPr>
          <w:i/>
          <w:iCs/>
        </w:rPr>
        <w:t>See</w:t>
      </w:r>
      <w:r>
        <w:t xml:space="preserve"> </w:t>
      </w:r>
      <w:r w:rsidRPr="001B4897">
        <w:t xml:space="preserve">Best </w:t>
      </w:r>
      <w:r>
        <w:t>P</w:t>
      </w:r>
      <w:r w:rsidRPr="001B4897">
        <w:t>ractice</w:t>
      </w:r>
      <w:r w:rsidRPr="00DC7F94">
        <w:rPr>
          <w:rFonts w:cs="Times New Roman"/>
          <w:b/>
          <w:bCs/>
          <w:szCs w:val="24"/>
        </w:rPr>
        <w:t xml:space="preserve"> </w:t>
      </w:r>
      <w:r w:rsidRPr="001B4897">
        <w:rPr>
          <w:rFonts w:cs="Times New Roman"/>
          <w:szCs w:val="24"/>
        </w:rPr>
        <w:t>MDL-§ 18(</w:t>
      </w:r>
      <w:r>
        <w:rPr>
          <w:rFonts w:cs="Times New Roman"/>
          <w:szCs w:val="24"/>
        </w:rPr>
        <w:t>d</w:t>
      </w:r>
      <w:r w:rsidRPr="001B4897">
        <w:rPr>
          <w:rFonts w:cs="Times New Roman"/>
          <w:szCs w:val="24"/>
        </w:rPr>
        <w:t>)</w:t>
      </w:r>
      <w:r>
        <w:rPr>
          <w:rFonts w:cs="Times New Roman"/>
          <w:szCs w:val="24"/>
        </w:rPr>
        <w:t xml:space="preserve">, </w:t>
      </w:r>
      <w:r w:rsidRPr="001B4897">
        <w:rPr>
          <w:rFonts w:cs="Times New Roman"/>
          <w:i/>
          <w:iCs/>
          <w:szCs w:val="24"/>
        </w:rPr>
        <w:t>infra</w:t>
      </w:r>
      <w:r>
        <w:rPr>
          <w:rFonts w:cs="Times New Roman"/>
          <w:i/>
          <w:iCs/>
          <w:szCs w:val="24"/>
        </w:rPr>
        <w:t xml:space="preserve">. </w:t>
      </w:r>
      <w:r>
        <w:rPr>
          <w:rFonts w:cs="Times New Roman"/>
          <w:szCs w:val="24"/>
        </w:rPr>
        <w:t xml:space="preserve"> </w:t>
      </w:r>
      <w:r>
        <w:t>The respective values of malignant and non-malignant asbestos tort claims</w:t>
      </w:r>
      <w:r w:rsidRPr="00BC1781">
        <w:t xml:space="preserve"> </w:t>
      </w:r>
      <w:r>
        <w:t>provide a clear example of a dichotomy. S</w:t>
      </w:r>
      <w:r w:rsidRPr="00B37AFA">
        <w:rPr>
          <w:i/>
          <w:iCs/>
        </w:rPr>
        <w:t>ee</w:t>
      </w:r>
      <w:r>
        <w:t xml:space="preserve"> Unlocking the Code: The Value of Bankruptcy to Resolve Mass Torts, U.S. Chamber of Commerce, Institute for Legal Reform, pp. 19-20 (December 2022) (Figure 3 shows that individuals with malignant diseases accounted for </w:t>
      </w:r>
      <w:r w:rsidRPr="00B37AFA">
        <w:t>80%</w:t>
      </w:r>
      <w:r>
        <w:t xml:space="preserve"> of the average annual trust claim payments between 2004 and 2020, while those with non-malignant diseases received the remaining </w:t>
      </w:r>
      <w:r w:rsidRPr="00B37AFA">
        <w:t>20%</w:t>
      </w:r>
      <w:r w:rsidRPr="00E34200">
        <w:t>.</w:t>
      </w:r>
      <w:r>
        <w:t>).</w:t>
      </w:r>
    </w:p>
  </w:footnote>
  <w:footnote w:id="24">
    <w:p w14:paraId="39CC4121" w14:textId="77777777" w:rsidR="00602AD9" w:rsidRDefault="00602AD9" w:rsidP="00602AD9">
      <w:pPr>
        <w:pStyle w:val="FootnoteText"/>
        <w:jc w:val="both"/>
      </w:pPr>
      <w:r>
        <w:rPr>
          <w:rStyle w:val="FootnoteReference"/>
        </w:rPr>
        <w:footnoteRef/>
      </w:r>
      <w:r>
        <w:t xml:space="preserve"> The same logic is related to the common strategy in proposed plans, which use “fast-track” identification of and processing for smaller claims, minimizing documentation to ensure a more cost-effective administration.</w:t>
      </w:r>
    </w:p>
  </w:footnote>
  <w:footnote w:id="25">
    <w:p w14:paraId="6BEB5378" w14:textId="77777777" w:rsidR="00602AD9" w:rsidRDefault="00602AD9" w:rsidP="00602AD9">
      <w:pPr>
        <w:pStyle w:val="FootnoteText"/>
        <w:jc w:val="both"/>
      </w:pPr>
      <w:r>
        <w:rPr>
          <w:rStyle w:val="FootnoteReference"/>
        </w:rPr>
        <w:footnoteRef/>
      </w:r>
      <w:r>
        <w:t xml:space="preserve"> S</w:t>
      </w:r>
      <w:r w:rsidRPr="001B4897">
        <w:rPr>
          <w:rFonts w:cs="Times New Roman"/>
          <w:i/>
          <w:iCs/>
          <w:szCs w:val="24"/>
        </w:rPr>
        <w:t xml:space="preserve">ee </w:t>
      </w:r>
      <w:r>
        <w:rPr>
          <w:i/>
          <w:iCs/>
        </w:rPr>
        <w:t>In</w:t>
      </w:r>
      <w:r w:rsidRPr="001B4897">
        <w:rPr>
          <w:i/>
          <w:iCs/>
        </w:rPr>
        <w:t xml:space="preserve"> Re Roman Catholic Archbishop of Portland in Oregon</w:t>
      </w:r>
      <w:r>
        <w:t>, 04-37154, Amended Memorandum Opinion Re Estimation and Plan Confirmation Issues, Doc. No. 3295, p. 11 (Bank. D. Ore.2006) (Court concluded that “due process for such estimates likely requires an individualized estimation of claims.”)</w:t>
      </w:r>
    </w:p>
  </w:footnote>
  <w:footnote w:id="26">
    <w:p w14:paraId="3DEE238C" w14:textId="77777777" w:rsidR="00602AD9" w:rsidRDefault="00602AD9" w:rsidP="00602AD9">
      <w:pPr>
        <w:pStyle w:val="FootnoteText"/>
        <w:jc w:val="both"/>
      </w:pPr>
      <w:r>
        <w:rPr>
          <w:rStyle w:val="FootnoteReference"/>
        </w:rPr>
        <w:footnoteRef/>
      </w:r>
      <w:r>
        <w:t xml:space="preserve"> Applying an exhaustive methodology to estimate individual tort claims for distribution purposes yields diminishing economic returns in mass-torts involving hundreds or thousands of claims. To avoid these substantial expenses, the parties often opt to negotiate a comprehensive, global settlement that uniformly resolves all pending claims.</w:t>
      </w:r>
    </w:p>
  </w:footnote>
  <w:footnote w:id="27">
    <w:p w14:paraId="73D67C8F" w14:textId="77777777" w:rsidR="00602AD9" w:rsidRDefault="00602AD9" w:rsidP="00602AD9">
      <w:pPr>
        <w:pStyle w:val="FootnoteText"/>
        <w:jc w:val="both"/>
      </w:pPr>
      <w:r>
        <w:rPr>
          <w:rStyle w:val="FootnoteReference"/>
        </w:rPr>
        <w:footnoteRef/>
      </w:r>
      <w:r>
        <w:t xml:space="preserve"> </w:t>
      </w:r>
      <w:r w:rsidRPr="009D1AB1">
        <w:rPr>
          <w:i/>
          <w:iCs/>
        </w:rPr>
        <w:t>See In Re: Whittaker Clark &amp; Daniels Inc</w:t>
      </w:r>
      <w:r>
        <w:t>., Nos. 24-2210 &amp; 24-2211, p. 34 fn. 16 (3</w:t>
      </w:r>
      <w:r w:rsidRPr="009D1AB1">
        <w:rPr>
          <w:vertAlign w:val="superscript"/>
        </w:rPr>
        <w:t>rd</w:t>
      </w:r>
      <w:r>
        <w:t xml:space="preserve"> Cir. September 10, 2025) (court expected lower-court scrutiny of proposed settlement of successor-liability contingent and unliquidated tort claims to be “rigorous”).</w:t>
      </w:r>
    </w:p>
  </w:footnote>
  <w:footnote w:id="28">
    <w:p w14:paraId="06757DD4" w14:textId="77777777" w:rsidR="00602AD9" w:rsidRDefault="00602AD9" w:rsidP="00602AD9">
      <w:pPr>
        <w:pStyle w:val="FootnoteText"/>
        <w:jc w:val="both"/>
      </w:pPr>
      <w:r>
        <w:rPr>
          <w:rStyle w:val="FootnoteReference"/>
        </w:rPr>
        <w:footnoteRef/>
      </w:r>
      <w:r>
        <w:t xml:space="preserve"> </w:t>
      </w:r>
      <w:r w:rsidRPr="001B4897">
        <w:rPr>
          <w:i/>
          <w:iCs/>
        </w:rPr>
        <w:t>See In Re Roman Catholic Archbishop of Portland in Oregon,</w:t>
      </w:r>
      <w:r>
        <w:t xml:space="preserve"> 04-37154, Doc. No. 3927, Tort Claimants Committee’s Memorandum Regarding Debtor’s Motions (</w:t>
      </w:r>
      <w:proofErr w:type="spellStart"/>
      <w:r>
        <w:t>Bankr</w:t>
      </w:r>
      <w:proofErr w:type="spellEnd"/>
      <w:r>
        <w:t>. D. Ore. July 24, 2006) (proposed estimation process identifying claims characteristics, collecting data, assigning characteristics to each claim, and testing to determine whether characteristics are statistically significant).</w:t>
      </w:r>
    </w:p>
  </w:footnote>
  <w:footnote w:id="29">
    <w:p w14:paraId="6468D580" w14:textId="77777777" w:rsidR="00602AD9" w:rsidRPr="007B45C1" w:rsidRDefault="00602AD9" w:rsidP="00602AD9">
      <w:pPr>
        <w:pStyle w:val="FootnoteText"/>
        <w:jc w:val="both"/>
        <w:rPr>
          <w:rFonts w:cs="Times New Roman"/>
        </w:rPr>
      </w:pPr>
      <w:r w:rsidRPr="007B45C1">
        <w:rPr>
          <w:rStyle w:val="FootnoteReference"/>
          <w:rFonts w:cs="Times New Roman"/>
        </w:rPr>
        <w:footnoteRef/>
      </w:r>
      <w:r w:rsidRPr="007B45C1">
        <w:rPr>
          <w:rFonts w:cs="Times New Roman"/>
        </w:rPr>
        <w:t xml:space="preserve"> </w:t>
      </w:r>
      <w:r>
        <w:rPr>
          <w:rFonts w:cs="Times New Roman"/>
        </w:rPr>
        <w:t xml:space="preserve">Under 11 U.S.C. § 1126(c), creditors </w:t>
      </w:r>
      <w:r w:rsidRPr="00C97C00">
        <w:rPr>
          <w:rFonts w:cs="Times New Roman"/>
        </w:rPr>
        <w:t xml:space="preserve">holding “at least two-thirds in amount and more than one-half in number of the allowed claims” are necessary to accept a proposed reorganization plan. </w:t>
      </w:r>
      <w:r>
        <w:rPr>
          <w:rFonts w:cs="Times New Roman"/>
        </w:rPr>
        <w:t xml:space="preserve">But the Bankruptcy Code includes an additional provision governing asbestos mass-tort bankruptcies.  </w:t>
      </w:r>
      <w:r w:rsidRPr="00C97C00">
        <w:rPr>
          <w:rFonts w:cs="Times New Roman"/>
        </w:rPr>
        <w:t>11 U.S.C. § 524(g)(2)(B)(</w:t>
      </w:r>
      <w:proofErr w:type="gramStart"/>
      <w:r w:rsidRPr="00C97C00">
        <w:rPr>
          <w:rFonts w:cs="Times New Roman"/>
        </w:rPr>
        <w:t>iv)(</w:t>
      </w:r>
      <w:proofErr w:type="gramEnd"/>
      <w:r w:rsidRPr="00C97C00">
        <w:rPr>
          <w:rFonts w:cs="Times New Roman"/>
        </w:rPr>
        <w:t xml:space="preserve">bb) applies </w:t>
      </w:r>
      <w:r>
        <w:rPr>
          <w:rFonts w:cs="Times New Roman"/>
        </w:rPr>
        <w:t xml:space="preserve">specifically </w:t>
      </w:r>
      <w:r w:rsidRPr="00C97C00">
        <w:rPr>
          <w:rFonts w:cs="Times New Roman"/>
        </w:rPr>
        <w:t xml:space="preserve">to asbestos mass-tort </w:t>
      </w:r>
      <w:proofErr w:type="gramStart"/>
      <w:r w:rsidRPr="00C97C00">
        <w:rPr>
          <w:rFonts w:cs="Times New Roman"/>
        </w:rPr>
        <w:t>bankruptcies, and</w:t>
      </w:r>
      <w:proofErr w:type="gramEnd"/>
      <w:r w:rsidRPr="00C97C00">
        <w:rPr>
          <w:rFonts w:cs="Times New Roman"/>
        </w:rPr>
        <w:t xml:space="preserve"> requires that “</w:t>
      </w:r>
      <w:r w:rsidRPr="00C97C00">
        <w:rPr>
          <w:rFonts w:cs="Times New Roman"/>
          <w:color w:val="333333"/>
          <w:shd w:val="clear" w:color="auto" w:fill="FFFFFF"/>
        </w:rPr>
        <w:t>at least 75 percent of those voting” favor the plan</w:t>
      </w:r>
      <w:r w:rsidRPr="00C97C00">
        <w:rPr>
          <w:rFonts w:cs="Times New Roman"/>
        </w:rPr>
        <w:t xml:space="preserve">.  </w:t>
      </w:r>
      <w:r>
        <w:rPr>
          <w:rFonts w:cs="Times New Roman"/>
        </w:rPr>
        <w:t xml:space="preserve">In an asbestos </w:t>
      </w:r>
      <w:proofErr w:type="gramStart"/>
      <w:r>
        <w:rPr>
          <w:rFonts w:cs="Times New Roman"/>
        </w:rPr>
        <w:t>mass-tort</w:t>
      </w:r>
      <w:proofErr w:type="gramEnd"/>
      <w:r>
        <w:rPr>
          <w:rFonts w:cs="Times New Roman"/>
        </w:rPr>
        <w:t xml:space="preserve"> bankruptcy, the plan proponent will likely have to show that at least two-thirds in amount and 75% in number of the asbestos claimants accept the plan.</w:t>
      </w:r>
    </w:p>
  </w:footnote>
  <w:footnote w:id="30">
    <w:p w14:paraId="24D38524" w14:textId="77777777" w:rsidR="00602AD9" w:rsidRDefault="00602AD9" w:rsidP="00602AD9">
      <w:pPr>
        <w:pStyle w:val="FootnoteText"/>
        <w:jc w:val="both"/>
      </w:pPr>
      <w:r>
        <w:rPr>
          <w:rStyle w:val="FootnoteReference"/>
        </w:rPr>
        <w:footnoteRef/>
      </w:r>
      <w:r>
        <w:t xml:space="preserve"> With fast-improving technology like AI, machine learning, and automated document review, it is becoming much cheaper and easier to run a highly detailed analysis on every individual injury claim</w:t>
      </w:r>
      <w:r>
        <w:rPr>
          <w:rFonts w:cs="Times New Roman"/>
          <w:color w:val="000000"/>
          <w:shd w:val="clear" w:color="auto" w:fill="FFFFFF"/>
        </w:rPr>
        <w:t>.</w:t>
      </w:r>
      <w:r w:rsidRPr="00F61F2D">
        <w:rPr>
          <w:rFonts w:cs="Times New Roman"/>
          <w:color w:val="000000"/>
          <w:shd w:val="clear" w:color="auto" w:fill="FFFFFF"/>
        </w:rPr>
        <w:t xml:space="preserve"> These technologies can assist in identifying claim characteristics, validating supporting documentation, assigning preliminary classifications, and flagging exceptions for human review. While human oversight remains important, such tools may make more sophisticated voting estimation methodologies administratively practical in large-scale mass</w:t>
      </w:r>
      <w:r>
        <w:rPr>
          <w:rFonts w:cs="Times New Roman"/>
          <w:color w:val="000000"/>
          <w:shd w:val="clear" w:color="auto" w:fill="FFFFFF"/>
        </w:rPr>
        <w:t>-</w:t>
      </w:r>
      <w:r w:rsidRPr="00F61F2D">
        <w:rPr>
          <w:rFonts w:cs="Times New Roman"/>
          <w:color w:val="000000"/>
          <w:shd w:val="clear" w:color="auto" w:fill="FFFFFF"/>
        </w:rPr>
        <w:t>tort bankruptcies.</w:t>
      </w:r>
    </w:p>
  </w:footnote>
  <w:footnote w:id="31">
    <w:p w14:paraId="61A7704C" w14:textId="77777777" w:rsidR="00602AD9" w:rsidRPr="00313D7B" w:rsidRDefault="00602AD9" w:rsidP="00602AD9">
      <w:pPr>
        <w:pStyle w:val="FootnoteText"/>
        <w:jc w:val="both"/>
      </w:pPr>
      <w:r>
        <w:rPr>
          <w:rStyle w:val="FootnoteReference"/>
        </w:rPr>
        <w:footnoteRef/>
      </w:r>
      <w:r>
        <w:t xml:space="preserve"> </w:t>
      </w:r>
      <w:r w:rsidRPr="00F61F2D">
        <w:rPr>
          <w:i/>
          <w:iCs/>
        </w:rPr>
        <w:t>See</w:t>
      </w:r>
      <w:r>
        <w:t xml:space="preserve"> </w:t>
      </w:r>
      <w:r w:rsidRPr="00313D7B">
        <w:t>Unlocking the Code: The Value of Bankruptcy to Resolve Mass Torts, U.S. Chamber of Commerce, Institute for Legal Reform, pp. 19-20 (December 2022) (Figure 3 shows that individuals with malignant diseases accounted for 80% of the average annual trust claim payments between 2004 and 2020, while those with non-malignant diseases received the remaining 20%.).</w:t>
      </w:r>
    </w:p>
    <w:p w14:paraId="6F8BF29E" w14:textId="77777777" w:rsidR="00602AD9" w:rsidRDefault="00602AD9" w:rsidP="00602AD9">
      <w:pPr>
        <w:pStyle w:val="FootnoteText"/>
      </w:pPr>
    </w:p>
  </w:footnote>
  <w:footnote w:id="32">
    <w:p w14:paraId="66E77D86"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i/>
          <w:iCs/>
        </w:rPr>
        <w:t>See In Re Quigley Company, Inc</w:t>
      </w:r>
      <w:r w:rsidRPr="00FE7B02">
        <w:t>., Case No. 04-15739, Memorandum Decision and Order Estimating Asbestos PI Claims for Voting Purposes Only, Doc. 897, pp. 13-14 (</w:t>
      </w:r>
      <w:proofErr w:type="spellStart"/>
      <w:r w:rsidRPr="00FE7B02">
        <w:t>Bankr</w:t>
      </w:r>
      <w:proofErr w:type="spellEnd"/>
      <w:r w:rsidRPr="00FE7B02">
        <w:t xml:space="preserve">. S.D.N.Y., August 9, 2006) (The court pointed to two cases where a uniform $1 tort claim valuation was considered a harmless error, as it did not prevent the plan from gaining overwhelming approval from claimants.  But this raises a critical question: is such an affirmative vote truly evidence of consensus, or merely a practical concession intended to resolve nuisance claims that might otherwise obstruct confirmation?).   </w:t>
      </w:r>
    </w:p>
  </w:footnote>
  <w:footnote w:id="33">
    <w:p w14:paraId="59C76DB2"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i/>
          <w:iCs/>
        </w:rPr>
        <w:t>See</w:t>
      </w:r>
      <w:r w:rsidRPr="00FE7B02">
        <w:t xml:space="preserve"> </w:t>
      </w:r>
      <w:r w:rsidRPr="00FE7B02">
        <w:rPr>
          <w:rFonts w:cs="Times New Roman"/>
          <w:smallCaps/>
        </w:rPr>
        <w:t>Judicial Management of Mass Tort Bankruptcy Cases</w:t>
      </w:r>
      <w:r w:rsidRPr="00FE7B02">
        <w:rPr>
          <w:rFonts w:cs="Times New Roman"/>
        </w:rPr>
        <w:t>, S. Elizabeth Gibson, Federal Judicial Center, p. 132 (2005</w:t>
      </w:r>
      <w:proofErr w:type="gramStart"/>
      <w:r w:rsidRPr="00FE7B02">
        <w:rPr>
          <w:rFonts w:cs="Times New Roman"/>
        </w:rPr>
        <w:t>) (“</w:t>
      </w:r>
      <w:proofErr w:type="gramEnd"/>
      <w:r w:rsidRPr="00FE7B02">
        <w:rPr>
          <w:rFonts w:cs="Times New Roman"/>
        </w:rPr>
        <w:t>Although Federal Rule of Bankruptcy Procedure 3018(a) permits a court to ‘temporarily allow [a] claim or interest in an amount which the court deems proper for purposes of accepting or rejecting a plan.’ Allowing all tort claims at the same amount runs the risk of giving too great a relative weight to insubstantial claims to the possible detriment of more serious claims.”).</w:t>
      </w:r>
    </w:p>
  </w:footnote>
  <w:footnote w:id="34">
    <w:p w14:paraId="52C834B5" w14:textId="77777777" w:rsidR="00602AD9" w:rsidRDefault="00602AD9" w:rsidP="00602AD9">
      <w:pPr>
        <w:pStyle w:val="FootnoteText"/>
        <w:jc w:val="both"/>
      </w:pPr>
      <w:r>
        <w:rPr>
          <w:rStyle w:val="FootnoteReference"/>
        </w:rPr>
        <w:footnoteRef/>
      </w:r>
      <w:r>
        <w:t xml:space="preserve"> </w:t>
      </w:r>
      <w:r w:rsidRPr="006504B4">
        <w:rPr>
          <w:i/>
          <w:iCs/>
        </w:rPr>
        <w:t>See</w:t>
      </w:r>
      <w:r>
        <w:t xml:space="preserve"> </w:t>
      </w:r>
      <w:r w:rsidRPr="00DF5CB8">
        <w:rPr>
          <w:rFonts w:cs="Times New Roman"/>
          <w:smallCaps/>
        </w:rPr>
        <w:t>Judicial Management of Mass Tort Bankruptcy Cases</w:t>
      </w:r>
      <w:r w:rsidRPr="00DF5CB8">
        <w:rPr>
          <w:rFonts w:cs="Times New Roman"/>
        </w:rPr>
        <w:t xml:space="preserve">, </w:t>
      </w:r>
      <w:r>
        <w:rPr>
          <w:rFonts w:cs="Times New Roman"/>
        </w:rPr>
        <w:t>S. Elizabeth Gibson, Federal Judicial Center,</w:t>
      </w:r>
      <w:r w:rsidRPr="00DF5CB8">
        <w:rPr>
          <w:rFonts w:cs="Times New Roman"/>
        </w:rPr>
        <w:t xml:space="preserve"> </w:t>
      </w:r>
      <w:r>
        <w:rPr>
          <w:rFonts w:cs="Times New Roman"/>
        </w:rPr>
        <w:t>p. 133 (2005) (author -- current Reporter to the Advisory Committee on Bankruptcy Rules – observed that because proposed plans were overwhelmingly approved by tort claimants, it was not surprising that the voting procedures received virtually no appellate scrutiny).</w:t>
      </w:r>
    </w:p>
  </w:footnote>
  <w:footnote w:id="35">
    <w:p w14:paraId="659AE4EF" w14:textId="77777777" w:rsidR="00602AD9" w:rsidRDefault="00602AD9" w:rsidP="00602AD9">
      <w:pPr>
        <w:pStyle w:val="FootnoteText"/>
        <w:jc w:val="both"/>
      </w:pPr>
      <w:r>
        <w:rPr>
          <w:rStyle w:val="FootnoteReference"/>
        </w:rPr>
        <w:footnoteRef/>
      </w:r>
      <w:r>
        <w:t xml:space="preserve"> Bankruptcy Rule 3018 gives bankruptcy courts flexibility in fashioning an estimation methodology for purposes of voting. This rule provides that a court may “</w:t>
      </w:r>
      <w:r w:rsidRPr="00C951B9">
        <w:t xml:space="preserve">temporarily allow a claim or interest </w:t>
      </w:r>
      <w:r w:rsidRPr="00D55C8D">
        <w:rPr>
          <w:b/>
          <w:bCs/>
          <w:i/>
          <w:iCs/>
        </w:rPr>
        <w:t>in an amount that the court considers proper</w:t>
      </w:r>
      <w:r w:rsidRPr="00C951B9">
        <w:t xml:space="preserve"> for voting to accept or reject a plan</w:t>
      </w:r>
      <w:r>
        <w:t>.” (emphasis added).</w:t>
      </w:r>
    </w:p>
  </w:footnote>
  <w:footnote w:id="36">
    <w:p w14:paraId="024D9539" w14:textId="77777777" w:rsidR="00602AD9" w:rsidRPr="00C951B9" w:rsidRDefault="00602AD9" w:rsidP="00602AD9">
      <w:pPr>
        <w:pStyle w:val="FootnoteText"/>
        <w:jc w:val="both"/>
      </w:pPr>
      <w:r>
        <w:rPr>
          <w:rStyle w:val="FootnoteReference"/>
        </w:rPr>
        <w:footnoteRef/>
      </w:r>
      <w:r>
        <w:t xml:space="preserve"> In </w:t>
      </w:r>
      <w:r>
        <w:rPr>
          <w:i/>
          <w:iCs/>
        </w:rPr>
        <w:t>Quigley</w:t>
      </w:r>
      <w:r>
        <w:t xml:space="preserve">, the ad hoc committee of tort victims proposed an estimation scheme derived from historical settlement values and would have required the construction of a matrix showing what each individual claim should be paid. The court rejected this approach as too </w:t>
      </w:r>
      <w:proofErr w:type="gramStart"/>
      <w:r>
        <w:t>time consuming</w:t>
      </w:r>
      <w:proofErr w:type="gramEnd"/>
      <w:r>
        <w:t xml:space="preserve"> versus an approach that relied on TDP values.</w:t>
      </w:r>
    </w:p>
  </w:footnote>
  <w:footnote w:id="37">
    <w:p w14:paraId="75624A80"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i/>
          <w:iCs/>
        </w:rPr>
        <w:t>In Re Quigley Company, Inc</w:t>
      </w:r>
      <w:r w:rsidRPr="00FE7B02">
        <w:t>., Case No. 04-15739, Memorandum Decision and Order Estimating Asbestos PI Claims for Voting Purposes Only, Doc. 897, p. 14 (</w:t>
      </w:r>
      <w:proofErr w:type="spellStart"/>
      <w:r w:rsidRPr="00FE7B02">
        <w:t>Bankr</w:t>
      </w:r>
      <w:proofErr w:type="spellEnd"/>
      <w:r w:rsidRPr="00FE7B02">
        <w:t>. S.D.N.Y., August 9, 2006</w:t>
      </w:r>
      <w:r>
        <w:t>).</w:t>
      </w:r>
    </w:p>
  </w:footnote>
  <w:footnote w:id="38">
    <w:p w14:paraId="56D10371" w14:textId="77777777" w:rsidR="00602AD9" w:rsidRPr="00FE7B02" w:rsidRDefault="00602AD9" w:rsidP="00602AD9">
      <w:pPr>
        <w:pStyle w:val="FootnoteText"/>
        <w:jc w:val="both"/>
      </w:pPr>
      <w:r w:rsidRPr="00FE7B02">
        <w:rPr>
          <w:rStyle w:val="FootnoteReference"/>
        </w:rPr>
        <w:footnoteRef/>
      </w:r>
      <w:r w:rsidRPr="00FE7B02">
        <w:t xml:space="preserve"> See </w:t>
      </w:r>
      <w:r w:rsidRPr="00FE7B02">
        <w:rPr>
          <w:rFonts w:cs="Times New Roman"/>
          <w:smallCaps/>
        </w:rPr>
        <w:t>Judicial Management of Mass Tort Bankruptcy Cases</w:t>
      </w:r>
      <w:r w:rsidRPr="00FE7B02">
        <w:rPr>
          <w:rFonts w:cs="Times New Roman"/>
        </w:rPr>
        <w:t xml:space="preserve">, S. Elizabeth Gibson, Federal Judicial Center, p. 132 (2005) (“In some other mass tort cases, all involving asbestos, courts have approved a special voting procedure for the personal injury claimants that </w:t>
      </w:r>
      <w:r w:rsidRPr="00B114A5">
        <w:rPr>
          <w:rFonts w:cs="Times New Roman"/>
        </w:rPr>
        <w:t>assigns a claim amount for voting purposes based on the disease category the claimant’s alleged injury falls within.”);</w:t>
      </w:r>
      <w:r w:rsidRPr="00F61F2D">
        <w:rPr>
          <w:rFonts w:cs="Times New Roman"/>
          <w:color w:val="222222"/>
          <w:shd w:val="clear" w:color="auto" w:fill="FFFFFF"/>
        </w:rPr>
        <w:t xml:space="preserve"> The </w:t>
      </w:r>
      <w:r w:rsidRPr="00F61F2D">
        <w:rPr>
          <w:rFonts w:cs="Times New Roman"/>
          <w:i/>
          <w:iCs/>
          <w:color w:val="222222"/>
          <w:shd w:val="clear" w:color="auto" w:fill="FFFFFF"/>
        </w:rPr>
        <w:t>Quigley</w:t>
      </w:r>
      <w:r w:rsidRPr="00F61F2D">
        <w:rPr>
          <w:rFonts w:cs="Times New Roman"/>
          <w:color w:val="222222"/>
          <w:shd w:val="clear" w:color="auto" w:fill="FFFFFF"/>
        </w:rPr>
        <w:t> court analyzed the final vote tally in that case using the values for the three disease categories </w:t>
      </w:r>
      <w:r w:rsidRPr="00F61F2D">
        <w:rPr>
          <w:rFonts w:cs="Times New Roman"/>
          <w:i/>
          <w:iCs/>
          <w:color w:val="222222"/>
          <w:shd w:val="clear" w:color="auto" w:fill="FFFFFF"/>
        </w:rPr>
        <w:t>and </w:t>
      </w:r>
      <w:r w:rsidRPr="00F61F2D">
        <w:rPr>
          <w:rFonts w:cs="Times New Roman"/>
          <w:color w:val="222222"/>
          <w:shd w:val="clear" w:color="auto" w:fill="FFFFFF"/>
        </w:rPr>
        <w:t>alternatively analyzed the results using the $1-per-claim methodology, and concluded that the result of the vote </w:t>
      </w:r>
      <w:r w:rsidRPr="00F61F2D">
        <w:rPr>
          <w:rFonts w:cs="Times New Roman"/>
          <w:i/>
          <w:iCs/>
          <w:color w:val="222222"/>
          <w:shd w:val="clear" w:color="auto" w:fill="FFFFFF"/>
        </w:rPr>
        <w:t>in that case</w:t>
      </w:r>
      <w:r w:rsidRPr="00F61F2D">
        <w:rPr>
          <w:rFonts w:cs="Times New Roman"/>
          <w:color w:val="222222"/>
          <w:shd w:val="clear" w:color="auto" w:fill="FFFFFF"/>
        </w:rPr>
        <w:t> was the same under either methodology. Nevertheless, </w:t>
      </w:r>
      <w:r w:rsidRPr="00F61F2D">
        <w:rPr>
          <w:rFonts w:cs="Times New Roman"/>
          <w:i/>
          <w:iCs/>
          <w:color w:val="222222"/>
          <w:shd w:val="clear" w:color="auto" w:fill="FFFFFF"/>
        </w:rPr>
        <w:t>Quigley</w:t>
      </w:r>
      <w:r w:rsidRPr="00F61F2D">
        <w:rPr>
          <w:rFonts w:cs="Times New Roman"/>
          <w:color w:val="222222"/>
          <w:shd w:val="clear" w:color="auto" w:fill="FFFFFF"/>
        </w:rPr>
        <w:t> shows that an estimation methodology that attaches values to different disease categories is more consistent with the statutory scheme of proportional voting and is administratively feasible without unduly delaying confirmation. Moreover, the choice of the two methodologies could change the outcome in cases with a high volume of small, marginal claims.</w:t>
      </w:r>
      <w:r w:rsidRPr="00B114A5">
        <w:rPr>
          <w:rFonts w:cs="Times New Roman"/>
        </w:rPr>
        <w:t xml:space="preserve"> </w:t>
      </w:r>
    </w:p>
  </w:footnote>
  <w:footnote w:id="39">
    <w:p w14:paraId="2B7DE908"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i/>
          <w:iCs/>
        </w:rPr>
        <w:t>In Re Quigley Company, Inc</w:t>
      </w:r>
      <w:r w:rsidRPr="00FE7B02">
        <w:t>., Case No. 04-15739, Memorandum Decision and Order Estimating Asbestos PI Claims for Voting Purposes Only, Doc. 897, p. 17 (</w:t>
      </w:r>
      <w:proofErr w:type="spellStart"/>
      <w:r w:rsidRPr="00FE7B02">
        <w:t>Bankr</w:t>
      </w:r>
      <w:proofErr w:type="spellEnd"/>
      <w:r w:rsidRPr="00FE7B02">
        <w:t>. S.D.N.Y., August 9, 2006).</w:t>
      </w:r>
    </w:p>
  </w:footnote>
  <w:footnote w:id="40">
    <w:p w14:paraId="1861AFBA" w14:textId="77777777" w:rsidR="00602AD9" w:rsidRPr="00FE7B02" w:rsidRDefault="00602AD9" w:rsidP="00602AD9">
      <w:pPr>
        <w:pStyle w:val="FootnoteText"/>
        <w:jc w:val="both"/>
        <w:rPr>
          <w:rFonts w:cs="Times New Roman"/>
        </w:rPr>
      </w:pPr>
      <w:r w:rsidRPr="00FE7B02">
        <w:rPr>
          <w:rStyle w:val="FootnoteReference"/>
        </w:rPr>
        <w:footnoteRef/>
      </w:r>
      <w:r w:rsidRPr="00FE7B02">
        <w:t xml:space="preserve"> </w:t>
      </w:r>
      <w:r>
        <w:t xml:space="preserve">In several mass-tort bankruptcies, the parties asked the court to estimate the total value of all tort claims. Though this estimate isn’t final and can be rejected </w:t>
      </w:r>
      <w:proofErr w:type="spellStart"/>
      <w:r>
        <w:t>at</w:t>
      </w:r>
      <w:proofErr w:type="spellEnd"/>
      <w:r>
        <w:t xml:space="preserve"> plan confirmation, it often helps bring the sides closer to a settlement. A recent complication has arisen, </w:t>
      </w:r>
      <w:r w:rsidRPr="00FE7B02">
        <w:rPr>
          <w:rFonts w:cs="Times New Roman"/>
          <w:szCs w:val="24"/>
        </w:rPr>
        <w:t xml:space="preserve">where ongoing litigation over the legitimacy of </w:t>
      </w:r>
      <w:proofErr w:type="gramStart"/>
      <w:r w:rsidRPr="00FE7B02">
        <w:rPr>
          <w:rFonts w:cs="Times New Roman"/>
          <w:szCs w:val="24"/>
        </w:rPr>
        <w:t>the bankruptcy</w:t>
      </w:r>
      <w:proofErr w:type="gramEnd"/>
      <w:r w:rsidRPr="00FE7B02">
        <w:rPr>
          <w:rFonts w:cs="Times New Roman"/>
          <w:szCs w:val="24"/>
        </w:rPr>
        <w:t xml:space="preserve"> itself threatens to return the entire dispute to the MDL court upon dismissal.  </w:t>
      </w:r>
      <w:r w:rsidRPr="00FE7B02">
        <w:rPr>
          <w:rFonts w:cs="Times New Roman"/>
        </w:rPr>
        <w:t>Tort claimants have argued that many of these mass-tort bankruptcies are illegitimate because they really are intended to do an end-</w:t>
      </w:r>
      <w:proofErr w:type="gramStart"/>
      <w:r w:rsidRPr="00FE7B02">
        <w:rPr>
          <w:rFonts w:cs="Times New Roman"/>
        </w:rPr>
        <w:t>around</w:t>
      </w:r>
      <w:proofErr w:type="gramEnd"/>
      <w:r w:rsidRPr="00FE7B02">
        <w:rPr>
          <w:rFonts w:cs="Times New Roman"/>
        </w:rPr>
        <w:t xml:space="preserve"> the tort system.</w:t>
      </w:r>
    </w:p>
  </w:footnote>
  <w:footnote w:id="41">
    <w:p w14:paraId="769F218C"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i/>
          <w:iCs/>
        </w:rPr>
        <w:t>See In Re: Whittaker Clark &amp; Daniels Inc</w:t>
      </w:r>
      <w:r w:rsidRPr="00FE7B02">
        <w:t>., Nos. 24-2210 &amp; 24-2211, 13, fn. 5 (3</w:t>
      </w:r>
      <w:r w:rsidRPr="00FE7B02">
        <w:rPr>
          <w:vertAlign w:val="superscript"/>
        </w:rPr>
        <w:t>rd</w:t>
      </w:r>
      <w:r w:rsidRPr="00FE7B02">
        <w:t xml:space="preserve"> Cir. September 10, 2025) (Lower court held a trial on proposed $535 million settlement of contingent and unliquidated successor-liability asbestos-related tort claims.).    </w:t>
      </w:r>
    </w:p>
  </w:footnote>
  <w:footnote w:id="42">
    <w:p w14:paraId="51D6F3CA" w14:textId="77777777" w:rsidR="00602AD9" w:rsidRDefault="00602AD9" w:rsidP="00602AD9">
      <w:pPr>
        <w:pStyle w:val="FootnoteText"/>
        <w:jc w:val="both"/>
      </w:pPr>
      <w:r>
        <w:rPr>
          <w:rStyle w:val="FootnoteReference"/>
        </w:rPr>
        <w:footnoteRef/>
      </w:r>
      <w:r>
        <w:t xml:space="preserve"> Courts employ several processes for estimation purposes, such as arbitration, record reviews, summary trials, evidentiary hearings, or simply reviewing pleadings and briefs.</w:t>
      </w:r>
    </w:p>
  </w:footnote>
  <w:footnote w:id="43">
    <w:p w14:paraId="3E537702" w14:textId="77777777" w:rsidR="00602AD9" w:rsidRDefault="00602AD9" w:rsidP="00602AD9">
      <w:pPr>
        <w:pStyle w:val="FootnoteText"/>
        <w:jc w:val="both"/>
      </w:pPr>
      <w:r>
        <w:rPr>
          <w:rStyle w:val="FootnoteReference"/>
        </w:rPr>
        <w:footnoteRef/>
      </w:r>
      <w:r>
        <w:t xml:space="preserve"> While injury types and impairment levels have an extensive historical record in asbestos mass-tort bankruptcies, injuries alleged in other mass torts may lack sufficient historical data, which requires individualized analysis. </w:t>
      </w:r>
    </w:p>
  </w:footnote>
  <w:footnote w:id="44">
    <w:p w14:paraId="23094D69" w14:textId="77777777" w:rsidR="00602AD9" w:rsidRPr="00F61F2D" w:rsidRDefault="00602AD9" w:rsidP="00602AD9">
      <w:pPr>
        <w:pStyle w:val="NormalWeb"/>
        <w:shd w:val="clear" w:color="auto" w:fill="FFFFFF"/>
        <w:spacing w:after="0"/>
        <w:jc w:val="both"/>
        <w:rPr>
          <w:color w:val="222222"/>
          <w:sz w:val="20"/>
          <w:szCs w:val="20"/>
        </w:rPr>
      </w:pPr>
      <w:r w:rsidRPr="00F61F2D">
        <w:rPr>
          <w:rStyle w:val="FootnoteReference"/>
          <w:sz w:val="20"/>
          <w:szCs w:val="20"/>
        </w:rPr>
        <w:footnoteRef/>
      </w:r>
      <w:r w:rsidRPr="00F61F2D">
        <w:rPr>
          <w:sz w:val="20"/>
          <w:szCs w:val="20"/>
        </w:rPr>
        <w:t xml:space="preserve"> Rapid advancements in AI technology </w:t>
      </w:r>
      <w:r>
        <w:rPr>
          <w:sz w:val="20"/>
          <w:szCs w:val="20"/>
        </w:rPr>
        <w:t xml:space="preserve">may soon </w:t>
      </w:r>
      <w:r w:rsidRPr="00B22052">
        <w:rPr>
          <w:sz w:val="20"/>
          <w:szCs w:val="20"/>
        </w:rPr>
        <w:t>make it possible to implement more granular, easily administered estimation method</w:t>
      </w:r>
      <w:r>
        <w:rPr>
          <w:sz w:val="20"/>
          <w:szCs w:val="20"/>
        </w:rPr>
        <w:t xml:space="preserve">ologies.  </w:t>
      </w:r>
      <w:r w:rsidRPr="00F61F2D">
        <w:rPr>
          <w:color w:val="000000"/>
          <w:sz w:val="20"/>
          <w:szCs w:val="20"/>
        </w:rPr>
        <w:t xml:space="preserve">One approach is to identify a limited number of objective data elements that are predictive of claim severity and can be efficiently </w:t>
      </w:r>
      <w:proofErr w:type="gramStart"/>
      <w:r w:rsidRPr="00F61F2D">
        <w:rPr>
          <w:color w:val="000000"/>
          <w:sz w:val="20"/>
          <w:szCs w:val="20"/>
        </w:rPr>
        <w:t>collected at</w:t>
      </w:r>
      <w:proofErr w:type="gramEnd"/>
      <w:r w:rsidRPr="00F61F2D">
        <w:rPr>
          <w:color w:val="000000"/>
          <w:sz w:val="20"/>
          <w:szCs w:val="20"/>
        </w:rPr>
        <w:t xml:space="preserve"> scale. Depending upon the type of mass tort</w:t>
      </w:r>
      <w:r>
        <w:rPr>
          <w:color w:val="000000"/>
          <w:sz w:val="20"/>
          <w:szCs w:val="20"/>
        </w:rPr>
        <w:t>s</w:t>
      </w:r>
      <w:r w:rsidRPr="00F61F2D">
        <w:rPr>
          <w:color w:val="000000"/>
          <w:sz w:val="20"/>
          <w:szCs w:val="20"/>
        </w:rPr>
        <w:t xml:space="preserve"> involved, these data elements may include factors such as diagnosis, injury type, level of impairment, duration of exposure, age at diagnosis, treatment history, disability status, or other claim-specific characteristics. In many cases, five or fewer standardized inputs may be sufficient to place claims into meaningful voting categories.</w:t>
      </w:r>
    </w:p>
    <w:p w14:paraId="36EB8C23" w14:textId="77777777" w:rsidR="00602AD9" w:rsidRDefault="00602AD9" w:rsidP="00602AD9">
      <w:pPr>
        <w:pStyle w:val="NormalWeb"/>
        <w:shd w:val="clear" w:color="auto" w:fill="FFFFFF"/>
        <w:spacing w:after="0"/>
        <w:jc w:val="both"/>
      </w:pPr>
      <w:r w:rsidRPr="00F61F2D">
        <w:rPr>
          <w:sz w:val="20"/>
          <w:szCs w:val="20"/>
        </w:rPr>
        <w:t xml:space="preserve">Under this approach, claimants </w:t>
      </w:r>
      <w:r>
        <w:rPr>
          <w:sz w:val="20"/>
          <w:szCs w:val="20"/>
        </w:rPr>
        <w:t>would</w:t>
      </w:r>
      <w:r w:rsidRPr="00F61F2D">
        <w:rPr>
          <w:sz w:val="20"/>
          <w:szCs w:val="20"/>
        </w:rPr>
        <w:t xml:space="preserve"> provide supporting documentation along with their data to maintain transparency and reliability.</w:t>
      </w:r>
      <w:r w:rsidRPr="00DF232D">
        <w:rPr>
          <w:sz w:val="20"/>
          <w:szCs w:val="20"/>
        </w:rPr>
        <w:t xml:space="preserve"> </w:t>
      </w:r>
      <w:r w:rsidRPr="00F61F2D">
        <w:rPr>
          <w:sz w:val="20"/>
          <w:szCs w:val="20"/>
        </w:rPr>
        <w:t xml:space="preserve">Advanced technology-assisted review tools, including AI and automated document-review systems, </w:t>
      </w:r>
      <w:r w:rsidRPr="00DF232D">
        <w:rPr>
          <w:sz w:val="20"/>
          <w:szCs w:val="20"/>
        </w:rPr>
        <w:t>would</w:t>
      </w:r>
      <w:r w:rsidRPr="00F61F2D">
        <w:rPr>
          <w:sz w:val="20"/>
          <w:szCs w:val="20"/>
        </w:rPr>
        <w:t xml:space="preserve"> analyze these submissions.</w:t>
      </w:r>
      <w:r w:rsidRPr="00DF232D">
        <w:rPr>
          <w:sz w:val="20"/>
          <w:szCs w:val="20"/>
        </w:rPr>
        <w:t xml:space="preserve">  </w:t>
      </w:r>
      <w:r>
        <w:rPr>
          <w:sz w:val="20"/>
          <w:szCs w:val="20"/>
        </w:rPr>
        <w:t>Routine</w:t>
      </w:r>
      <w:r w:rsidRPr="00F61F2D">
        <w:rPr>
          <w:sz w:val="20"/>
          <w:szCs w:val="20"/>
        </w:rPr>
        <w:t xml:space="preserve"> claims </w:t>
      </w:r>
      <w:r>
        <w:rPr>
          <w:sz w:val="20"/>
          <w:szCs w:val="20"/>
        </w:rPr>
        <w:t>would</w:t>
      </w:r>
      <w:r w:rsidRPr="00F61F2D">
        <w:rPr>
          <w:sz w:val="20"/>
          <w:szCs w:val="20"/>
        </w:rPr>
        <w:t xml:space="preserve"> move through the system automatically, so </w:t>
      </w:r>
      <w:r>
        <w:rPr>
          <w:sz w:val="20"/>
          <w:szCs w:val="20"/>
        </w:rPr>
        <w:t xml:space="preserve">that </w:t>
      </w:r>
      <w:r w:rsidRPr="00F61F2D">
        <w:rPr>
          <w:sz w:val="20"/>
          <w:szCs w:val="20"/>
        </w:rPr>
        <w:t xml:space="preserve">human reviewers </w:t>
      </w:r>
      <w:r>
        <w:rPr>
          <w:sz w:val="20"/>
          <w:szCs w:val="20"/>
        </w:rPr>
        <w:t xml:space="preserve">would </w:t>
      </w:r>
      <w:r w:rsidRPr="00F61F2D">
        <w:rPr>
          <w:sz w:val="20"/>
          <w:szCs w:val="20"/>
        </w:rPr>
        <w:t>only need to step in for disputed, incomplete, or unusual cases.</w:t>
      </w:r>
      <w:r>
        <w:rPr>
          <w:sz w:val="20"/>
          <w:szCs w:val="20"/>
        </w:rPr>
        <w:t xml:space="preserve"> </w:t>
      </w:r>
      <w:r w:rsidRPr="00F61F2D">
        <w:rPr>
          <w:sz w:val="20"/>
          <w:szCs w:val="20"/>
        </w:rPr>
        <w:t>This approach makes it possible to use a much more precise valuation method without getting overwhelmed, even if there are tens of thousands of people filing claims.</w:t>
      </w:r>
      <w:r>
        <w:rPr>
          <w:sz w:val="20"/>
          <w:szCs w:val="20"/>
        </w:rPr>
        <w:t xml:space="preserve"> </w:t>
      </w:r>
      <w:r w:rsidRPr="00F61F2D">
        <w:rPr>
          <w:sz w:val="20"/>
          <w:szCs w:val="20"/>
        </w:rPr>
        <w:t xml:space="preserve">Although this introduces initial complexity, the data </w:t>
      </w:r>
      <w:r>
        <w:rPr>
          <w:sz w:val="20"/>
          <w:szCs w:val="20"/>
        </w:rPr>
        <w:t xml:space="preserve">would be </w:t>
      </w:r>
      <w:r w:rsidRPr="00F61F2D">
        <w:rPr>
          <w:sz w:val="20"/>
          <w:szCs w:val="20"/>
        </w:rPr>
        <w:t>utilized consistently throughout the bankruptcy proceedings, ultimately reducing duplicate efforts.</w:t>
      </w:r>
      <w:r>
        <w:rPr>
          <w:color w:val="000000"/>
          <w:sz w:val="20"/>
          <w:szCs w:val="20"/>
        </w:rPr>
        <w:t xml:space="preserve"> For example, i</w:t>
      </w:r>
      <w:r w:rsidRPr="00F61F2D">
        <w:rPr>
          <w:color w:val="000000"/>
          <w:sz w:val="20"/>
          <w:szCs w:val="20"/>
        </w:rPr>
        <w:t xml:space="preserve">nformation collected for voting estimation purposes </w:t>
      </w:r>
      <w:r>
        <w:rPr>
          <w:color w:val="000000"/>
          <w:sz w:val="20"/>
          <w:szCs w:val="20"/>
        </w:rPr>
        <w:t>would</w:t>
      </w:r>
      <w:r w:rsidRPr="00F61F2D">
        <w:rPr>
          <w:color w:val="000000"/>
          <w:sz w:val="20"/>
          <w:szCs w:val="20"/>
        </w:rPr>
        <w:t xml:space="preserve"> later be incorporated into proof-of-claim submissions, trust review procedures, or final valuation processes, reducing both administrative burden and cost.</w:t>
      </w:r>
      <w:r>
        <w:rPr>
          <w:color w:val="000000"/>
          <w:sz w:val="20"/>
          <w:szCs w:val="20"/>
        </w:rPr>
        <w:t xml:space="preserve"> </w:t>
      </w:r>
    </w:p>
  </w:footnote>
  <w:footnote w:id="45">
    <w:p w14:paraId="056BF023"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i/>
          <w:iCs/>
        </w:rPr>
        <w:t>See</w:t>
      </w:r>
      <w:r w:rsidRPr="00FE7B02">
        <w:t xml:space="preserve">, How Does </w:t>
      </w:r>
      <w:proofErr w:type="gramStart"/>
      <w:r w:rsidRPr="00FE7B02">
        <w:t>A</w:t>
      </w:r>
      <w:proofErr w:type="gramEnd"/>
      <w:r w:rsidRPr="00FE7B02">
        <w:t xml:space="preserve"> Mass Tort Settlement Calculator Help Estimate Case Value Accurately? </w:t>
      </w:r>
      <w:proofErr w:type="spellStart"/>
      <w:r w:rsidRPr="00FE7B02">
        <w:t>Trivent</w:t>
      </w:r>
      <w:proofErr w:type="spellEnd"/>
      <w:r w:rsidRPr="00FE7B02">
        <w:t xml:space="preserve"> Legal, Medical Legal Services (February 2, 2026).</w:t>
      </w:r>
    </w:p>
  </w:footnote>
  <w:footnote w:id="46">
    <w:p w14:paraId="18E824E4" w14:textId="77777777" w:rsidR="00602AD9" w:rsidRPr="00FE7B02" w:rsidRDefault="00602AD9" w:rsidP="00602AD9">
      <w:pPr>
        <w:pStyle w:val="FootnoteText"/>
        <w:jc w:val="both"/>
        <w:rPr>
          <w:rFonts w:cs="Times New Roman"/>
        </w:rPr>
      </w:pPr>
      <w:r w:rsidRPr="00FE7B02">
        <w:rPr>
          <w:rStyle w:val="FootnoteReference"/>
        </w:rPr>
        <w:footnoteRef/>
      </w:r>
      <w:r w:rsidRPr="00FE7B02">
        <w:t xml:space="preserve"> </w:t>
      </w:r>
      <w:r w:rsidRPr="00FE7B02">
        <w:rPr>
          <w:rFonts w:cs="Times New Roman"/>
        </w:rPr>
        <w:t xml:space="preserve">How categories of tort claims are valued is important to how tort claims are classified and whether tort claims can be included within a single class of claims.  Generally, tort claims receive the same “treatment” when such claims are valued in a manner consistent with tort-system outcomes and then paid based on the same payment percentage. </w:t>
      </w:r>
      <w:r w:rsidRPr="00FE7B02">
        <w:rPr>
          <w:rFonts w:cs="Times New Roman"/>
          <w:i/>
          <w:iCs/>
        </w:rPr>
        <w:t>See In re W.R. Grace &amp; Co</w:t>
      </w:r>
      <w:r w:rsidRPr="00FE7B02">
        <w:rPr>
          <w:rFonts w:cs="Times New Roman"/>
        </w:rPr>
        <w:t xml:space="preserve">., 729 F.3d 311, 329-330 (3d Cir. 2013) (tort claimants would receive the “same treatment” if they were all permitted to present their claims to a jury and were all paid whatever amounts the jury awarded, until funds were no longer available) (following </w:t>
      </w:r>
      <w:proofErr w:type="gramStart"/>
      <w:r w:rsidRPr="00FE7B02">
        <w:rPr>
          <w:rFonts w:cs="Times New Roman"/>
          <w:i/>
          <w:iCs/>
        </w:rPr>
        <w:t>In</w:t>
      </w:r>
      <w:proofErr w:type="gramEnd"/>
      <w:r w:rsidRPr="00FE7B02">
        <w:rPr>
          <w:rFonts w:cs="Times New Roman"/>
          <w:i/>
          <w:iCs/>
        </w:rPr>
        <w:t xml:space="preserve"> re Joint E. &amp; S. Dist. Asbestos Litig</w:t>
      </w:r>
      <w:r w:rsidRPr="00FE7B02">
        <w:rPr>
          <w:rFonts w:cs="Times New Roman"/>
        </w:rPr>
        <w:t xml:space="preserve">., 982 F.2d 721, 749 (2d Cir. 1992). </w:t>
      </w:r>
    </w:p>
    <w:p w14:paraId="1CDBFED2" w14:textId="77777777" w:rsidR="00602AD9" w:rsidRPr="00FE7B02" w:rsidRDefault="00602AD9" w:rsidP="00602AD9">
      <w:pPr>
        <w:pStyle w:val="FootnoteText"/>
        <w:jc w:val="both"/>
        <w:rPr>
          <w:rFonts w:cs="Times New Roman"/>
        </w:rPr>
      </w:pPr>
      <w:r w:rsidRPr="00FE7B02">
        <w:rPr>
          <w:rFonts w:cs="Times New Roman"/>
        </w:rPr>
        <w:t xml:space="preserve">Tort claims receive different treatment when they are assigned different payment percentages relative to their tort-system values. </w:t>
      </w:r>
      <w:r w:rsidRPr="00FE7B02">
        <w:rPr>
          <w:rFonts w:cs="Times New Roman"/>
          <w:i/>
          <w:iCs/>
        </w:rPr>
        <w:t>See In re AOV Indus., Inc.,</w:t>
      </w:r>
      <w:r w:rsidRPr="00FE7B02">
        <w:rPr>
          <w:rFonts w:cs="Times New Roman"/>
        </w:rPr>
        <w:t xml:space="preserve"> 792 F.2d 1140, 1152 (</w:t>
      </w:r>
      <w:proofErr w:type="spellStart"/>
      <w:r w:rsidRPr="00FE7B02">
        <w:rPr>
          <w:rFonts w:cs="Times New Roman"/>
        </w:rPr>
        <w:t>D.C.Cir</w:t>
      </w:r>
      <w:proofErr w:type="spellEnd"/>
      <w:r w:rsidRPr="00FE7B02">
        <w:rPr>
          <w:rFonts w:cs="Times New Roman"/>
        </w:rPr>
        <w:t xml:space="preserve">. 1986) (“[T]he most conspicuous inequality that § 1123(a)(4) prohibits is payment of different percentage settlements to coclass members.”).  If a plan (or trust distribution-procedures) </w:t>
      </w:r>
      <w:proofErr w:type="gramStart"/>
      <w:r w:rsidRPr="00FE7B02">
        <w:rPr>
          <w:rFonts w:cs="Times New Roman"/>
        </w:rPr>
        <w:t>assign</w:t>
      </w:r>
      <w:proofErr w:type="gramEnd"/>
      <w:r w:rsidRPr="00FE7B02">
        <w:rPr>
          <w:rFonts w:cs="Times New Roman"/>
        </w:rPr>
        <w:t xml:space="preserve"> tort claims values that mirror tort-system values, high-valued claims will receive higher awards and low-value claims will receive lower awards.  This would not constitute different treatment -- or offend § 1123(a)(4) of the Bankruptcy Code – but would simply reflect differences in the claim values based on substantive differences in legal rights. </w:t>
      </w:r>
      <w:r w:rsidRPr="00FE7B02">
        <w:rPr>
          <w:rFonts w:cs="Times New Roman"/>
          <w:i/>
          <w:iCs/>
        </w:rPr>
        <w:t>See In re FINOVA Grp., Inc</w:t>
      </w:r>
      <w:r w:rsidRPr="00FE7B02">
        <w:rPr>
          <w:rFonts w:cs="Times New Roman"/>
        </w:rPr>
        <w:t xml:space="preserve">., 304 B.R. 630, 637 (D. Del 2004) (§ 1123(a)(4) does not require parties to receive equal payment under a reorganization plan).  If a plan (or trust-distribution procedures) assign tort claims values that do not mirror tort-system values, parties can argue that the plan effectuates different treatment within a class, which could necessitate separate classification.  Absent a consensual resolution, estimation of the value of categories of tort claims may be needed to determine the appropriate classification of tort claims under a plan. </w:t>
      </w:r>
    </w:p>
  </w:footnote>
  <w:footnote w:id="47">
    <w:p w14:paraId="3ECB7669"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rFonts w:cs="Times New Roman"/>
          <w:szCs w:val="24"/>
        </w:rPr>
        <w:t>The ultimate liquidation of tort claims usually occurs post-confirmation and independent of the reorganization proceeding.  This may happen in the tort system or through court-approved trust distribution procedures.</w:t>
      </w:r>
    </w:p>
  </w:footnote>
  <w:footnote w:id="48">
    <w:p w14:paraId="1E8A75DC"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rFonts w:cs="Times New Roman"/>
          <w:i/>
          <w:iCs/>
        </w:rPr>
        <w:t>See</w:t>
      </w:r>
      <w:r w:rsidRPr="00FE7B02">
        <w:t xml:space="preserve"> </w:t>
      </w:r>
      <w:bookmarkStart w:id="2" w:name="_Hlk144652022"/>
      <w:r w:rsidRPr="00FE7B02">
        <w:rPr>
          <w:rFonts w:cs="Times New Roman"/>
          <w:i/>
          <w:iCs/>
        </w:rPr>
        <w:t>In Re LTL Management, LLC</w:t>
      </w:r>
      <w:r w:rsidRPr="00FE7B02">
        <w:rPr>
          <w:rFonts w:cs="Times New Roman"/>
        </w:rPr>
        <w:t xml:space="preserve">, Case No. 21-30589 (MBK), </w:t>
      </w:r>
      <w:bookmarkEnd w:id="2"/>
      <w:r w:rsidRPr="00FE7B02">
        <w:rPr>
          <w:rFonts w:cs="Times New Roman"/>
        </w:rPr>
        <w:t>Debtor’s Statement on Proposed Next Steps, Doc</w:t>
      </w:r>
      <w:r>
        <w:rPr>
          <w:rFonts w:cs="Times New Roman"/>
        </w:rPr>
        <w:t>.</w:t>
      </w:r>
      <w:r w:rsidRPr="00FE7B02">
        <w:rPr>
          <w:rFonts w:cs="Times New Roman"/>
        </w:rPr>
        <w:t xml:space="preserve"> 2473, pp. 7-8 (June 10, 2022).  Citing case that estimated personal-injury claims by determining claimants had “about a one-in-four chance of winning” and another case holding the estimated value of contract claims is “the amount of the claim diminished by [the] probability that it may be sustainable only in part or not at all.” </w:t>
      </w:r>
      <w:r w:rsidRPr="00FE7B02">
        <w:t xml:space="preserve">    </w:t>
      </w:r>
    </w:p>
  </w:footnote>
  <w:footnote w:id="49">
    <w:p w14:paraId="40D838FC"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rFonts w:cs="Times New Roman"/>
          <w:szCs w:val="24"/>
        </w:rPr>
        <w:t xml:space="preserve">For example, historically, a significant percentage of the thousands of actions filed in </w:t>
      </w:r>
      <w:proofErr w:type="gramStart"/>
      <w:r w:rsidRPr="00FE7B02">
        <w:rPr>
          <w:rFonts w:cs="Times New Roman"/>
          <w:szCs w:val="24"/>
        </w:rPr>
        <w:t>an individual</w:t>
      </w:r>
      <w:proofErr w:type="gramEnd"/>
      <w:r w:rsidRPr="00FE7B02">
        <w:rPr>
          <w:rFonts w:cs="Times New Roman"/>
          <w:szCs w:val="24"/>
        </w:rPr>
        <w:t xml:space="preserve"> mass-tort MDL are ultimately dismissed, because the plaintiffs did not use the relevant product or did not suffer the alleged injuries, or the applicable statute of limitations had run. Another example includes a category of a new type of tort claims filed after the MDL was brought into bankruptcy, which the creditors committee asserted were nuisance-settlement claims and virtually valueless.  </w:t>
      </w:r>
      <w:r w:rsidRPr="00FE7B02">
        <w:rPr>
          <w:rFonts w:cs="Times New Roman"/>
          <w:i/>
          <w:iCs/>
          <w:szCs w:val="24"/>
        </w:rPr>
        <w:t>See</w:t>
      </w:r>
      <w:r w:rsidRPr="00FE7B02">
        <w:rPr>
          <w:rFonts w:cs="Times New Roman"/>
          <w:szCs w:val="24"/>
        </w:rPr>
        <w:t xml:space="preserve"> </w:t>
      </w:r>
      <w:r w:rsidRPr="00FE7B02">
        <w:rPr>
          <w:rFonts w:cs="Times New Roman"/>
          <w:i/>
          <w:iCs/>
        </w:rPr>
        <w:t>In Re LTL Management, LLC</w:t>
      </w:r>
      <w:r w:rsidRPr="00FE7B02">
        <w:rPr>
          <w:rFonts w:cs="Times New Roman"/>
        </w:rPr>
        <w:t>, Case No. 23-12825 (MBK), TCC Motion for Order Authorizing Estimation for Voting Purposes, Doc</w:t>
      </w:r>
      <w:r>
        <w:rPr>
          <w:rFonts w:cs="Times New Roman"/>
        </w:rPr>
        <w:t>.</w:t>
      </w:r>
      <w:r w:rsidRPr="00FE7B02">
        <w:rPr>
          <w:rFonts w:cs="Times New Roman"/>
        </w:rPr>
        <w:t xml:space="preserve"> 1020-1, p. 3 (July 12, 2023) (noting that in the absence of an evaluation of the merits of some claims “all talc claimants will be forced to accept nuisance value settlements and, at the same time, talc claimants who reject such awards will be denied the right to pursue J &amp; J in the tort system”); </w:t>
      </w:r>
      <w:r w:rsidRPr="00FE7B02">
        <w:rPr>
          <w:rFonts w:cs="Times New Roman"/>
          <w:i/>
          <w:iCs/>
        </w:rPr>
        <w:t>see also</w:t>
      </w:r>
      <w:r w:rsidRPr="00FE7B02">
        <w:rPr>
          <w:rFonts w:cs="Times New Roman"/>
        </w:rPr>
        <w:t xml:space="preserve"> </w:t>
      </w:r>
      <w:r w:rsidRPr="00FE7B02">
        <w:rPr>
          <w:rFonts w:cs="Times New Roman"/>
          <w:smallCaps/>
        </w:rPr>
        <w:t xml:space="preserve">Vetting the </w:t>
      </w:r>
      <w:proofErr w:type="spellStart"/>
      <w:r w:rsidRPr="00FE7B02">
        <w:rPr>
          <w:rFonts w:cs="Times New Roman"/>
          <w:smallCaps/>
        </w:rPr>
        <w:t>Wether</w:t>
      </w:r>
      <w:proofErr w:type="spellEnd"/>
      <w:r w:rsidRPr="00FE7B02">
        <w:rPr>
          <w:rFonts w:cs="Times New Roman"/>
          <w:smallCaps/>
        </w:rPr>
        <w:t>: One Shepherd’s View</w:t>
      </w:r>
      <w:r w:rsidRPr="00FE7B02">
        <w:rPr>
          <w:rFonts w:cs="Times New Roman"/>
        </w:rPr>
        <w:t xml:space="preserve">, Judge M. Casey Rodgers, 89 UMKC Law Review 873, No. 4, pp. 873-874 (2021) (“And yes, as some may be loath to admit, the sheer volume of unsupportable claims in some MDLs can grossly distort the true merit and size of the litigation.  To be sure, dealing with unsupportable claims, and with their consequences for an MDL more broadly, drains the time and resources of the parties, counsel, and the courts.” Judge Rodgers reportedly dismissed 80,000 such actions in her </w:t>
      </w:r>
      <w:r w:rsidRPr="00FE7B02">
        <w:rPr>
          <w:rFonts w:cs="Times New Roman"/>
          <w:i/>
          <w:iCs/>
        </w:rPr>
        <w:t>3M Combat Arms Earplug</w:t>
      </w:r>
      <w:r w:rsidRPr="00FE7B02">
        <w:rPr>
          <w:rFonts w:cs="Times New Roman"/>
        </w:rPr>
        <w:t xml:space="preserve"> MDL No. 2885).</w:t>
      </w:r>
    </w:p>
  </w:footnote>
  <w:footnote w:id="50">
    <w:p w14:paraId="420F0100"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rFonts w:cs="Times New Roman"/>
          <w:szCs w:val="24"/>
        </w:rPr>
        <w:t xml:space="preserve">In asbestos mass-tort bankruptcies, for example, extensive settlement histories have traditionally been relied on to estimate the aggregate values of the tort claims. The theory being that the past settlement amounts </w:t>
      </w:r>
      <w:proofErr w:type="gramStart"/>
      <w:r w:rsidRPr="00FE7B02">
        <w:rPr>
          <w:rFonts w:cs="Times New Roman"/>
          <w:szCs w:val="24"/>
        </w:rPr>
        <w:t>approximate</w:t>
      </w:r>
      <w:proofErr w:type="gramEnd"/>
      <w:r w:rsidRPr="00FE7B02">
        <w:rPr>
          <w:rFonts w:cs="Times New Roman"/>
          <w:szCs w:val="24"/>
        </w:rPr>
        <w:t xml:space="preserve"> the value of future claims.</w:t>
      </w:r>
      <w:r w:rsidRPr="00FE7B02">
        <w:rPr>
          <w:rFonts w:cs="Times New Roman"/>
          <w:smallCaps/>
        </w:rPr>
        <w:t xml:space="preserve"> Judicial Management of Mass Tort Bankruptcy Cases</w:t>
      </w:r>
      <w:r w:rsidRPr="00FE7B02">
        <w:rPr>
          <w:rFonts w:cs="Times New Roman"/>
        </w:rPr>
        <w:t>, S. Elizabeth Gibson, Federal Judicial Center, p. 90 (2005).</w:t>
      </w:r>
      <w:r w:rsidRPr="00FE7B02">
        <w:rPr>
          <w:rFonts w:cs="Times New Roman"/>
          <w:szCs w:val="24"/>
        </w:rPr>
        <w:t xml:space="preserve"> But this theory has been challenged in cases when some debtors have asserted that past settlement amounts are based on incomplete information because the past claims were settled without access to complete information about a claimant’s exposure to other products or settlement amounts received from co-defendants. Yet another example involved assertions by the debtor that intervening scientific studies and other developments superseded the validity of the earlier settlements of </w:t>
      </w:r>
      <w:proofErr w:type="gramStart"/>
      <w:r w:rsidRPr="00FE7B02">
        <w:rPr>
          <w:rFonts w:cs="Times New Roman"/>
          <w:szCs w:val="24"/>
        </w:rPr>
        <w:t>particular categories</w:t>
      </w:r>
      <w:proofErr w:type="gramEnd"/>
      <w:r w:rsidRPr="00FE7B02">
        <w:rPr>
          <w:rFonts w:cs="Times New Roman"/>
          <w:szCs w:val="24"/>
        </w:rPr>
        <w:t xml:space="preserve"> of claims.  </w:t>
      </w:r>
      <w:r w:rsidRPr="00FE7B02">
        <w:rPr>
          <w:rFonts w:cs="Times New Roman"/>
          <w:i/>
          <w:iCs/>
        </w:rPr>
        <w:t>See In Re LTL Management, LLC</w:t>
      </w:r>
      <w:r w:rsidRPr="00FE7B02">
        <w:rPr>
          <w:rFonts w:cs="Times New Roman"/>
        </w:rPr>
        <w:t>, Case No. 21-30589 (MBK), Debtor’s Statement on Proposed Next Steps, Doc</w:t>
      </w:r>
      <w:r>
        <w:rPr>
          <w:rFonts w:cs="Times New Roman"/>
        </w:rPr>
        <w:t>.</w:t>
      </w:r>
      <w:r w:rsidRPr="00FE7B02">
        <w:rPr>
          <w:rFonts w:cs="Times New Roman"/>
        </w:rPr>
        <w:t xml:space="preserve"> 2473, p.9 (June 10, 2022) (citing </w:t>
      </w:r>
      <w:proofErr w:type="gramStart"/>
      <w:r w:rsidRPr="00FE7B02">
        <w:rPr>
          <w:rFonts w:cs="Times New Roman"/>
          <w:i/>
          <w:iCs/>
        </w:rPr>
        <w:t>In</w:t>
      </w:r>
      <w:proofErr w:type="gramEnd"/>
      <w:r w:rsidRPr="00FE7B02">
        <w:rPr>
          <w:rFonts w:cs="Times New Roman"/>
          <w:i/>
          <w:iCs/>
        </w:rPr>
        <w:t xml:space="preserve"> re Garlock Sealing Techs., LLC</w:t>
      </w:r>
      <w:r w:rsidRPr="00FE7B02">
        <w:rPr>
          <w:rFonts w:cs="Times New Roman"/>
        </w:rPr>
        <w:t xml:space="preserve"> 504 B.R.71, 74 (</w:t>
      </w:r>
      <w:proofErr w:type="spellStart"/>
      <w:r w:rsidRPr="00FE7B02">
        <w:rPr>
          <w:rFonts w:cs="Times New Roman"/>
        </w:rPr>
        <w:t>Bankr</w:t>
      </w:r>
      <w:proofErr w:type="spellEnd"/>
      <w:r w:rsidRPr="00FE7B02">
        <w:rPr>
          <w:rFonts w:cs="Times New Roman"/>
        </w:rPr>
        <w:t>. W.D.N.C. 20140) and noting “the court concluded that the settlement approach was an un ‘unreliable predictor of [Garlock’s] true liability’ for two principal reasons: because the settlement history was ‘infected by the manipulation of exposure evidence by plaintiffs and their lawyers’ and because many cases were settled ‘virtually entirely for cost avoidance’ with no ‘real analysis of the ‘liability’ to any individual claimant.”).</w:t>
      </w:r>
      <w:r w:rsidRPr="00FE7B02">
        <w:rPr>
          <w:rFonts w:cs="Times New Roman"/>
          <w:szCs w:val="24"/>
        </w:rPr>
        <w:t xml:space="preserve"> </w:t>
      </w:r>
    </w:p>
  </w:footnote>
  <w:footnote w:id="51">
    <w:p w14:paraId="54A63497"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rFonts w:cs="Times New Roman"/>
          <w:szCs w:val="24"/>
        </w:rPr>
        <w:t>Ruling on the validity of a category of tort claims in the judicial estimation would open the door to potential re-litigation of issues that were earlier decided in the mass-tort MDL, raising difficult estoppel issues.</w:t>
      </w:r>
    </w:p>
  </w:footnote>
  <w:footnote w:id="52">
    <w:p w14:paraId="073C6BA9"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rFonts w:cs="Times New Roman"/>
        </w:rPr>
        <w:t>28 U.S.C. §157((b)(2)(B).</w:t>
      </w:r>
    </w:p>
  </w:footnote>
  <w:footnote w:id="53">
    <w:p w14:paraId="33FAEDF7" w14:textId="77777777" w:rsidR="00602AD9" w:rsidRPr="00FE7B02" w:rsidRDefault="00602AD9" w:rsidP="00602AD9">
      <w:pPr>
        <w:pStyle w:val="FootnoteText"/>
        <w:jc w:val="both"/>
      </w:pPr>
      <w:r w:rsidRPr="00FE7B02">
        <w:rPr>
          <w:rStyle w:val="FootnoteReference"/>
        </w:rPr>
        <w:footnoteRef/>
      </w:r>
      <w:r w:rsidRPr="00FE7B02">
        <w:rPr>
          <w:rFonts w:cs="Times New Roman"/>
          <w:szCs w:val="24"/>
        </w:rPr>
        <w:t>On the other hand, the debtor has the right to present new evidence on the true worth of tort claims, which it believes supersedes earlier rulings.</w:t>
      </w:r>
      <w:r w:rsidRPr="00FE7B02">
        <w:rPr>
          <w:rFonts w:cs="Times New Roman"/>
          <w:szCs w:val="24"/>
          <w:vertAlign w:val="superscript"/>
        </w:rPr>
        <w:t xml:space="preserve"> </w:t>
      </w:r>
      <w:r w:rsidRPr="00FE7B02">
        <w:rPr>
          <w:rFonts w:cs="Times New Roman"/>
          <w:szCs w:val="24"/>
        </w:rPr>
        <w:t>At this point “the judge will have to rule on any defenses the debtor raises that could affect the overall value of the claims.  An adjudication of this type is fraught with procedural complexities.”</w:t>
      </w:r>
      <w:r w:rsidRPr="00FE7B02">
        <w:t xml:space="preserve"> </w:t>
      </w:r>
      <w:r w:rsidRPr="00FE7B02">
        <w:rPr>
          <w:rFonts w:cs="Times New Roman"/>
          <w:smallCaps/>
        </w:rPr>
        <w:t>Judicial Management of Mass Tort Bankruptcy Cases</w:t>
      </w:r>
      <w:r w:rsidRPr="00FE7B02">
        <w:rPr>
          <w:rFonts w:cs="Times New Roman"/>
        </w:rPr>
        <w:t>, S. Elizabeth Gibson, Federal Judicial Center, p. 83, 99 (2005).</w:t>
      </w:r>
    </w:p>
  </w:footnote>
  <w:footnote w:id="54">
    <w:p w14:paraId="3C87DFB8"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rFonts w:cs="Times New Roman"/>
          <w:i/>
          <w:iCs/>
        </w:rPr>
        <w:t>See</w:t>
      </w:r>
      <w:r w:rsidRPr="00FE7B02">
        <w:t xml:space="preserve"> </w:t>
      </w:r>
      <w:r w:rsidRPr="00FE7B02">
        <w:rPr>
          <w:rFonts w:cs="Times New Roman"/>
          <w:i/>
          <w:iCs/>
        </w:rPr>
        <w:t>In Re LTL Management, LLC</w:t>
      </w:r>
      <w:r w:rsidRPr="00FE7B02">
        <w:rPr>
          <w:rFonts w:cs="Times New Roman"/>
        </w:rPr>
        <w:t>, Case No. 23-12825 (MBK), TCC Motion for Order Authorizing Estimation for Voting Purposes, Doc</w:t>
      </w:r>
      <w:r>
        <w:rPr>
          <w:rFonts w:cs="Times New Roman"/>
        </w:rPr>
        <w:t>.</w:t>
      </w:r>
      <w:r w:rsidRPr="00FE7B02">
        <w:rPr>
          <w:rFonts w:cs="Times New Roman"/>
        </w:rPr>
        <w:t xml:space="preserve"> 1020-1, p. 3 (July 12, 2023) (These defenses are not always asserted by the debtor.  Historically, most mass-tort bankruptcies, which consisted primarily of asbestos actions, assigned an equal $1 weight to every claimant for voting purposes.  The Official Committee of Talc Claimants (TCC) argued that judicial estimation would eliminate or substantially reduce the value of these claims for voting purposes, which required more than 50% of the total value to approve a proposed reorganization plan.  It would also provide adequate information sufficient to enable a claimant </w:t>
      </w:r>
      <w:proofErr w:type="gramStart"/>
      <w:r w:rsidRPr="00FE7B02">
        <w:rPr>
          <w:rFonts w:cs="Times New Roman"/>
        </w:rPr>
        <w:t>make</w:t>
      </w:r>
      <w:proofErr w:type="gramEnd"/>
      <w:r w:rsidRPr="00FE7B02">
        <w:rPr>
          <w:rFonts w:cs="Times New Roman"/>
        </w:rPr>
        <w:t xml:space="preserve"> an informed decision judgment about the plan.  After initially strongly protesting judicial estimation and while continuing to object to the validity of the bankruptcy in general, the TCC supported judicial estimation in the second LTL Management bankruptcy. The TCC limited its support to determining the eligibility of claimants for voting purposes and informing claimants before voting “as to their potential recovery.”).</w:t>
      </w:r>
    </w:p>
  </w:footnote>
  <w:footnote w:id="55">
    <w:p w14:paraId="439E5828" w14:textId="77777777" w:rsidR="00602AD9" w:rsidRPr="00FE7B02" w:rsidRDefault="00602AD9" w:rsidP="00602AD9">
      <w:pPr>
        <w:pStyle w:val="FootnoteText"/>
        <w:jc w:val="both"/>
      </w:pPr>
      <w:r w:rsidRPr="00FE7B02">
        <w:rPr>
          <w:rStyle w:val="FootnoteReference"/>
        </w:rPr>
        <w:footnoteRef/>
      </w:r>
      <w:r w:rsidRPr="00FE7B02">
        <w:t xml:space="preserve"> S</w:t>
      </w:r>
      <w:r w:rsidRPr="00FE7B02">
        <w:rPr>
          <w:rFonts w:cs="Times New Roman"/>
          <w:i/>
          <w:iCs/>
        </w:rPr>
        <w:t>ee In Re LTL Management, LLC</w:t>
      </w:r>
      <w:r w:rsidRPr="00FE7B02">
        <w:rPr>
          <w:rFonts w:cs="Times New Roman"/>
        </w:rPr>
        <w:t>, Case No. 21-30589 (MBK), Debtor’s Reply in Support of the Need for Estimation, Doc</w:t>
      </w:r>
      <w:r>
        <w:rPr>
          <w:rFonts w:cs="Times New Roman"/>
        </w:rPr>
        <w:t>.</w:t>
      </w:r>
      <w:r w:rsidRPr="00FE7B02">
        <w:rPr>
          <w:rFonts w:cs="Times New Roman"/>
        </w:rPr>
        <w:t xml:space="preserve"> 2769, p. 6 (July 22, 2022) (And, in fact, claimants have rejected the judicial estimation and substituted different negotiated estimates, which underscores the limited purpose of judicial estimation. “The Court need only look at </w:t>
      </w:r>
      <w:r w:rsidRPr="00FE7B02">
        <w:rPr>
          <w:rFonts w:cs="Times New Roman"/>
          <w:i/>
          <w:iCs/>
        </w:rPr>
        <w:t>Garlock</w:t>
      </w:r>
      <w:r w:rsidRPr="00FE7B02">
        <w:rPr>
          <w:rFonts w:cs="Times New Roman"/>
        </w:rPr>
        <w:t xml:space="preserve">, where the court’s estimation of the debtor’s aggregate liability was less than the amount ultimately placed into the trust.”). </w:t>
      </w:r>
    </w:p>
  </w:footnote>
  <w:footnote w:id="56">
    <w:p w14:paraId="2CA8C6DB" w14:textId="77777777" w:rsidR="00602AD9" w:rsidRPr="00FE7B02" w:rsidRDefault="00602AD9" w:rsidP="00602AD9">
      <w:pPr>
        <w:pStyle w:val="FootnoteText"/>
        <w:jc w:val="both"/>
        <w:rPr>
          <w:rFonts w:cs="Times New Roman"/>
        </w:rPr>
      </w:pPr>
      <w:r w:rsidRPr="00FE7B02">
        <w:rPr>
          <w:rStyle w:val="FootnoteReference"/>
          <w:rFonts w:cs="Times New Roman"/>
        </w:rPr>
        <w:footnoteRef/>
      </w:r>
      <w:r w:rsidRPr="00FE7B02">
        <w:rPr>
          <w:rFonts w:cs="Times New Roman"/>
        </w:rPr>
        <w:t xml:space="preserve"> MCL, § 22.56.</w:t>
      </w:r>
    </w:p>
  </w:footnote>
  <w:footnote w:id="57">
    <w:p w14:paraId="61E18E9B"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rFonts w:cs="Times New Roman"/>
          <w:smallCaps/>
        </w:rPr>
        <w:t>Judicial Management of Mass Tort Bankruptcy Cases</w:t>
      </w:r>
      <w:r w:rsidRPr="00FE7B02">
        <w:rPr>
          <w:rFonts w:cs="Times New Roman"/>
        </w:rPr>
        <w:t>, S. Elizabeth Gibson, Federal Judicial Center, p. 102 (2005).</w:t>
      </w:r>
    </w:p>
  </w:footnote>
  <w:footnote w:id="58">
    <w:p w14:paraId="2528C25A" w14:textId="77777777" w:rsidR="00602AD9" w:rsidRPr="00FE7B02" w:rsidRDefault="00602AD9" w:rsidP="00602AD9">
      <w:pPr>
        <w:pStyle w:val="FootnoteText"/>
        <w:jc w:val="both"/>
        <w:rPr>
          <w:rFonts w:cs="Times New Roman"/>
        </w:rPr>
      </w:pPr>
      <w:r w:rsidRPr="00FE7B02">
        <w:rPr>
          <w:rStyle w:val="FootnoteReference"/>
        </w:rPr>
        <w:footnoteRef/>
      </w:r>
      <w:r w:rsidRPr="00FE7B02">
        <w:t xml:space="preserve"> </w:t>
      </w:r>
      <w:r w:rsidRPr="00FE7B02">
        <w:rPr>
          <w:rFonts w:cs="Times New Roman"/>
          <w:i/>
          <w:iCs/>
        </w:rPr>
        <w:t>See</w:t>
      </w:r>
      <w:r w:rsidRPr="00FE7B02">
        <w:rPr>
          <w:rFonts w:cs="Times New Roman"/>
        </w:rPr>
        <w:t xml:space="preserve"> </w:t>
      </w:r>
      <w:r w:rsidRPr="00FE7B02">
        <w:rPr>
          <w:rFonts w:cs="Times New Roman"/>
          <w:i/>
          <w:iCs/>
        </w:rPr>
        <w:t>In Re LTL Management, LLC</w:t>
      </w:r>
      <w:r w:rsidRPr="00FE7B02">
        <w:rPr>
          <w:rFonts w:cs="Times New Roman"/>
        </w:rPr>
        <w:t xml:space="preserve">, Case No. 21-30589 (MBK), Declaration of Kenneth Feinberg for appointment as Court Expert (Aug. 10, 2022) (“My negotiated fee, to be paid by the Debtor, will be $500,000 per month, plus reasonable reimbursements”); </w:t>
      </w:r>
      <w:r w:rsidRPr="00FE7B02">
        <w:rPr>
          <w:rFonts w:cs="Times New Roman"/>
          <w:i/>
          <w:iCs/>
        </w:rPr>
        <w:t>see also</w:t>
      </w:r>
      <w:r w:rsidRPr="00FE7B02">
        <w:rPr>
          <w:rFonts w:cs="Times New Roman"/>
        </w:rPr>
        <w:t xml:space="preserve"> </w:t>
      </w:r>
      <w:r w:rsidRPr="00FE7B02">
        <w:rPr>
          <w:rFonts w:cs="Times New Roman"/>
          <w:i/>
          <w:iCs/>
        </w:rPr>
        <w:t xml:space="preserve">Id </w:t>
      </w:r>
      <w:r w:rsidRPr="00FE7B02">
        <w:rPr>
          <w:rFonts w:cs="Times New Roman"/>
        </w:rPr>
        <w:t>at Doc. 3562 December 30, 2022</w:t>
      </w:r>
      <w:proofErr w:type="gramStart"/>
      <w:r w:rsidRPr="00FE7B02">
        <w:rPr>
          <w:rFonts w:cs="Times New Roman"/>
        </w:rPr>
        <w:t>)  (</w:t>
      </w:r>
      <w:proofErr w:type="gramEnd"/>
      <w:r w:rsidRPr="00FE7B02">
        <w:rPr>
          <w:rFonts w:cs="Times New Roman"/>
        </w:rPr>
        <w:t>letter on behalf of Kenneth Feinberg setting budget for retained expert at between $2.3 million and $2.8 million plus estimated expenses between $35,000 and $65,000 completed in first quarter of 2023).</w:t>
      </w:r>
      <w:r w:rsidRPr="00FE7B02">
        <w:t xml:space="preserve"> </w:t>
      </w:r>
    </w:p>
  </w:footnote>
  <w:footnote w:id="59">
    <w:p w14:paraId="27B4BBB5" w14:textId="77777777" w:rsidR="00602AD9" w:rsidRPr="00FE7B02" w:rsidRDefault="00602AD9" w:rsidP="00602AD9">
      <w:pPr>
        <w:pStyle w:val="FootnoteText"/>
        <w:jc w:val="both"/>
      </w:pPr>
      <w:r w:rsidRPr="00FE7B02">
        <w:rPr>
          <w:rStyle w:val="FootnoteReference"/>
        </w:rPr>
        <w:footnoteRef/>
      </w:r>
      <w:r w:rsidRPr="00FE7B02">
        <w:t xml:space="preserve"> </w:t>
      </w:r>
      <w:r w:rsidRPr="00FE7B02">
        <w:rPr>
          <w:rFonts w:cs="Times New Roman"/>
          <w:i/>
          <w:iCs/>
        </w:rPr>
        <w:t>See In Re LTL Management, LLC</w:t>
      </w:r>
      <w:r w:rsidRPr="00FE7B02">
        <w:rPr>
          <w:rFonts w:cs="Times New Roman"/>
        </w:rPr>
        <w:t>, Case No. 21-30589 (MBK), TCC Statement in Opposition to Debtor’s Request for Estimation, Doc</w:t>
      </w:r>
      <w:r>
        <w:rPr>
          <w:rFonts w:cs="Times New Roman"/>
        </w:rPr>
        <w:t>.</w:t>
      </w:r>
      <w:r w:rsidRPr="00FE7B02">
        <w:rPr>
          <w:rFonts w:cs="Times New Roman"/>
        </w:rPr>
        <w:t xml:space="preserve"> 2722, pp. 19-20 (July 15, 2022</w:t>
      </w:r>
      <w:proofErr w:type="gramStart"/>
      <w:r w:rsidRPr="00FE7B02">
        <w:rPr>
          <w:rFonts w:cs="Times New Roman"/>
        </w:rPr>
        <w:t>) (“</w:t>
      </w:r>
      <w:proofErr w:type="gramEnd"/>
      <w:r w:rsidRPr="00FE7B02">
        <w:rPr>
          <w:rFonts w:cs="Times New Roman"/>
        </w:rPr>
        <w:t xml:space="preserve">In fact, the parties already have substantial information which can be produced and shared immediately.  J &amp; J has been litigating these issues for years in the tort system.  Verdicts have been rendered. Appellate courts have ruled.  The parties have been through discovery.  Both sides understand each other fully.  J &amp; J has been settling talc claims for years.  </w:t>
      </w:r>
      <w:proofErr w:type="gramStart"/>
      <w:r w:rsidRPr="00FE7B02">
        <w:rPr>
          <w:rFonts w:cs="Times New Roman"/>
        </w:rPr>
        <w:t>All of</w:t>
      </w:r>
      <w:proofErr w:type="gramEnd"/>
      <w:r w:rsidRPr="00FE7B02">
        <w:rPr>
          <w:rFonts w:cs="Times New Roman"/>
        </w:rPr>
        <w:t xml:space="preserve"> this data is presently available.” </w:t>
      </w:r>
      <w:r w:rsidRPr="00FE7B02">
        <w:rPr>
          <w:rFonts w:cs="Times New Roman"/>
          <w:szCs w:val="24"/>
        </w:rPr>
        <w:t xml:space="preserve">The parties rely on such information to plan their respective litigation strategies as well as to base their settlement negotiations.  Often, they develop matrices categorizing injuries and assign amounts for specific types of injuries as a basis to negotiate settlement.  These matrices are similar in concept to matrices developed for trust-administration distributions in bankruptcy. </w:t>
      </w:r>
      <w:r w:rsidRPr="00FE7B02">
        <w:rPr>
          <w:rFonts w:cs="Times New Roman"/>
          <w:i/>
          <w:iCs/>
        </w:rPr>
        <w:t>See also In Re LTL Management, LLC</w:t>
      </w:r>
      <w:r w:rsidRPr="00FE7B02">
        <w:rPr>
          <w:rFonts w:cs="Times New Roman"/>
        </w:rPr>
        <w:t>, Case No. 21-30589 (MBK), TCC Motion to Terminate Debtor’s Exclusive Period, Doc</w:t>
      </w:r>
      <w:r>
        <w:rPr>
          <w:rFonts w:cs="Times New Roman"/>
        </w:rPr>
        <w:t>.</w:t>
      </w:r>
      <w:r w:rsidRPr="00FE7B02">
        <w:rPr>
          <w:rFonts w:cs="Times New Roman"/>
        </w:rPr>
        <w:t xml:space="preserve"> 2769, p. 21 (July 22, 2022) (trust would include “eligibility gating factors, a claims matrix with base and maximum values for mesothelioma and ovarian cancer claims, as well as scaling factors to account for differences in the impact of disease on different cohorts of victims”).</w:t>
      </w:r>
      <w:r w:rsidRPr="00FE7B02">
        <w:rPr>
          <w:rFonts w:cs="Times New Roman"/>
          <w:szCs w:val="24"/>
        </w:rPr>
        <w:t xml:space="preserve"> </w:t>
      </w:r>
    </w:p>
  </w:footnote>
  <w:footnote w:id="60">
    <w:p w14:paraId="5B91CD65" w14:textId="77777777" w:rsidR="00602AD9" w:rsidRPr="00FE7B02" w:rsidRDefault="00602AD9" w:rsidP="00602AD9">
      <w:pPr>
        <w:pStyle w:val="FootnoteText"/>
        <w:jc w:val="both"/>
        <w:rPr>
          <w:rFonts w:cs="Times New Roman"/>
        </w:rPr>
      </w:pPr>
      <w:r w:rsidRPr="00FE7B02">
        <w:rPr>
          <w:rStyle w:val="FootnoteReference"/>
        </w:rPr>
        <w:footnoteRef/>
      </w:r>
      <w:r w:rsidRPr="00FE7B02">
        <w:t xml:space="preserve"> </w:t>
      </w:r>
      <w:r w:rsidRPr="00FE7B02">
        <w:rPr>
          <w:rFonts w:cs="Times New Roman"/>
        </w:rPr>
        <w:t>Fed. R. Evid. 408(b)(2), “Evidence of the following is not admissible-on behalf of any party-either to prove or disprove the validity or amount of a disputed claim</w:t>
      </w:r>
      <w:proofErr w:type="gramStart"/>
      <w:r w:rsidRPr="00FE7B02">
        <w:rPr>
          <w:rFonts w:cs="Times New Roman"/>
        </w:rPr>
        <w:t>…(</w:t>
      </w:r>
      <w:proofErr w:type="gramEnd"/>
      <w:r w:rsidRPr="00FE7B02">
        <w:rPr>
          <w:rFonts w:cs="Times New Roman"/>
        </w:rPr>
        <w:t>2) conduct or a statement made during compromise negotiations about the claim.”</w:t>
      </w:r>
    </w:p>
  </w:footnote>
  <w:footnote w:id="61">
    <w:p w14:paraId="03816FD7" w14:textId="77777777" w:rsidR="00602AD9" w:rsidRPr="00FE7B02" w:rsidRDefault="00602AD9" w:rsidP="00602AD9">
      <w:pPr>
        <w:pStyle w:val="FootnoteText"/>
        <w:jc w:val="both"/>
        <w:rPr>
          <w:rFonts w:cs="Times New Roman"/>
        </w:rPr>
      </w:pPr>
      <w:r w:rsidRPr="00FE7B02">
        <w:rPr>
          <w:rStyle w:val="FootnoteReference"/>
        </w:rPr>
        <w:footnoteRef/>
      </w:r>
      <w:r w:rsidRPr="00FE7B02">
        <w:t xml:space="preserve"> </w:t>
      </w:r>
      <w:r w:rsidRPr="00FE7B02">
        <w:rPr>
          <w:rFonts w:cs="Times New Roman"/>
          <w:i/>
          <w:iCs/>
        </w:rPr>
        <w:t>In Re LTL Management, LLC</w:t>
      </w:r>
      <w:r w:rsidRPr="00FE7B02">
        <w:rPr>
          <w:rFonts w:cs="Times New Roman"/>
        </w:rPr>
        <w:t>, Case No. 21-30589 (MBK), Debtor’s Statement on Proposed Next Steps, Doc</w:t>
      </w:r>
      <w:r>
        <w:rPr>
          <w:rFonts w:cs="Times New Roman"/>
        </w:rPr>
        <w:t>.</w:t>
      </w:r>
      <w:r w:rsidRPr="00FE7B02">
        <w:rPr>
          <w:rFonts w:cs="Times New Roman"/>
        </w:rPr>
        <w:t xml:space="preserve"> 2473, p.2 (June 10, 2022) (“Estimation here will force the parties to develop support for their positions pursuant to a schedule set by and under the supervision of this Court, which will advance this case and mediation by requiring the parties to objectively consider their positions.”)</w:t>
      </w:r>
    </w:p>
  </w:footnote>
  <w:footnote w:id="62">
    <w:p w14:paraId="17AC3DE9" w14:textId="77777777" w:rsidR="00602AD9" w:rsidRDefault="00602AD9" w:rsidP="00602AD9">
      <w:pPr>
        <w:pStyle w:val="FootnoteText"/>
        <w:jc w:val="both"/>
      </w:pPr>
      <w:r w:rsidRPr="00FE7B02">
        <w:rPr>
          <w:rStyle w:val="FootnoteReference"/>
        </w:rPr>
        <w:footnoteRef/>
      </w:r>
      <w:r w:rsidRPr="00FE7B02">
        <w:t xml:space="preserve"> </w:t>
      </w:r>
      <w:r w:rsidRPr="00FE7B02">
        <w:rPr>
          <w:rFonts w:cs="Times New Roman"/>
          <w:i/>
          <w:iCs/>
        </w:rPr>
        <w:t>See In Re LTL Management, LLC</w:t>
      </w:r>
      <w:r w:rsidRPr="00FE7B02">
        <w:rPr>
          <w:rFonts w:cs="Times New Roman"/>
        </w:rPr>
        <w:t>, Case No. 23-12825 (MBK), TCC Motion for Order Authorizing Estimation for Voting Purposes, Doc</w:t>
      </w:r>
      <w:r>
        <w:rPr>
          <w:rFonts w:cs="Times New Roman"/>
        </w:rPr>
        <w:t>.</w:t>
      </w:r>
      <w:r w:rsidRPr="00FE7B02">
        <w:rPr>
          <w:rFonts w:cs="Times New Roman"/>
        </w:rPr>
        <w:t xml:space="preserve"> 1020-1, p. 24 (July 12, 2023); </w:t>
      </w:r>
      <w:r w:rsidRPr="00FE7B02">
        <w:rPr>
          <w:rFonts w:cs="Times New Roman"/>
          <w:i/>
          <w:iCs/>
        </w:rPr>
        <w:t>see also</w:t>
      </w:r>
      <w:r w:rsidRPr="00FE7B02">
        <w:rPr>
          <w:rFonts w:cs="Times New Roman"/>
        </w:rPr>
        <w:t xml:space="preserve"> </w:t>
      </w:r>
      <w:r w:rsidRPr="00FE7B02">
        <w:rPr>
          <w:rFonts w:cs="Times New Roman"/>
          <w:i/>
          <w:iCs/>
        </w:rPr>
        <w:t>In Re LTL Management, LLC</w:t>
      </w:r>
      <w:r w:rsidRPr="00FE7B02">
        <w:rPr>
          <w:rFonts w:cs="Times New Roman"/>
        </w:rPr>
        <w:t>, Case No. 21-30589 (MBK), Debtor’s Statement on Proposed Next Steps, Doc</w:t>
      </w:r>
      <w:r>
        <w:rPr>
          <w:rFonts w:cs="Times New Roman"/>
        </w:rPr>
        <w:t>.</w:t>
      </w:r>
      <w:r w:rsidRPr="00FE7B02">
        <w:rPr>
          <w:rFonts w:cs="Times New Roman"/>
        </w:rPr>
        <w:t xml:space="preserve"> 2473, p. 9 (June 10, 2022) (“Regardless of the precise procedures or estimation methodology adopted, however, the goal would be to determine the validity and amount of clai</w:t>
      </w:r>
      <w:r>
        <w:rPr>
          <w:rFonts w:cs="Times New Roman"/>
        </w:rPr>
        <w:t>ms on an aggregate basis under applicable law (here, state law)”).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555C9"/>
    <w:multiLevelType w:val="hybridMultilevel"/>
    <w:tmpl w:val="B20E4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32788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AD9"/>
    <w:rsid w:val="00201113"/>
    <w:rsid w:val="00602AD9"/>
    <w:rsid w:val="007213F0"/>
    <w:rsid w:val="00C624D6"/>
    <w:rsid w:val="00C654FF"/>
    <w:rsid w:val="00C95781"/>
    <w:rsid w:val="00C971A6"/>
    <w:rsid w:val="00F709A6"/>
    <w:rsid w:val="00F71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0251D"/>
  <w15:chartTrackingRefBased/>
  <w15:docId w15:val="{B663210C-02B1-43BD-9978-406129386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2A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2A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A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A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02A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02A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2A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2AD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2AD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A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2A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AD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AD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02AD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02A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2A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2A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2A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2A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A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A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A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2AD9"/>
    <w:pPr>
      <w:spacing w:before="160"/>
      <w:jc w:val="center"/>
    </w:pPr>
    <w:rPr>
      <w:i/>
      <w:iCs/>
      <w:color w:val="404040" w:themeColor="text1" w:themeTint="BF"/>
    </w:rPr>
  </w:style>
  <w:style w:type="character" w:customStyle="1" w:styleId="QuoteChar">
    <w:name w:val="Quote Char"/>
    <w:basedOn w:val="DefaultParagraphFont"/>
    <w:link w:val="Quote"/>
    <w:uiPriority w:val="29"/>
    <w:rsid w:val="00602AD9"/>
    <w:rPr>
      <w:i/>
      <w:iCs/>
      <w:color w:val="404040" w:themeColor="text1" w:themeTint="BF"/>
    </w:rPr>
  </w:style>
  <w:style w:type="paragraph" w:styleId="ListParagraph">
    <w:name w:val="List Paragraph"/>
    <w:basedOn w:val="Normal"/>
    <w:uiPriority w:val="34"/>
    <w:qFormat/>
    <w:rsid w:val="00602AD9"/>
    <w:pPr>
      <w:ind w:left="720"/>
      <w:contextualSpacing/>
    </w:pPr>
  </w:style>
  <w:style w:type="character" w:styleId="IntenseEmphasis">
    <w:name w:val="Intense Emphasis"/>
    <w:basedOn w:val="DefaultParagraphFont"/>
    <w:uiPriority w:val="21"/>
    <w:qFormat/>
    <w:rsid w:val="00602AD9"/>
    <w:rPr>
      <w:i/>
      <w:iCs/>
      <w:color w:val="0F4761" w:themeColor="accent1" w:themeShade="BF"/>
    </w:rPr>
  </w:style>
  <w:style w:type="paragraph" w:styleId="IntenseQuote">
    <w:name w:val="Intense Quote"/>
    <w:basedOn w:val="Normal"/>
    <w:next w:val="Normal"/>
    <w:link w:val="IntenseQuoteChar"/>
    <w:uiPriority w:val="30"/>
    <w:qFormat/>
    <w:rsid w:val="00602A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AD9"/>
    <w:rPr>
      <w:i/>
      <w:iCs/>
      <w:color w:val="0F4761" w:themeColor="accent1" w:themeShade="BF"/>
    </w:rPr>
  </w:style>
  <w:style w:type="character" w:styleId="IntenseReference">
    <w:name w:val="Intense Reference"/>
    <w:basedOn w:val="DefaultParagraphFont"/>
    <w:uiPriority w:val="32"/>
    <w:qFormat/>
    <w:rsid w:val="00602AD9"/>
    <w:rPr>
      <w:b/>
      <w:bCs/>
      <w:smallCaps/>
      <w:color w:val="0F4761" w:themeColor="accent1" w:themeShade="BF"/>
      <w:spacing w:val="5"/>
    </w:rPr>
  </w:style>
  <w:style w:type="paragraph" w:styleId="NormalWeb">
    <w:name w:val="Normal (Web)"/>
    <w:basedOn w:val="Normal"/>
    <w:uiPriority w:val="99"/>
    <w:semiHidden/>
    <w:unhideWhenUsed/>
    <w:rsid w:val="00602AD9"/>
    <w:rPr>
      <w:rFonts w:cs="Times New Roman"/>
      <w:szCs w:val="24"/>
    </w:rPr>
  </w:style>
  <w:style w:type="paragraph" w:styleId="FootnoteText">
    <w:name w:val="footnote text"/>
    <w:aliases w:val="fn Text"/>
    <w:basedOn w:val="Normal"/>
    <w:link w:val="FootnoteTextChar"/>
    <w:uiPriority w:val="99"/>
    <w:unhideWhenUsed/>
    <w:qFormat/>
    <w:rsid w:val="00602AD9"/>
    <w:pPr>
      <w:spacing w:after="0" w:line="240" w:lineRule="auto"/>
    </w:pPr>
    <w:rPr>
      <w:color w:val="000000" w:themeColor="text1"/>
      <w:kern w:val="0"/>
      <w:sz w:val="20"/>
      <w:szCs w:val="20"/>
      <w14:ligatures w14:val="none"/>
    </w:rPr>
  </w:style>
  <w:style w:type="character" w:customStyle="1" w:styleId="FootnoteTextChar">
    <w:name w:val="Footnote Text Char"/>
    <w:aliases w:val="fn Text Char"/>
    <w:basedOn w:val="DefaultParagraphFont"/>
    <w:link w:val="FootnoteText"/>
    <w:uiPriority w:val="99"/>
    <w:rsid w:val="00602AD9"/>
    <w:rPr>
      <w:color w:val="000000" w:themeColor="text1"/>
      <w:kern w:val="0"/>
      <w:sz w:val="20"/>
      <w:szCs w:val="20"/>
      <w14:ligatures w14:val="none"/>
    </w:rPr>
  </w:style>
  <w:style w:type="character" w:styleId="FootnoteReference">
    <w:name w:val="footnote reference"/>
    <w:aliases w:val="fn Reference"/>
    <w:basedOn w:val="DefaultParagraphFont"/>
    <w:uiPriority w:val="99"/>
    <w:unhideWhenUsed/>
    <w:qFormat/>
    <w:rsid w:val="00602AD9"/>
    <w:rPr>
      <w:vertAlign w:val="superscript"/>
    </w:rPr>
  </w:style>
  <w:style w:type="character" w:styleId="Hyperlink">
    <w:name w:val="Hyperlink"/>
    <w:basedOn w:val="DefaultParagraphFont"/>
    <w:uiPriority w:val="99"/>
    <w:unhideWhenUsed/>
    <w:rsid w:val="00602AD9"/>
    <w:rPr>
      <w:color w:val="467886" w:themeColor="hyperlink"/>
      <w:u w:val="single"/>
    </w:rPr>
  </w:style>
  <w:style w:type="paragraph" w:styleId="Footer">
    <w:name w:val="footer"/>
    <w:basedOn w:val="Normal"/>
    <w:link w:val="FooterChar"/>
    <w:uiPriority w:val="99"/>
    <w:unhideWhenUsed/>
    <w:rsid w:val="00602AD9"/>
    <w:pPr>
      <w:tabs>
        <w:tab w:val="center" w:pos="4680"/>
        <w:tab w:val="right" w:pos="9360"/>
      </w:tabs>
      <w:spacing w:after="0" w:line="240" w:lineRule="auto"/>
    </w:pPr>
    <w:rPr>
      <w:color w:val="000000" w:themeColor="text1"/>
      <w:kern w:val="0"/>
      <w:szCs w:val="24"/>
      <w14:ligatures w14:val="none"/>
    </w:rPr>
  </w:style>
  <w:style w:type="character" w:customStyle="1" w:styleId="FooterChar">
    <w:name w:val="Footer Char"/>
    <w:basedOn w:val="DefaultParagraphFont"/>
    <w:link w:val="Footer"/>
    <w:uiPriority w:val="99"/>
    <w:rsid w:val="00602AD9"/>
    <w:rPr>
      <w:color w:val="000000" w:themeColor="text1"/>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3906</Words>
  <Characters>22268</Characters>
  <Application>Microsoft Office Word</Application>
  <DocSecurity>0</DocSecurity>
  <Lines>185</Lines>
  <Paragraphs>52</Paragraphs>
  <ScaleCrop>false</ScaleCrop>
  <Company/>
  <LinksUpToDate>false</LinksUpToDate>
  <CharactersWithSpaces>26122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Rabiej</dc:creator>
  <cp:keywords/>
  <dc:description/>
  <cp:lastModifiedBy>John Rabiej</cp:lastModifiedBy>
  <cp:revision>1</cp:revision>
  <dcterms:created xsi:type="dcterms:W3CDTF">2026-07-28T20:01:00Z</dcterms:created>
  <dcterms:modified xsi:type="dcterms:W3CDTF">2026-07-28T20:06:00Z</dcterms:modified>
</cp:coreProperties>
</file>