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69727" w14:textId="77777777" w:rsidR="00082D5A" w:rsidRDefault="00000000">
      <w:pPr>
        <w:tabs>
          <w:tab w:val="center" w:pos="4320"/>
        </w:tabs>
        <w:spacing w:after="0" w:line="259" w:lineRule="auto"/>
        <w:ind w:left="-15" w:firstLine="0"/>
      </w:pPr>
      <w:r>
        <w:t>B</w:t>
      </w:r>
      <w:r>
        <w:rPr>
          <w:sz w:val="19"/>
        </w:rPr>
        <w:t xml:space="preserve">ROWN </w:t>
      </w:r>
      <w:r>
        <w:t>R</w:t>
      </w:r>
      <w:r>
        <w:rPr>
          <w:sz w:val="19"/>
        </w:rPr>
        <w:t xml:space="preserve">UDNICK </w:t>
      </w:r>
      <w:r>
        <w:t>B</w:t>
      </w:r>
      <w:r>
        <w:rPr>
          <w:sz w:val="19"/>
        </w:rPr>
        <w:t xml:space="preserve">ERLACK </w:t>
      </w:r>
      <w:r>
        <w:t>I</w:t>
      </w:r>
      <w:r>
        <w:rPr>
          <w:sz w:val="19"/>
        </w:rPr>
        <w:t>SRAELS LLP</w:t>
      </w:r>
      <w:r>
        <w:t xml:space="preserve"> </w:t>
      </w:r>
      <w:r>
        <w:tab/>
      </w:r>
      <w:r>
        <w:rPr>
          <w:sz w:val="19"/>
        </w:rPr>
        <w:t xml:space="preserve">      </w:t>
      </w:r>
      <w:r>
        <w:t xml:space="preserve"> </w:t>
      </w:r>
    </w:p>
    <w:p w14:paraId="49417435" w14:textId="77777777" w:rsidR="00082D5A" w:rsidRDefault="00000000">
      <w:pPr>
        <w:spacing w:line="259" w:lineRule="auto"/>
        <w:ind w:left="18" w:right="13"/>
      </w:pPr>
      <w:r>
        <w:t xml:space="preserve">7 Times Square,  </w:t>
      </w:r>
    </w:p>
    <w:p w14:paraId="6F13E234" w14:textId="77777777" w:rsidR="00082D5A" w:rsidRDefault="00000000">
      <w:pPr>
        <w:spacing w:line="259" w:lineRule="auto"/>
        <w:ind w:left="18" w:right="13"/>
      </w:pPr>
      <w:r>
        <w:t xml:space="preserve">New York, New York 10036 </w:t>
      </w:r>
    </w:p>
    <w:p w14:paraId="68D9D3A2" w14:textId="77777777" w:rsidR="00082D5A" w:rsidRDefault="00000000">
      <w:pPr>
        <w:spacing w:line="259" w:lineRule="auto"/>
        <w:ind w:left="18" w:right="13"/>
      </w:pPr>
      <w:r>
        <w:t xml:space="preserve">(212) 209-4800 </w:t>
      </w:r>
    </w:p>
    <w:p w14:paraId="0798D9AD" w14:textId="77777777" w:rsidR="00082D5A" w:rsidRDefault="00000000">
      <w:pPr>
        <w:spacing w:line="259" w:lineRule="auto"/>
        <w:ind w:left="18" w:right="13"/>
      </w:pPr>
      <w:r>
        <w:t xml:space="preserve">Edward S. </w:t>
      </w:r>
      <w:proofErr w:type="spellStart"/>
      <w:r>
        <w:t>Weisfelner</w:t>
      </w:r>
      <w:proofErr w:type="spellEnd"/>
      <w:r>
        <w:t xml:space="preserve"> (EW-5581) </w:t>
      </w:r>
    </w:p>
    <w:p w14:paraId="0DE383F0" w14:textId="77777777" w:rsidR="00082D5A" w:rsidRDefault="00000000">
      <w:pPr>
        <w:spacing w:line="259" w:lineRule="auto"/>
        <w:ind w:left="18" w:right="13"/>
      </w:pPr>
      <w:r>
        <w:t xml:space="preserve">Steven B. Smith (SS-5960) </w:t>
      </w:r>
    </w:p>
    <w:p w14:paraId="6C49499A" w14:textId="77777777" w:rsidR="00082D5A" w:rsidRDefault="00000000">
      <w:pPr>
        <w:spacing w:after="0" w:line="259" w:lineRule="auto"/>
        <w:ind w:left="0" w:firstLine="0"/>
      </w:pPr>
      <w:r>
        <w:t xml:space="preserve"> </w:t>
      </w:r>
    </w:p>
    <w:p w14:paraId="52999AB8" w14:textId="77777777" w:rsidR="00082D5A" w:rsidRDefault="00000000">
      <w:pPr>
        <w:spacing w:line="259" w:lineRule="auto"/>
        <w:ind w:left="18" w:right="13"/>
      </w:pPr>
      <w:r>
        <w:t xml:space="preserve">One Financial Center </w:t>
      </w:r>
    </w:p>
    <w:p w14:paraId="69D175C2" w14:textId="77777777" w:rsidR="00082D5A" w:rsidRDefault="00000000">
      <w:pPr>
        <w:spacing w:line="259" w:lineRule="auto"/>
        <w:ind w:left="18" w:right="13"/>
      </w:pPr>
      <w:r>
        <w:t xml:space="preserve">Boston, MA  02111 </w:t>
      </w:r>
    </w:p>
    <w:p w14:paraId="239F896A" w14:textId="77777777" w:rsidR="00082D5A" w:rsidRDefault="00000000">
      <w:pPr>
        <w:spacing w:line="259" w:lineRule="auto"/>
        <w:ind w:left="18" w:right="13"/>
      </w:pPr>
      <w:r>
        <w:t>Tel</w:t>
      </w:r>
      <w:proofErr w:type="gramStart"/>
      <w:r>
        <w:t>:  (</w:t>
      </w:r>
      <w:proofErr w:type="gramEnd"/>
      <w:r>
        <w:t xml:space="preserve">617) 856-8200 </w:t>
      </w:r>
    </w:p>
    <w:p w14:paraId="3A677D9A" w14:textId="77777777" w:rsidR="00082D5A" w:rsidRDefault="00000000">
      <w:pPr>
        <w:spacing w:line="259" w:lineRule="auto"/>
        <w:ind w:left="18" w:right="13"/>
      </w:pPr>
      <w:r>
        <w:t xml:space="preserve">Gregory T. Arnold (GA-2147) </w:t>
      </w:r>
    </w:p>
    <w:p w14:paraId="2F4A4B79" w14:textId="77777777" w:rsidR="00082D5A" w:rsidRDefault="00000000">
      <w:pPr>
        <w:spacing w:after="0" w:line="259" w:lineRule="auto"/>
        <w:ind w:left="0" w:firstLine="0"/>
      </w:pPr>
      <w:r>
        <w:t xml:space="preserve"> </w:t>
      </w:r>
    </w:p>
    <w:p w14:paraId="503E2238" w14:textId="77777777" w:rsidR="00082D5A" w:rsidRDefault="00000000">
      <w:pPr>
        <w:spacing w:line="259" w:lineRule="auto"/>
        <w:ind w:left="18" w:right="13"/>
      </w:pPr>
      <w:r>
        <w:t xml:space="preserve">Counsel to the Ad Hoc Committee </w:t>
      </w:r>
    </w:p>
    <w:p w14:paraId="7AB3A032" w14:textId="77777777" w:rsidR="00082D5A" w:rsidRDefault="00000000">
      <w:pPr>
        <w:spacing w:line="259" w:lineRule="auto"/>
        <w:ind w:left="18" w:right="13"/>
      </w:pPr>
      <w:r>
        <w:t xml:space="preserve">Of Tort Victims </w:t>
      </w:r>
    </w:p>
    <w:p w14:paraId="5815A6E8" w14:textId="77777777" w:rsidR="00082D5A" w:rsidRDefault="00000000">
      <w:pPr>
        <w:spacing w:after="0" w:line="259" w:lineRule="auto"/>
        <w:ind w:left="0" w:firstLine="0"/>
      </w:pPr>
      <w:r>
        <w:t xml:space="preserve"> </w:t>
      </w:r>
    </w:p>
    <w:tbl>
      <w:tblPr>
        <w:tblStyle w:val="TableGrid"/>
        <w:tblW w:w="9419" w:type="dxa"/>
        <w:tblInd w:w="0" w:type="dxa"/>
        <w:tblCellMar>
          <w:top w:w="0" w:type="dxa"/>
          <w:left w:w="0" w:type="dxa"/>
          <w:bottom w:w="0" w:type="dxa"/>
          <w:right w:w="0" w:type="dxa"/>
        </w:tblCellMar>
        <w:tblLook w:val="04A0" w:firstRow="1" w:lastRow="0" w:firstColumn="1" w:lastColumn="0" w:noHBand="0" w:noVBand="1"/>
      </w:tblPr>
      <w:tblGrid>
        <w:gridCol w:w="5760"/>
        <w:gridCol w:w="3659"/>
      </w:tblGrid>
      <w:tr w:rsidR="00082D5A" w14:paraId="0FBB3CBC" w14:textId="77777777">
        <w:trPr>
          <w:trHeight w:val="823"/>
        </w:trPr>
        <w:tc>
          <w:tcPr>
            <w:tcW w:w="5760" w:type="dxa"/>
            <w:tcBorders>
              <w:top w:val="nil"/>
              <w:left w:val="nil"/>
              <w:bottom w:val="nil"/>
              <w:right w:val="nil"/>
            </w:tcBorders>
          </w:tcPr>
          <w:p w14:paraId="51B0FF27" w14:textId="77777777" w:rsidR="00082D5A" w:rsidRDefault="00000000">
            <w:pPr>
              <w:spacing w:after="0" w:line="259" w:lineRule="auto"/>
              <w:ind w:left="0" w:firstLine="0"/>
            </w:pPr>
            <w:r>
              <w:t xml:space="preserve">UNITED STATES BANKRUPTCY COURT </w:t>
            </w:r>
          </w:p>
          <w:p w14:paraId="0E395217" w14:textId="77777777" w:rsidR="00082D5A" w:rsidRDefault="00000000">
            <w:pPr>
              <w:spacing w:after="0" w:line="259" w:lineRule="auto"/>
              <w:ind w:left="0" w:firstLine="0"/>
            </w:pPr>
            <w:r>
              <w:t xml:space="preserve">SOUTHERN DISTRICT OF NEW YORK </w:t>
            </w:r>
          </w:p>
          <w:p w14:paraId="480EE471" w14:textId="77777777" w:rsidR="00082D5A" w:rsidRDefault="00000000">
            <w:pPr>
              <w:spacing w:after="0" w:line="259" w:lineRule="auto"/>
              <w:ind w:left="0" w:firstLine="0"/>
            </w:pPr>
            <w:r>
              <w:t xml:space="preserve">--------------------------------------------------------------X </w:t>
            </w:r>
          </w:p>
        </w:tc>
        <w:tc>
          <w:tcPr>
            <w:tcW w:w="3659" w:type="dxa"/>
            <w:tcBorders>
              <w:top w:val="nil"/>
              <w:left w:val="nil"/>
              <w:bottom w:val="nil"/>
              <w:right w:val="nil"/>
            </w:tcBorders>
          </w:tcPr>
          <w:p w14:paraId="7E5EA3B4" w14:textId="77777777" w:rsidR="00082D5A" w:rsidRDefault="00082D5A">
            <w:pPr>
              <w:spacing w:after="160" w:line="259" w:lineRule="auto"/>
              <w:ind w:left="0" w:firstLine="0"/>
            </w:pPr>
          </w:p>
        </w:tc>
      </w:tr>
      <w:tr w:rsidR="00082D5A" w14:paraId="1CC8BCC6" w14:textId="77777777">
        <w:trPr>
          <w:trHeight w:val="552"/>
        </w:trPr>
        <w:tc>
          <w:tcPr>
            <w:tcW w:w="5760" w:type="dxa"/>
            <w:tcBorders>
              <w:top w:val="nil"/>
              <w:left w:val="nil"/>
              <w:bottom w:val="nil"/>
              <w:right w:val="nil"/>
            </w:tcBorders>
          </w:tcPr>
          <w:p w14:paraId="1D15B404" w14:textId="77777777" w:rsidR="00082D5A" w:rsidRDefault="00000000">
            <w:pPr>
              <w:tabs>
                <w:tab w:val="center" w:pos="1440"/>
                <w:tab w:val="center" w:pos="2160"/>
                <w:tab w:val="center" w:pos="2880"/>
                <w:tab w:val="center" w:pos="3600"/>
                <w:tab w:val="center" w:pos="4320"/>
                <w:tab w:val="center" w:pos="5073"/>
              </w:tabs>
              <w:spacing w:after="0" w:line="259" w:lineRule="auto"/>
              <w:ind w:left="0" w:firstLine="0"/>
            </w:pPr>
            <w:r>
              <w:t xml:space="preserve">In re:  </w:t>
            </w:r>
            <w:r>
              <w:tab/>
              <w:t xml:space="preserve"> </w:t>
            </w:r>
            <w:r>
              <w:tab/>
              <w:t xml:space="preserve"> </w:t>
            </w:r>
            <w:r>
              <w:tab/>
              <w:t xml:space="preserve"> </w:t>
            </w:r>
            <w:r>
              <w:tab/>
              <w:t xml:space="preserve"> </w:t>
            </w:r>
            <w:r>
              <w:tab/>
              <w:t xml:space="preserve"> </w:t>
            </w:r>
            <w:r>
              <w:tab/>
              <w:t xml:space="preserve">: </w:t>
            </w:r>
          </w:p>
          <w:p w14:paraId="64A7CE60" w14:textId="77777777" w:rsidR="00082D5A" w:rsidRDefault="00000000">
            <w:pPr>
              <w:tabs>
                <w:tab w:val="center" w:pos="720"/>
                <w:tab w:val="center" w:pos="1440"/>
                <w:tab w:val="center" w:pos="2160"/>
                <w:tab w:val="center" w:pos="2880"/>
                <w:tab w:val="center" w:pos="3600"/>
                <w:tab w:val="center" w:pos="4320"/>
                <w:tab w:val="center" w:pos="5073"/>
              </w:tabs>
              <w:spacing w:after="0" w:line="259" w:lineRule="auto"/>
              <w:ind w:left="0"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p>
        </w:tc>
        <w:tc>
          <w:tcPr>
            <w:tcW w:w="3659" w:type="dxa"/>
            <w:tcBorders>
              <w:top w:val="nil"/>
              <w:left w:val="nil"/>
              <w:bottom w:val="nil"/>
              <w:right w:val="nil"/>
            </w:tcBorders>
          </w:tcPr>
          <w:p w14:paraId="14A51950" w14:textId="77777777" w:rsidR="00082D5A" w:rsidRDefault="00000000">
            <w:pPr>
              <w:spacing w:after="0" w:line="259" w:lineRule="auto"/>
              <w:ind w:left="1" w:firstLine="0"/>
            </w:pPr>
            <w:r>
              <w:t xml:space="preserve">Chapter 11 </w:t>
            </w:r>
          </w:p>
        </w:tc>
      </w:tr>
      <w:tr w:rsidR="00082D5A" w14:paraId="4675AC30" w14:textId="77777777">
        <w:trPr>
          <w:trHeight w:val="552"/>
        </w:trPr>
        <w:tc>
          <w:tcPr>
            <w:tcW w:w="5760" w:type="dxa"/>
            <w:tcBorders>
              <w:top w:val="nil"/>
              <w:left w:val="nil"/>
              <w:bottom w:val="nil"/>
              <w:right w:val="nil"/>
            </w:tcBorders>
          </w:tcPr>
          <w:p w14:paraId="5BFEBFEF" w14:textId="77777777" w:rsidR="00082D5A" w:rsidRDefault="00000000">
            <w:pPr>
              <w:tabs>
                <w:tab w:val="center" w:pos="3600"/>
                <w:tab w:val="center" w:pos="4320"/>
                <w:tab w:val="center" w:pos="5073"/>
              </w:tabs>
              <w:spacing w:after="0" w:line="259" w:lineRule="auto"/>
              <w:ind w:left="0" w:firstLine="0"/>
            </w:pPr>
            <w:r>
              <w:t>QUIGLEY COMPANY, INC.</w:t>
            </w:r>
            <w:proofErr w:type="gramStart"/>
            <w:r>
              <w:t xml:space="preserve">,  </w:t>
            </w:r>
            <w:r>
              <w:tab/>
            </w:r>
            <w:proofErr w:type="gramEnd"/>
            <w:r>
              <w:t xml:space="preserve"> </w:t>
            </w:r>
            <w:r>
              <w:tab/>
              <w:t xml:space="preserve"> </w:t>
            </w:r>
            <w:r>
              <w:tab/>
              <w:t xml:space="preserve">: </w:t>
            </w:r>
          </w:p>
          <w:p w14:paraId="57162304" w14:textId="77777777" w:rsidR="00082D5A" w:rsidRDefault="00000000">
            <w:pPr>
              <w:tabs>
                <w:tab w:val="center" w:pos="720"/>
                <w:tab w:val="center" w:pos="1440"/>
                <w:tab w:val="center" w:pos="2160"/>
                <w:tab w:val="center" w:pos="2880"/>
                <w:tab w:val="center" w:pos="3600"/>
                <w:tab w:val="center" w:pos="4320"/>
                <w:tab w:val="center" w:pos="5073"/>
              </w:tabs>
              <w:spacing w:after="0" w:line="259" w:lineRule="auto"/>
              <w:ind w:left="0" w:firstLine="0"/>
            </w:pPr>
            <w:r>
              <w:t xml:space="preserve"> </w:t>
            </w:r>
            <w:r>
              <w:tab/>
              <w:t xml:space="preserve"> </w:t>
            </w:r>
            <w:r>
              <w:tab/>
              <w:t xml:space="preserve"> </w:t>
            </w:r>
            <w:r>
              <w:tab/>
              <w:t xml:space="preserve"> </w:t>
            </w:r>
            <w:r>
              <w:tab/>
              <w:t xml:space="preserve"> </w:t>
            </w:r>
            <w:r>
              <w:tab/>
              <w:t xml:space="preserve"> </w:t>
            </w:r>
            <w:r>
              <w:tab/>
              <w:t xml:space="preserve"> </w:t>
            </w:r>
            <w:r>
              <w:tab/>
              <w:t xml:space="preserve">: </w:t>
            </w:r>
          </w:p>
        </w:tc>
        <w:tc>
          <w:tcPr>
            <w:tcW w:w="3659" w:type="dxa"/>
            <w:tcBorders>
              <w:top w:val="nil"/>
              <w:left w:val="nil"/>
              <w:bottom w:val="nil"/>
              <w:right w:val="nil"/>
            </w:tcBorders>
          </w:tcPr>
          <w:p w14:paraId="074A3F93" w14:textId="77777777" w:rsidR="00082D5A" w:rsidRDefault="00000000">
            <w:pPr>
              <w:spacing w:after="0" w:line="259" w:lineRule="auto"/>
              <w:ind w:left="0" w:firstLine="0"/>
            </w:pPr>
            <w:r>
              <w:t xml:space="preserve">Case No. 04-15739 (PCB) </w:t>
            </w:r>
          </w:p>
        </w:tc>
      </w:tr>
      <w:tr w:rsidR="00082D5A" w14:paraId="3C33EFB9" w14:textId="77777777">
        <w:trPr>
          <w:trHeight w:val="271"/>
        </w:trPr>
        <w:tc>
          <w:tcPr>
            <w:tcW w:w="5760" w:type="dxa"/>
            <w:tcBorders>
              <w:top w:val="nil"/>
              <w:left w:val="nil"/>
              <w:bottom w:val="nil"/>
              <w:right w:val="nil"/>
            </w:tcBorders>
          </w:tcPr>
          <w:p w14:paraId="2B5B99B6" w14:textId="77777777" w:rsidR="00082D5A" w:rsidRDefault="00000000">
            <w:pPr>
              <w:tabs>
                <w:tab w:val="center" w:pos="720"/>
                <w:tab w:val="center" w:pos="1440"/>
                <w:tab w:val="center" w:pos="2160"/>
                <w:tab w:val="center" w:pos="3290"/>
                <w:tab w:val="center" w:pos="4320"/>
                <w:tab w:val="center" w:pos="5073"/>
              </w:tabs>
              <w:spacing w:after="0" w:line="259" w:lineRule="auto"/>
              <w:ind w:left="0" w:firstLine="0"/>
            </w:pPr>
            <w:r>
              <w:t xml:space="preserve"> </w:t>
            </w:r>
            <w:r>
              <w:tab/>
              <w:t xml:space="preserve"> </w:t>
            </w:r>
            <w:r>
              <w:tab/>
              <w:t xml:space="preserve"> </w:t>
            </w:r>
            <w:r>
              <w:tab/>
              <w:t xml:space="preserve"> </w:t>
            </w:r>
            <w:r>
              <w:tab/>
              <w:t xml:space="preserve">Debtors. </w:t>
            </w:r>
            <w:r>
              <w:tab/>
              <w:t xml:space="preserve"> </w:t>
            </w:r>
            <w:r>
              <w:tab/>
              <w:t xml:space="preserve">: </w:t>
            </w:r>
          </w:p>
        </w:tc>
        <w:tc>
          <w:tcPr>
            <w:tcW w:w="3659" w:type="dxa"/>
            <w:tcBorders>
              <w:top w:val="nil"/>
              <w:left w:val="nil"/>
              <w:bottom w:val="nil"/>
              <w:right w:val="nil"/>
            </w:tcBorders>
          </w:tcPr>
          <w:p w14:paraId="7424A0A6" w14:textId="77777777" w:rsidR="00082D5A" w:rsidRDefault="00000000">
            <w:pPr>
              <w:spacing w:after="0" w:line="259" w:lineRule="auto"/>
              <w:ind w:left="0" w:firstLine="0"/>
              <w:jc w:val="both"/>
            </w:pPr>
            <w:r>
              <w:rPr>
                <w:b/>
                <w:sz w:val="20"/>
              </w:rPr>
              <w:t>Hearing</w:t>
            </w:r>
            <w:proofErr w:type="gramStart"/>
            <w:r>
              <w:rPr>
                <w:b/>
                <w:sz w:val="20"/>
              </w:rPr>
              <w:t>:  September</w:t>
            </w:r>
            <w:proofErr w:type="gramEnd"/>
            <w:r>
              <w:rPr>
                <w:b/>
                <w:sz w:val="20"/>
              </w:rPr>
              <w:t xml:space="preserve"> 28, </w:t>
            </w:r>
            <w:proofErr w:type="gramStart"/>
            <w:r>
              <w:rPr>
                <w:b/>
                <w:sz w:val="20"/>
              </w:rPr>
              <w:t>2005</w:t>
            </w:r>
            <w:proofErr w:type="gramEnd"/>
            <w:r>
              <w:rPr>
                <w:b/>
                <w:sz w:val="20"/>
              </w:rPr>
              <w:t xml:space="preserve"> at 2:30 p.m.</w:t>
            </w:r>
            <w:r>
              <w:t xml:space="preserve"> </w:t>
            </w:r>
          </w:p>
        </w:tc>
      </w:tr>
    </w:tbl>
    <w:p w14:paraId="2F8069F2" w14:textId="77777777" w:rsidR="00082D5A" w:rsidRDefault="00000000">
      <w:pPr>
        <w:spacing w:after="0" w:line="259" w:lineRule="auto"/>
        <w:ind w:left="0" w:firstLine="0"/>
      </w:pPr>
      <w:r>
        <w:t xml:space="preserve"> </w:t>
      </w:r>
      <w:r>
        <w:tab/>
        <w:t xml:space="preserve"> </w:t>
      </w:r>
    </w:p>
    <w:p w14:paraId="6C6D254E" w14:textId="77777777" w:rsidR="00082D5A" w:rsidRDefault="00000000">
      <w:pPr>
        <w:spacing w:line="259" w:lineRule="auto"/>
        <w:ind w:left="18" w:right="13"/>
      </w:pPr>
      <w:r>
        <w:t xml:space="preserve">--------------------------------------------------------------X </w:t>
      </w:r>
    </w:p>
    <w:p w14:paraId="323D0A9D" w14:textId="77777777" w:rsidR="00082D5A" w:rsidRDefault="00000000">
      <w:pPr>
        <w:spacing w:after="0" w:line="259" w:lineRule="auto"/>
        <w:ind w:left="0" w:firstLine="0"/>
      </w:pPr>
      <w:r>
        <w:rPr>
          <w:b/>
        </w:rPr>
        <w:t xml:space="preserve"> </w:t>
      </w:r>
    </w:p>
    <w:p w14:paraId="6ACCE473" w14:textId="77777777" w:rsidR="00082D5A" w:rsidRDefault="00000000">
      <w:pPr>
        <w:spacing w:after="10" w:line="249" w:lineRule="auto"/>
        <w:ind w:right="4"/>
        <w:jc w:val="center"/>
      </w:pPr>
      <w:r>
        <w:rPr>
          <w:b/>
        </w:rPr>
        <w:t xml:space="preserve">OBJECTION OF THE AD-HOC COMMITTEE OF TORT VICTIMS TO THE </w:t>
      </w:r>
    </w:p>
    <w:p w14:paraId="5165118D" w14:textId="77777777" w:rsidR="00082D5A" w:rsidRDefault="00000000">
      <w:pPr>
        <w:spacing w:after="10" w:line="249" w:lineRule="auto"/>
        <w:ind w:right="6"/>
        <w:jc w:val="center"/>
      </w:pPr>
      <w:r>
        <w:rPr>
          <w:b/>
        </w:rPr>
        <w:t xml:space="preserve">DEBTOR’S FIRST AMENDED DISCLOSURE STATEMENT and </w:t>
      </w:r>
    </w:p>
    <w:p w14:paraId="2D5F3F24" w14:textId="77777777" w:rsidR="00082D5A" w:rsidRDefault="00000000">
      <w:pPr>
        <w:spacing w:after="10" w:line="249" w:lineRule="auto"/>
        <w:ind w:right="3"/>
        <w:jc w:val="center"/>
      </w:pPr>
      <w:r>
        <w:rPr>
          <w:b/>
        </w:rPr>
        <w:t xml:space="preserve">MOTION FOR AN ORDER: (I) APPROVING QUIGLEY’S DISCLOSURE </w:t>
      </w:r>
    </w:p>
    <w:p w14:paraId="3A0617A7" w14:textId="77777777" w:rsidR="00082D5A" w:rsidRDefault="00000000">
      <w:pPr>
        <w:spacing w:after="10" w:line="249" w:lineRule="auto"/>
        <w:ind w:right="4"/>
        <w:jc w:val="center"/>
      </w:pPr>
      <w:r>
        <w:rPr>
          <w:b/>
        </w:rPr>
        <w:t xml:space="preserve">STATEMENT; (II) APPROVING SOLICITIATION PROCEDURES, FORMS OF </w:t>
      </w:r>
    </w:p>
    <w:p w14:paraId="16C637C3" w14:textId="77777777" w:rsidR="00082D5A" w:rsidRDefault="00000000">
      <w:pPr>
        <w:spacing w:after="10" w:line="249" w:lineRule="auto"/>
        <w:ind w:left="256"/>
      </w:pPr>
      <w:r>
        <w:rPr>
          <w:b/>
        </w:rPr>
        <w:t xml:space="preserve">BALLOTS, AND MANNER OF NOTICE; (III) ESTIMATING EACH ASEBSTOS PI </w:t>
      </w:r>
    </w:p>
    <w:p w14:paraId="4D56025D" w14:textId="77777777" w:rsidR="00082D5A" w:rsidRDefault="00000000">
      <w:pPr>
        <w:spacing w:after="10" w:line="249" w:lineRule="auto"/>
        <w:ind w:left="27"/>
      </w:pPr>
      <w:r>
        <w:rPr>
          <w:b/>
        </w:rPr>
        <w:t xml:space="preserve">CLAIM AT $1.00 SOLELY FOR VOTING PURPOSES; AND (IV) FIXING DATE, TIME </w:t>
      </w:r>
    </w:p>
    <w:p w14:paraId="77A59168" w14:textId="77777777" w:rsidR="00082D5A" w:rsidRDefault="00000000">
      <w:pPr>
        <w:spacing w:after="10" w:line="249" w:lineRule="auto"/>
        <w:jc w:val="center"/>
      </w:pPr>
      <w:r>
        <w:rPr>
          <w:b/>
        </w:rPr>
        <w:t xml:space="preserve">AND PLACE FOR CONFIRMATION HEARING AND DEADLINE FOR FILING </w:t>
      </w:r>
      <w:r>
        <w:rPr>
          <w:b/>
          <w:u w:val="single" w:color="000000"/>
        </w:rPr>
        <w:t>OBJECTIONS THERETO</w:t>
      </w:r>
      <w:r>
        <w:rPr>
          <w:b/>
        </w:rPr>
        <w:t xml:space="preserve"> </w:t>
      </w:r>
    </w:p>
    <w:p w14:paraId="25C84B01" w14:textId="77777777" w:rsidR="00082D5A" w:rsidRDefault="00000000">
      <w:pPr>
        <w:spacing w:after="0" w:line="259" w:lineRule="auto"/>
        <w:ind w:left="0" w:firstLine="0"/>
      </w:pPr>
      <w:r>
        <w:t xml:space="preserve"> </w:t>
      </w:r>
    </w:p>
    <w:p w14:paraId="0FF22189" w14:textId="77777777" w:rsidR="00082D5A" w:rsidRDefault="00000000">
      <w:pPr>
        <w:ind w:left="8" w:right="13" w:firstLine="720"/>
      </w:pPr>
      <w:r>
        <w:t xml:space="preserve">The </w:t>
      </w:r>
      <w:r>
        <w:rPr>
          <w:i/>
        </w:rPr>
        <w:t>Ad Hoc</w:t>
      </w:r>
      <w:r>
        <w:t xml:space="preserve"> Committee of Tort Victims (the “Ad Hoc Committee”),</w:t>
      </w:r>
      <w:r>
        <w:rPr>
          <w:sz w:val="20"/>
          <w:vertAlign w:val="superscript"/>
        </w:rPr>
        <w:footnoteReference w:id="1"/>
      </w:r>
      <w:r>
        <w:t xml:space="preserve"> by and through their undersigned counsel, hereby submit this Objection (the "Objection") To </w:t>
      </w:r>
      <w:proofErr w:type="gramStart"/>
      <w:r>
        <w:t>The</w:t>
      </w:r>
      <w:proofErr w:type="gramEnd"/>
      <w:r>
        <w:t xml:space="preserve"> Debtor’s First </w:t>
      </w:r>
    </w:p>
    <w:p w14:paraId="56FD32C6" w14:textId="77777777" w:rsidR="00082D5A" w:rsidRDefault="00000000">
      <w:pPr>
        <w:spacing w:after="252" w:line="259" w:lineRule="auto"/>
        <w:ind w:left="18" w:right="13"/>
      </w:pPr>
      <w:r>
        <w:t xml:space="preserve">Amended Disclosure Statement and Motion </w:t>
      </w:r>
      <w:proofErr w:type="gramStart"/>
      <w:r>
        <w:t>For</w:t>
      </w:r>
      <w:proofErr w:type="gramEnd"/>
      <w:r>
        <w:t xml:space="preserve"> </w:t>
      </w:r>
      <w:proofErr w:type="gramStart"/>
      <w:r>
        <w:t>An</w:t>
      </w:r>
      <w:proofErr w:type="gramEnd"/>
      <w:r>
        <w:t xml:space="preserve"> Order: (I) Approving Quigley’s Disclosure </w:t>
      </w:r>
    </w:p>
    <w:p w14:paraId="4A91C400" w14:textId="77777777" w:rsidR="00082D5A" w:rsidRDefault="00000000">
      <w:pPr>
        <w:spacing w:after="252" w:line="259" w:lineRule="auto"/>
        <w:ind w:left="18" w:right="13"/>
      </w:pPr>
      <w:r>
        <w:lastRenderedPageBreak/>
        <w:t xml:space="preserve">Statement; (II) Approving Solicitation Procedures, Forms of Ballots, and Manner of Notice; (III) Estimating Each Asbestos PI Claim at $1.00 Solely </w:t>
      </w:r>
      <w:proofErr w:type="gramStart"/>
      <w:r>
        <w:t>For</w:t>
      </w:r>
      <w:proofErr w:type="gramEnd"/>
      <w:r>
        <w:t xml:space="preserve"> Voting Purposes; and (IV) Fixing Date, </w:t>
      </w:r>
    </w:p>
    <w:p w14:paraId="55190752" w14:textId="77777777" w:rsidR="00082D5A" w:rsidRDefault="00000000">
      <w:pPr>
        <w:ind w:left="18" w:right="13"/>
      </w:pPr>
      <w:r>
        <w:t xml:space="preserve">Time and Place for Confirmation Hearing and Deadline for Filing Objections Thereto (collectively, the “Plan”).  In connection therewith, the Ad Hoc Committee respectfully represents as follows: </w:t>
      </w:r>
    </w:p>
    <w:p w14:paraId="3C3AAE07" w14:textId="77777777" w:rsidR="00082D5A" w:rsidRDefault="00000000">
      <w:pPr>
        <w:pStyle w:val="Heading1"/>
        <w:numPr>
          <w:ilvl w:val="0"/>
          <w:numId w:val="0"/>
        </w:numPr>
        <w:spacing w:after="289"/>
        <w:ind w:left="727" w:right="720"/>
      </w:pPr>
      <w:r>
        <w:t>PRELIMINARY STATEMENT</w:t>
      </w:r>
      <w:r>
        <w:rPr>
          <w:vertAlign w:val="superscript"/>
        </w:rPr>
        <w:footnoteReference w:id="2"/>
      </w:r>
      <w:r>
        <w:rPr>
          <w:b w:val="0"/>
          <w:u w:val="none"/>
        </w:rPr>
        <w:t xml:space="preserve"> </w:t>
      </w:r>
    </w:p>
    <w:p w14:paraId="32332932" w14:textId="77777777" w:rsidR="00082D5A" w:rsidRDefault="00000000">
      <w:pPr>
        <w:ind w:left="8" w:right="13" w:firstLine="720"/>
      </w:pPr>
      <w:r>
        <w:t xml:space="preserve">Taking another step in its </w:t>
      </w:r>
      <w:proofErr w:type="gramStart"/>
      <w:r>
        <w:t>carefully-orchestrated</w:t>
      </w:r>
      <w:proofErr w:type="gramEnd"/>
      <w:r>
        <w:t xml:space="preserve"> scheme to shield its non-debtor parent company from substantial exposure, Quigley Company, Inc. (“Quigley” or “Debtor”) now </w:t>
      </w:r>
      <w:r w:rsidRPr="009A66C0">
        <w:rPr>
          <w:highlight w:val="yellow"/>
        </w:rPr>
        <w:t>proposes to leverage its still largely unexplained pre-petition settlements (believed to have been entered into principally with “low value” claimants) to eviscerate the voting rights of those individuals most seriously harmed by its (and possibly Pfizer’s) products.  Having apparently bought enough “low value” claims to satisfy Section 1126(c)’s “one-half in number”</w:t>
      </w:r>
      <w:r>
        <w:t xml:space="preserve"> requirement, Debtor now proposes to simply ignore the additional, clear and unequivocal requirement of Section 1126(c) that “two-thirds in amount” must accept the plan.  Debtor seeks this end-around by proposing to </w:t>
      </w:r>
      <w:r w:rsidRPr="009A66C0">
        <w:rPr>
          <w:highlight w:val="yellow"/>
        </w:rPr>
        <w:t xml:space="preserve">treat all asbestos claimants </w:t>
      </w:r>
      <w:proofErr w:type="gramStart"/>
      <w:r w:rsidRPr="009A66C0">
        <w:rPr>
          <w:highlight w:val="yellow"/>
        </w:rPr>
        <w:t>exactly the same</w:t>
      </w:r>
      <w:proofErr w:type="gramEnd"/>
      <w:r w:rsidRPr="009A66C0">
        <w:rPr>
          <w:highlight w:val="yellow"/>
        </w:rPr>
        <w:t xml:space="preserve"> for voting purposes, regardless of disease type and irrespective of any product identification issues</w:t>
      </w:r>
      <w:r>
        <w:t xml:space="preserve">.  On top of this, Debtor appears to be using an artificially impaired class to effectively gerrymander the vote </w:t>
      </w:r>
      <w:proofErr w:type="gramStart"/>
      <w:r>
        <w:t>in an attempt to</w:t>
      </w:r>
      <w:proofErr w:type="gramEnd"/>
      <w:r>
        <w:t xml:space="preserve"> ensure confirmation.   </w:t>
      </w:r>
    </w:p>
    <w:p w14:paraId="6FC03728" w14:textId="77777777" w:rsidR="00082D5A" w:rsidRDefault="00000000">
      <w:pPr>
        <w:spacing w:after="246"/>
        <w:ind w:left="8" w:right="13" w:firstLine="720"/>
      </w:pPr>
      <w:r>
        <w:t>Such a proposition flies in the face of recent case law in the asbestos arena, common sense and is an affront to the equitable notions underlying the bankruptcy system.  Moreover, it stands in stark contrast to Quigley’s (and Pfizer’s</w:t>
      </w:r>
      <w:proofErr w:type="gramStart"/>
      <w:r>
        <w:t>) own</w:t>
      </w:r>
      <w:proofErr w:type="gramEnd"/>
      <w:r>
        <w:t xml:space="preserve"> historical treatment of, and settlement </w:t>
      </w:r>
      <w:r>
        <w:lastRenderedPageBreak/>
        <w:t xml:space="preserve">history with, asbestos claimants, which recognizes the large discrepancies that exist among individual asbestos claimants.  Such injustice cannot be condoned by this Court and the proposed </w:t>
      </w:r>
    </w:p>
    <w:p w14:paraId="3C10EB20" w14:textId="77777777" w:rsidR="00082D5A" w:rsidRDefault="00000000">
      <w:pPr>
        <w:spacing w:after="252" w:line="259" w:lineRule="auto"/>
        <w:ind w:left="18" w:right="13"/>
      </w:pPr>
      <w:r>
        <w:t xml:space="preserve">Plan cannot be confirmed. </w:t>
      </w:r>
    </w:p>
    <w:p w14:paraId="7018EC2F" w14:textId="77777777" w:rsidR="00082D5A" w:rsidRDefault="00000000">
      <w:pPr>
        <w:ind w:left="8" w:right="13" w:firstLine="720"/>
      </w:pPr>
      <w:r>
        <w:t xml:space="preserve">Moreover, the Debtor remains unlikely to succeed in its efforts to obtain a 524(g) channeling injunction.  Indeed, the current figures comparing the amount of pre-petition settlements to the current estimated clams raises more questions than before.  While the number of estimated claimants has dropped by some 13,000 claims, the Debtor still maintains that it has pre-petition agreements with approximately 80% of all claimants.  As described in greater detail below, </w:t>
      </w:r>
      <w:proofErr w:type="gramStart"/>
      <w:r>
        <w:t>the math</w:t>
      </w:r>
      <w:proofErr w:type="gramEnd"/>
      <w:r>
        <w:t xml:space="preserve"> simply does not work.  </w:t>
      </w:r>
      <w:r w:rsidRPr="009A66C0">
        <w:rPr>
          <w:highlight w:val="yellow"/>
        </w:rPr>
        <w:t>Debtor is unlikely to achieve the required 75% of votes necessary for a 524(g) injunction and has</w:t>
      </w:r>
      <w:r>
        <w:t xml:space="preserve"> not satisfactorily addressed other deficiencies in the 524(g) analysis.  Without a 524(g) injunction, the proposed Plan is a non-starter. </w:t>
      </w:r>
    </w:p>
    <w:p w14:paraId="0729C4CF" w14:textId="77777777" w:rsidR="00082D5A" w:rsidRDefault="00000000">
      <w:pPr>
        <w:ind w:left="8" w:right="13" w:firstLine="720"/>
      </w:pPr>
      <w:r>
        <w:t xml:space="preserve">In addition to these fundamental flaws in the proposed Plan, the Amended Disclosure Statement suffers from numerous other deficiencies, including a failure to provide any substantive details concerning the pre-petition settlements upon which the Plan is based, a failure to clearly disclose the possibility that any monies paid to fund the pre-petition settlements may be subject to avoidance and a failure to make clear that Pfizer is to remain liable for its own, direct (i.e., non-derivative) asbestos liability after confirmation, all of which render the </w:t>
      </w:r>
    </w:p>
    <w:p w14:paraId="686FE4E1" w14:textId="77777777" w:rsidR="00082D5A" w:rsidRDefault="00000000">
      <w:pPr>
        <w:spacing w:after="254" w:line="259" w:lineRule="auto"/>
        <w:ind w:left="18" w:right="13"/>
      </w:pPr>
      <w:r>
        <w:t xml:space="preserve">Disclosure Statement incapable of being approved. </w:t>
      </w:r>
    </w:p>
    <w:p w14:paraId="27AC87F9" w14:textId="77777777" w:rsidR="00082D5A" w:rsidRDefault="00000000">
      <w:pPr>
        <w:pStyle w:val="Heading1"/>
        <w:numPr>
          <w:ilvl w:val="0"/>
          <w:numId w:val="0"/>
        </w:numPr>
        <w:ind w:left="727" w:right="720"/>
      </w:pPr>
      <w:r>
        <w:t>BACKGROUND</w:t>
      </w:r>
      <w:r>
        <w:rPr>
          <w:u w:val="none"/>
        </w:rPr>
        <w:t xml:space="preserve"> </w:t>
      </w:r>
    </w:p>
    <w:p w14:paraId="20E91514" w14:textId="77777777" w:rsidR="00082D5A" w:rsidRDefault="00000000">
      <w:pPr>
        <w:spacing w:after="428"/>
        <w:ind w:left="8" w:right="13" w:firstLine="720"/>
      </w:pPr>
      <w:r>
        <w:t xml:space="preserve">More than one year ago, on September 3, 2004, seeking to provide its parent company with </w:t>
      </w:r>
      <w:proofErr w:type="gramStart"/>
      <w:r>
        <w:t>all of</w:t>
      </w:r>
      <w:proofErr w:type="gramEnd"/>
      <w:r>
        <w:t xml:space="preserve"> the </w:t>
      </w:r>
      <w:proofErr w:type="gramStart"/>
      <w:r>
        <w:t>protections</w:t>
      </w:r>
      <w:proofErr w:type="gramEnd"/>
      <w:r>
        <w:t xml:space="preserve"> of bankruptcy while avoiding the stigma of a bankruptcy filing, Quigley filed a voluntary petition for relief under Chapter 11 of the Bankruptcy Code.  Central to the effort was a Section 524(g) injunction which afforded Quigley’s non-debtor parent company, Pfizer, with sweeping protection from asbestos claimants.  Over the objection of a substantial </w:t>
      </w:r>
    </w:p>
    <w:p w14:paraId="28DA6DE5" w14:textId="77777777" w:rsidR="00082D5A" w:rsidRDefault="00000000">
      <w:pPr>
        <w:spacing w:line="259" w:lineRule="auto"/>
        <w:ind w:left="1927" w:right="1200"/>
        <w:jc w:val="center"/>
      </w:pPr>
      <w:r>
        <w:lastRenderedPageBreak/>
        <w:t xml:space="preserve">- 3 - </w:t>
      </w:r>
    </w:p>
    <w:p w14:paraId="5EB6A48F" w14:textId="77777777" w:rsidR="00082D5A" w:rsidRDefault="00000000">
      <w:pPr>
        <w:ind w:left="18" w:right="13"/>
      </w:pPr>
      <w:r>
        <w:t xml:space="preserve">number of asbestos claimants, Quigley and Pfizer obtained a preliminary </w:t>
      </w:r>
      <w:proofErr w:type="gramStart"/>
      <w:r>
        <w:t>injunction</w:t>
      </w:r>
      <w:proofErr w:type="gramEnd"/>
      <w:r>
        <w:t xml:space="preserve"> </w:t>
      </w:r>
      <w:proofErr w:type="gramStart"/>
      <w:r>
        <w:t>staying</w:t>
      </w:r>
      <w:proofErr w:type="gramEnd"/>
      <w:r>
        <w:t xml:space="preserve"> all asbestos-related litigation against the companies.  The injunction stayed not only claims based upon the production, manufacture, sale and/or distribution of Quigley’s own asbestos </w:t>
      </w:r>
      <w:proofErr w:type="gramStart"/>
      <w:r>
        <w:t>products, but</w:t>
      </w:r>
      <w:proofErr w:type="gramEnd"/>
      <w:r>
        <w:t xml:space="preserve"> also claims based upon asbestos products that had been produced, manufactured, sold and/or distributed directly by Pfizer.  Armed with such broad, far-reaching relief, Quigley has plodded along (while Pfizer has reaped the rewards), taking almost 12 months to file an Amended Disclosure Statement for what it had originally called a “pre-negotiated” plan. </w:t>
      </w:r>
    </w:p>
    <w:p w14:paraId="1FD3EEE6" w14:textId="77777777" w:rsidR="00082D5A" w:rsidRDefault="00000000">
      <w:pPr>
        <w:ind w:left="8" w:right="13" w:firstLine="720"/>
      </w:pPr>
      <w:r>
        <w:t xml:space="preserve">Although presumably content to remain in limbo, the terms of these pre-petition settlement agreements apparently necessitated the filing of the Amended Disclosure Statement and Amended Plan (the “Plan”).  </w:t>
      </w:r>
      <w:proofErr w:type="gramStart"/>
      <w:r>
        <w:t>In particular, on</w:t>
      </w:r>
      <w:proofErr w:type="gramEnd"/>
      <w:r>
        <w:t xml:space="preserve"> December 1, 2005, Pfizer is required to make a payment of some $215 million in partial satisfaction of pre-petition settlements that it had entered prior to Quigley commencing this case.  In exchange for this </w:t>
      </w:r>
      <w:proofErr w:type="gramStart"/>
      <w:r>
        <w:t>50% ‘</w:t>
      </w:r>
      <w:proofErr w:type="gramEnd"/>
      <w:r>
        <w:t xml:space="preserve">advance’ in the total settlement payment, Pfizer receives an agreement from claimants’ counsel not to institute any further litigation against the Pfizer Protected Parties.    </w:t>
      </w:r>
    </w:p>
    <w:p w14:paraId="2080A514" w14:textId="77777777" w:rsidR="00082D5A" w:rsidRDefault="00000000">
      <w:pPr>
        <w:ind w:left="8" w:right="13" w:firstLine="720"/>
      </w:pPr>
      <w:r>
        <w:t xml:space="preserve">With this deadline approaching, and having bought these votes </w:t>
      </w:r>
      <w:proofErr w:type="gramStart"/>
      <w:r>
        <w:t>in order for</w:t>
      </w:r>
      <w:proofErr w:type="gramEnd"/>
      <w:r>
        <w:t xml:space="preserve"> Debtor to achieve confirmation (as well as obtaining future protection from suits for Pfizer), on August 18, </w:t>
      </w:r>
    </w:p>
    <w:p w14:paraId="0249BA99" w14:textId="77777777" w:rsidR="00082D5A" w:rsidRDefault="00000000">
      <w:pPr>
        <w:spacing w:after="252" w:line="259" w:lineRule="auto"/>
        <w:ind w:left="18" w:right="13"/>
      </w:pPr>
      <w:r>
        <w:t xml:space="preserve">2005, Debtor filed a First Amended Plan of Reorganization (the “Plan”), a First Amended </w:t>
      </w:r>
    </w:p>
    <w:p w14:paraId="61883A40" w14:textId="77777777" w:rsidR="00082D5A" w:rsidRDefault="00000000">
      <w:pPr>
        <w:spacing w:after="1532"/>
        <w:ind w:left="18" w:right="13"/>
      </w:pPr>
      <w:r>
        <w:t xml:space="preserve">Disclosure Statement (the “Disclosure Statement”) and an accompanying motion (the “Motion”).  By this Motion, Quigley seeks an order, </w:t>
      </w:r>
      <w:r>
        <w:rPr>
          <w:i/>
        </w:rPr>
        <w:t>inter alia</w:t>
      </w:r>
      <w:r>
        <w:t>, approving the form and content of the proposed Disclosure Statement and estimating each Asbestos PI Claim at $1.00 solely for voting purposes.</w:t>
      </w:r>
      <w:r>
        <w:rPr>
          <w:b/>
        </w:rPr>
        <w:t xml:space="preserve"> </w:t>
      </w:r>
    </w:p>
    <w:p w14:paraId="422F8BB5" w14:textId="77777777" w:rsidR="00082D5A" w:rsidRDefault="00000000">
      <w:pPr>
        <w:spacing w:line="259" w:lineRule="auto"/>
        <w:ind w:left="1927" w:right="1200"/>
        <w:jc w:val="center"/>
      </w:pPr>
      <w:r>
        <w:lastRenderedPageBreak/>
        <w:t xml:space="preserve">- 4 - </w:t>
      </w:r>
    </w:p>
    <w:p w14:paraId="350F8329" w14:textId="77777777" w:rsidR="00082D5A" w:rsidRDefault="00000000">
      <w:pPr>
        <w:spacing w:after="252" w:line="259" w:lineRule="auto"/>
        <w:ind w:left="727" w:right="719"/>
        <w:jc w:val="center"/>
      </w:pPr>
      <w:r>
        <w:rPr>
          <w:b/>
          <w:u w:val="single" w:color="000000"/>
        </w:rPr>
        <w:t>LEGAL ARGUMENT</w:t>
      </w:r>
      <w:r>
        <w:rPr>
          <w:b/>
        </w:rPr>
        <w:t xml:space="preserve"> </w:t>
      </w:r>
    </w:p>
    <w:p w14:paraId="2F277EA8" w14:textId="77777777" w:rsidR="00082D5A" w:rsidRDefault="00000000">
      <w:pPr>
        <w:pStyle w:val="Heading1"/>
        <w:spacing w:after="225" w:line="252" w:lineRule="auto"/>
        <w:ind w:left="715" w:right="0" w:hanging="730"/>
        <w:jc w:val="left"/>
      </w:pPr>
      <w:r>
        <w:t>SECTION 1125 OF THE BANKRUPTCY CODE REQUIRES A TWO-STEP</w:t>
      </w:r>
      <w:r>
        <w:rPr>
          <w:u w:val="none"/>
        </w:rPr>
        <w:t xml:space="preserve"> </w:t>
      </w:r>
      <w:r>
        <w:t>ANALYSIS FOR APPROVAL OF A DISCLOSURE STATEMENT</w:t>
      </w:r>
      <w:r>
        <w:rPr>
          <w:u w:val="none"/>
        </w:rPr>
        <w:t xml:space="preserve">  </w:t>
      </w:r>
    </w:p>
    <w:p w14:paraId="1932C6CE" w14:textId="77777777" w:rsidR="00082D5A" w:rsidRDefault="00000000">
      <w:pPr>
        <w:ind w:left="8" w:right="13" w:firstLine="720"/>
      </w:pPr>
      <w:r>
        <w:t xml:space="preserve">The approval of a disclosure statement is a two-step process.  As a threshold matter, the reviewing court should examine the terms of the plan and determine whether on its face it is so “fatally flawed” that confirmation would be impossible.  </w:t>
      </w:r>
      <w:r>
        <w:rPr>
          <w:u w:val="single" w:color="000000"/>
        </w:rPr>
        <w:t>In re Filex</w:t>
      </w:r>
      <w:r>
        <w:t>, 116 B.R. 37, 41 (</w:t>
      </w:r>
      <w:proofErr w:type="spellStart"/>
      <w:r>
        <w:t>Bankr</w:t>
      </w:r>
      <w:proofErr w:type="spellEnd"/>
      <w:r>
        <w:t xml:space="preserve">. </w:t>
      </w:r>
    </w:p>
    <w:p w14:paraId="4C018329" w14:textId="77777777" w:rsidR="00082D5A" w:rsidRDefault="00000000">
      <w:pPr>
        <w:spacing w:after="252" w:line="259" w:lineRule="auto"/>
        <w:ind w:left="18" w:right="13"/>
      </w:pPr>
      <w:r>
        <w:t xml:space="preserve">S.D.N.Y. 1990); </w:t>
      </w:r>
      <w:r>
        <w:rPr>
          <w:u w:val="single" w:color="000000"/>
        </w:rPr>
        <w:t>In re 266 Washington Assocs.</w:t>
      </w:r>
      <w:r>
        <w:t>, 141 B.R. 275, 288 (</w:t>
      </w:r>
      <w:proofErr w:type="spellStart"/>
      <w:r>
        <w:t>Bankr</w:t>
      </w:r>
      <w:proofErr w:type="spellEnd"/>
      <w:r>
        <w:t xml:space="preserve">. E.D.N.Y.), </w:t>
      </w:r>
      <w:r>
        <w:rPr>
          <w:u w:val="single" w:color="000000"/>
        </w:rPr>
        <w:t>aff’d</w:t>
      </w:r>
      <w:r>
        <w:t xml:space="preserve">, 147 </w:t>
      </w:r>
    </w:p>
    <w:p w14:paraId="711189D1" w14:textId="77777777" w:rsidR="00082D5A" w:rsidRDefault="00000000">
      <w:pPr>
        <w:spacing w:after="252" w:line="259" w:lineRule="auto"/>
        <w:ind w:left="18" w:right="13"/>
      </w:pPr>
      <w:r>
        <w:t>B.R. 827 (E.D.N.Y. 1992</w:t>
      </w:r>
      <w:proofErr w:type="gramStart"/>
      <w:r>
        <w:t xml:space="preserve">);  </w:t>
      </w:r>
      <w:r>
        <w:rPr>
          <w:u w:val="single" w:color="000000"/>
        </w:rPr>
        <w:t>In</w:t>
      </w:r>
      <w:proofErr w:type="gramEnd"/>
      <w:r>
        <w:rPr>
          <w:u w:val="single" w:color="000000"/>
        </w:rPr>
        <w:t xml:space="preserve"> re Eastern Maine Electric Coop., Inc.</w:t>
      </w:r>
      <w:r>
        <w:t>, 125 B.R. 329, 333 (</w:t>
      </w:r>
      <w:proofErr w:type="spellStart"/>
      <w:r>
        <w:t>Bankr</w:t>
      </w:r>
      <w:proofErr w:type="spellEnd"/>
      <w:r>
        <w:t xml:space="preserve">. </w:t>
      </w:r>
    </w:p>
    <w:p w14:paraId="48E11388" w14:textId="77777777" w:rsidR="00082D5A" w:rsidRDefault="00000000">
      <w:pPr>
        <w:ind w:left="18" w:right="13"/>
      </w:pPr>
      <w:r>
        <w:t xml:space="preserve">D. Me. 1991); </w:t>
      </w:r>
      <w:r>
        <w:rPr>
          <w:u w:val="single" w:color="000000"/>
        </w:rPr>
        <w:t>In re Cardinal Congregate I</w:t>
      </w:r>
      <w:r>
        <w:t>, 121 B.R. 760, 764 (</w:t>
      </w:r>
      <w:proofErr w:type="spellStart"/>
      <w:r>
        <w:t>Bankr</w:t>
      </w:r>
      <w:proofErr w:type="spellEnd"/>
      <w:r>
        <w:t xml:space="preserve">. S.D. Ohio 1990); </w:t>
      </w:r>
      <w:r>
        <w:rPr>
          <w:u w:val="single" w:color="000000"/>
        </w:rPr>
        <w:t>In re</w:t>
      </w:r>
      <w:r>
        <w:t xml:space="preserve"> </w:t>
      </w:r>
      <w:r>
        <w:rPr>
          <w:u w:val="single" w:color="000000"/>
        </w:rPr>
        <w:t>Dakota Rail, Inc.</w:t>
      </w:r>
      <w:r>
        <w:t>, 104 B.R. 138 (</w:t>
      </w:r>
      <w:proofErr w:type="spellStart"/>
      <w:r>
        <w:t>Bankr</w:t>
      </w:r>
      <w:proofErr w:type="spellEnd"/>
      <w:r>
        <w:t xml:space="preserve">. D. Minn. 1989).  This rule is based on considerations of judicial economy and a desire to reduce the burden on the estate, because no purpose is served by proceeding further in respect of a disclosure statement describing a plan that cannot, as a matter of law, be confirmed.  </w:t>
      </w:r>
      <w:r>
        <w:rPr>
          <w:u w:val="single" w:color="000000"/>
        </w:rPr>
        <w:t>In re Monroe Well Service, Inc.</w:t>
      </w:r>
      <w:r>
        <w:t>, 80 B.R. 324, 332 (</w:t>
      </w:r>
      <w:proofErr w:type="spellStart"/>
      <w:r>
        <w:t>Bankr</w:t>
      </w:r>
      <w:proofErr w:type="spellEnd"/>
      <w:r>
        <w:t xml:space="preserve">. E.D. Pa. 1987); </w:t>
      </w:r>
    </w:p>
    <w:p w14:paraId="7DB724F0" w14:textId="77777777" w:rsidR="00082D5A" w:rsidRDefault="00000000">
      <w:pPr>
        <w:ind w:left="18" w:right="13"/>
      </w:pPr>
      <w:r>
        <w:rPr>
          <w:u w:val="single" w:color="000000"/>
        </w:rPr>
        <w:t>In re Pech</w:t>
      </w:r>
      <w:r>
        <w:rPr>
          <w:b/>
          <w:u w:val="single" w:color="000000"/>
        </w:rPr>
        <w:t>t</w:t>
      </w:r>
      <w:r>
        <w:t>, 57 B.R. 137, 139 (</w:t>
      </w:r>
      <w:proofErr w:type="spellStart"/>
      <w:r>
        <w:t>Bankr</w:t>
      </w:r>
      <w:proofErr w:type="spellEnd"/>
      <w:r>
        <w:t xml:space="preserve">. E.D. Va. 1986).  As discussed in more detail below, the Debtor’s Plan is patently unconfirmable and, therefore, the Disclosure Statement cannot be approved. </w:t>
      </w:r>
    </w:p>
    <w:p w14:paraId="761117E6" w14:textId="77777777" w:rsidR="00082D5A" w:rsidRDefault="00000000">
      <w:pPr>
        <w:ind w:left="8" w:right="13" w:firstLine="720"/>
      </w:pPr>
      <w:r w:rsidRPr="009A66C0">
        <w:rPr>
          <w:highlight w:val="yellow"/>
        </w:rPr>
        <w:t>As the second step in the approval of a proposed disclosure statement, the Court must consider whether the disclosure statement provides “adequate information” to creditors about the terms of the proposed plan.</w:t>
      </w:r>
      <w:r>
        <w:t xml:space="preserve">  11 U.S.C. § 1125(a)(1); </w:t>
      </w:r>
      <w:proofErr w:type="spellStart"/>
      <w:r>
        <w:rPr>
          <w:u w:val="single" w:color="000000"/>
        </w:rPr>
        <w:t>Kunica</w:t>
      </w:r>
      <w:proofErr w:type="spellEnd"/>
      <w:r>
        <w:rPr>
          <w:u w:val="single" w:color="000000"/>
        </w:rPr>
        <w:t xml:space="preserve"> v. St. Jean Financial, Inc.</w:t>
      </w:r>
      <w:r>
        <w:t>, 233 B.R. 46, 54 (S.D.N.Y. 1999).  The purpose of a disclosure statement is to provide “</w:t>
      </w:r>
      <w:r w:rsidRPr="009A66C0">
        <w:rPr>
          <w:highlight w:val="yellow"/>
        </w:rPr>
        <w:t>adequate information” to creditors and other parties in interest about the terms of a proposed plan, allowing for both an informed vote and knowledgeable participation in the confirmation process.</w:t>
      </w:r>
      <w:r>
        <w:t xml:space="preserve">  </w:t>
      </w:r>
    </w:p>
    <w:p w14:paraId="08CED78E" w14:textId="77777777" w:rsidR="00082D5A" w:rsidRDefault="00000000">
      <w:pPr>
        <w:spacing w:after="246" w:line="265" w:lineRule="auto"/>
        <w:ind w:left="-5"/>
      </w:pPr>
      <w:r>
        <w:rPr>
          <w:u w:val="single" w:color="000000"/>
        </w:rPr>
        <w:t>See</w:t>
      </w:r>
      <w:r>
        <w:t xml:space="preserve"> 11 U.S.C. § 1125(a)(1); </w:t>
      </w:r>
      <w:r>
        <w:rPr>
          <w:u w:val="single" w:color="000000"/>
        </w:rPr>
        <w:t>Momentum Mfg. Corp. v. Employee Creditors Comm. (In re</w:t>
      </w:r>
      <w:r>
        <w:t xml:space="preserve"> </w:t>
      </w:r>
    </w:p>
    <w:p w14:paraId="023025F3" w14:textId="77777777" w:rsidR="00082D5A" w:rsidRDefault="00000000">
      <w:pPr>
        <w:spacing w:after="445" w:line="259" w:lineRule="auto"/>
        <w:ind w:left="18" w:right="13"/>
      </w:pPr>
      <w:r>
        <w:rPr>
          <w:u w:val="single" w:color="000000"/>
        </w:rPr>
        <w:lastRenderedPageBreak/>
        <w:t>Momentum Mfg. Corp.</w:t>
      </w:r>
      <w:r>
        <w:rPr>
          <w:b/>
          <w:u w:val="single" w:color="000000"/>
        </w:rPr>
        <w:t>)</w:t>
      </w:r>
      <w:r>
        <w:t xml:space="preserve">, 25 F.3d 1132, 1136 (2d Cir. 1994); </w:t>
      </w:r>
      <w:r>
        <w:rPr>
          <w:u w:val="single" w:color="000000"/>
        </w:rPr>
        <w:t xml:space="preserve">In re </w:t>
      </w:r>
      <w:proofErr w:type="spellStart"/>
      <w:r>
        <w:rPr>
          <w:u w:val="single" w:color="000000"/>
        </w:rPr>
        <w:t>Duratech</w:t>
      </w:r>
      <w:proofErr w:type="spellEnd"/>
      <w:r>
        <w:rPr>
          <w:u w:val="single" w:color="000000"/>
        </w:rPr>
        <w:t xml:space="preserve"> Indus.</w:t>
      </w:r>
      <w:r>
        <w:t xml:space="preserve">, 241 B.R. </w:t>
      </w:r>
    </w:p>
    <w:p w14:paraId="0C2C9A12" w14:textId="77777777" w:rsidR="00082D5A" w:rsidRDefault="00000000">
      <w:pPr>
        <w:spacing w:line="259" w:lineRule="auto"/>
        <w:ind w:left="1927" w:right="1200"/>
        <w:jc w:val="center"/>
      </w:pPr>
      <w:r>
        <w:t xml:space="preserve">- 5 - </w:t>
      </w:r>
    </w:p>
    <w:p w14:paraId="261F6043" w14:textId="77777777" w:rsidR="00082D5A" w:rsidRDefault="00000000">
      <w:pPr>
        <w:ind w:left="18" w:right="13"/>
      </w:pPr>
      <w:r>
        <w:t>291, 298 (</w:t>
      </w:r>
      <w:proofErr w:type="spellStart"/>
      <w:r>
        <w:t>Bankr</w:t>
      </w:r>
      <w:proofErr w:type="spellEnd"/>
      <w:r>
        <w:t xml:space="preserve">. E.D.N.Y. 1999); </w:t>
      </w:r>
      <w:r>
        <w:rPr>
          <w:u w:val="single" w:color="000000"/>
        </w:rPr>
        <w:t xml:space="preserve">In re </w:t>
      </w:r>
      <w:proofErr w:type="spellStart"/>
      <w:r>
        <w:rPr>
          <w:u w:val="single" w:color="000000"/>
        </w:rPr>
        <w:t>Unichem</w:t>
      </w:r>
      <w:proofErr w:type="spellEnd"/>
      <w:r>
        <w:rPr>
          <w:u w:val="single" w:color="000000"/>
        </w:rPr>
        <w:t xml:space="preserve"> Corp.</w:t>
      </w:r>
      <w:r>
        <w:t>, 72 B.R. 95, 97 (</w:t>
      </w:r>
      <w:proofErr w:type="spellStart"/>
      <w:r>
        <w:t>Bankr</w:t>
      </w:r>
      <w:proofErr w:type="spellEnd"/>
      <w:r>
        <w:t xml:space="preserve">. N.D. Ill.), </w:t>
      </w:r>
      <w:r>
        <w:rPr>
          <w:u w:val="single" w:color="000000"/>
        </w:rPr>
        <w:t>aff'd</w:t>
      </w:r>
      <w:r>
        <w:t xml:space="preserve">, 80 B.R. 448 (N.D. Ill. 1987); </w:t>
      </w:r>
      <w:r>
        <w:rPr>
          <w:u w:val="single" w:color="000000"/>
        </w:rPr>
        <w:t xml:space="preserve">Ridge at </w:t>
      </w:r>
      <w:proofErr w:type="spellStart"/>
      <w:r>
        <w:rPr>
          <w:u w:val="single" w:color="000000"/>
        </w:rPr>
        <w:t>Hiwan</w:t>
      </w:r>
      <w:proofErr w:type="spellEnd"/>
      <w:r>
        <w:rPr>
          <w:u w:val="single" w:color="000000"/>
        </w:rPr>
        <w:t>, Ltd. v. Thompson (In re Thompson)</w:t>
      </w:r>
      <w:r>
        <w:t xml:space="preserve">, 231 B.R. 802, 807 (D. Colo. 1999).  As discussed in more detail below, the proposed Disclosure Statement fails this step in the analysis as well. </w:t>
      </w:r>
    </w:p>
    <w:p w14:paraId="1CBCABE5" w14:textId="77777777" w:rsidR="00082D5A" w:rsidRDefault="00000000">
      <w:pPr>
        <w:pStyle w:val="Heading1"/>
        <w:spacing w:after="225" w:line="252" w:lineRule="auto"/>
        <w:ind w:left="705" w:right="0" w:hanging="720"/>
        <w:jc w:val="left"/>
      </w:pPr>
      <w:r>
        <w:t xml:space="preserve">The Plan Is So Fatally Flawed </w:t>
      </w:r>
      <w:proofErr w:type="gramStart"/>
      <w:r>
        <w:t>As</w:t>
      </w:r>
      <w:proofErr w:type="gramEnd"/>
      <w:r>
        <w:t xml:space="preserve"> </w:t>
      </w:r>
      <w:proofErr w:type="gramStart"/>
      <w:r>
        <w:t>To</w:t>
      </w:r>
      <w:proofErr w:type="gramEnd"/>
      <w:r>
        <w:t xml:space="preserve"> Render Confirmation Impossible</w:t>
      </w:r>
      <w:r>
        <w:rPr>
          <w:u w:val="none"/>
        </w:rPr>
        <w:t xml:space="preserve"> </w:t>
      </w:r>
    </w:p>
    <w:p w14:paraId="0D1B3850" w14:textId="77777777" w:rsidR="00082D5A" w:rsidRDefault="00000000">
      <w:pPr>
        <w:ind w:left="8" w:right="13" w:firstLine="720"/>
      </w:pPr>
      <w:r>
        <w:t xml:space="preserve">“Where the plan’s inadequacies are patent, they </w:t>
      </w:r>
      <w:proofErr w:type="gramStart"/>
      <w:r>
        <w:t>may, and</w:t>
      </w:r>
      <w:proofErr w:type="gramEnd"/>
      <w:r>
        <w:t xml:space="preserve"> should be addressed at the disclosure statement stage.”  </w:t>
      </w:r>
      <w:r>
        <w:rPr>
          <w:u w:val="single" w:color="000000"/>
        </w:rPr>
        <w:t>In re Eastern Maine Elec. Coop. Inc.</w:t>
      </w:r>
      <w:r>
        <w:t xml:space="preserve">, 125 B.R. at 333.  A Court properly refuses to approve a disclosure statement where it describes a plan </w:t>
      </w:r>
      <w:proofErr w:type="spellStart"/>
      <w:r>
        <w:t>or</w:t>
      </w:r>
      <w:proofErr w:type="spellEnd"/>
      <w:r>
        <w:t xml:space="preserve"> reorganization </w:t>
      </w:r>
    </w:p>
    <w:p w14:paraId="684C1529" w14:textId="77777777" w:rsidR="00082D5A" w:rsidRDefault="00000000">
      <w:pPr>
        <w:ind w:left="18" w:right="13"/>
      </w:pPr>
      <w:r>
        <w:t>“</w:t>
      </w:r>
      <w:proofErr w:type="gramStart"/>
      <w:r>
        <w:t>which</w:t>
      </w:r>
      <w:proofErr w:type="gramEnd"/>
      <w:r>
        <w:t xml:space="preserve"> is so fatally flawed that confirmation is impossible.”  </w:t>
      </w:r>
      <w:r>
        <w:rPr>
          <w:u w:val="single" w:color="000000"/>
        </w:rPr>
        <w:t>In re United States Brass Corp.</w:t>
      </w:r>
      <w:r>
        <w:t>, 194 B.R. 420, 422 (</w:t>
      </w:r>
      <w:proofErr w:type="spellStart"/>
      <w:r>
        <w:rPr>
          <w:u w:val="single" w:color="000000"/>
        </w:rPr>
        <w:t>Bankr</w:t>
      </w:r>
      <w:proofErr w:type="spellEnd"/>
      <w:r>
        <w:rPr>
          <w:u w:val="single" w:color="000000"/>
        </w:rPr>
        <w:t>.</w:t>
      </w:r>
      <w:r>
        <w:t xml:space="preserve"> E.D. Tex. 1996).  The Debtor’s Plan is fatally flawed, making confirmation impossible. </w:t>
      </w:r>
    </w:p>
    <w:p w14:paraId="49D4C203" w14:textId="77777777" w:rsidR="00082D5A" w:rsidRDefault="00000000">
      <w:pPr>
        <w:tabs>
          <w:tab w:val="center" w:pos="836"/>
          <w:tab w:val="center" w:pos="3223"/>
        </w:tabs>
        <w:spacing w:after="10" w:line="249" w:lineRule="auto"/>
        <w:ind w:left="0" w:firstLine="0"/>
      </w:pPr>
      <w:r>
        <w:rPr>
          <w:rFonts w:ascii="Calibri" w:eastAsia="Calibri" w:hAnsi="Calibri" w:cs="Calibri"/>
          <w:sz w:val="22"/>
        </w:rPr>
        <w:tab/>
      </w:r>
      <w:r>
        <w:rPr>
          <w:b/>
        </w:rPr>
        <w:t>A</w:t>
      </w:r>
      <w:proofErr w:type="gramStart"/>
      <w:r>
        <w:rPr>
          <w:b/>
        </w:rPr>
        <w:t>.</w:t>
      </w:r>
      <w:r>
        <w:rPr>
          <w:rFonts w:ascii="Arial" w:eastAsia="Arial" w:hAnsi="Arial" w:cs="Arial"/>
          <w:b/>
        </w:rPr>
        <w:t xml:space="preserve"> </w:t>
      </w:r>
      <w:r>
        <w:rPr>
          <w:rFonts w:ascii="Arial" w:eastAsia="Arial" w:hAnsi="Arial" w:cs="Arial"/>
          <w:b/>
        </w:rPr>
        <w:tab/>
      </w:r>
      <w:r>
        <w:rPr>
          <w:b/>
        </w:rPr>
        <w:t>The</w:t>
      </w:r>
      <w:proofErr w:type="gramEnd"/>
      <w:r>
        <w:rPr>
          <w:b/>
        </w:rPr>
        <w:t xml:space="preserve"> Debtor’s Plan Rests Upon The </w:t>
      </w:r>
    </w:p>
    <w:p w14:paraId="0223D5D8" w14:textId="77777777" w:rsidR="00082D5A" w:rsidRDefault="00000000">
      <w:pPr>
        <w:spacing w:after="10" w:line="249" w:lineRule="auto"/>
        <w:ind w:left="1435" w:right="2736"/>
      </w:pPr>
      <w:r>
        <w:rPr>
          <w:b/>
        </w:rPr>
        <w:t xml:space="preserve">Fundamentally Flawed Proposition That “One </w:t>
      </w:r>
    </w:p>
    <w:p w14:paraId="33CF7066" w14:textId="77777777" w:rsidR="00082D5A" w:rsidRDefault="00000000">
      <w:pPr>
        <w:spacing w:after="224" w:line="249" w:lineRule="auto"/>
        <w:ind w:left="1435" w:right="2736"/>
      </w:pPr>
      <w:r>
        <w:rPr>
          <w:b/>
        </w:rPr>
        <w:t xml:space="preserve">Claimant, One Vote” Satisfies Section 1126(c) </w:t>
      </w:r>
    </w:p>
    <w:p w14:paraId="3817C3FC" w14:textId="77777777" w:rsidR="00082D5A" w:rsidRDefault="00000000">
      <w:pPr>
        <w:ind w:left="8" w:right="13" w:firstLine="720"/>
      </w:pPr>
      <w:proofErr w:type="gramStart"/>
      <w:r>
        <w:t>In order to</w:t>
      </w:r>
      <w:proofErr w:type="gramEnd"/>
      <w:r>
        <w:t xml:space="preserve"> be confirmed, a plan must be accepted by each impaired class of claims or interests.  11 U.S.C. § 1129(a)(8).</w:t>
      </w:r>
      <w:r>
        <w:rPr>
          <w:vertAlign w:val="superscript"/>
        </w:rPr>
        <w:footnoteReference w:id="3"/>
      </w:r>
      <w:r>
        <w:t xml:space="preserve">  The Bankruptcy Code has explicit provisions defining what constitutes “acceptance.”  A class of creditors has accepted a plan “if such plan has been accepted by creditors … that hold at least two-thirds in amount </w:t>
      </w:r>
      <w:r>
        <w:rPr>
          <w:b/>
        </w:rPr>
        <w:t>and</w:t>
      </w:r>
      <w:r>
        <w:t xml:space="preserve"> more than one-half in </w:t>
      </w:r>
      <w:r>
        <w:lastRenderedPageBreak/>
        <w:t xml:space="preserve">number of the allowed claims of such class held by creditors … that have accepted or rejected such plan.”  11 U.S.C. § 1126(c) (emphasis added).   </w:t>
      </w:r>
    </w:p>
    <w:p w14:paraId="02C67D9B" w14:textId="77777777" w:rsidR="00082D5A" w:rsidRDefault="00000000">
      <w:pPr>
        <w:ind w:left="8" w:right="13" w:firstLine="720"/>
      </w:pPr>
      <w:r>
        <w:t xml:space="preserve">The only hope that Debtor has of forcing this plan upon those claimants who have been most seriously harmed by its asbestos products is the flawed notion that for voting purposes, it is proper to employ a simple “one claimant, one vote” procedure.  By doing so, it hopes to circumvent the requirement of Section 1126(c) that two-third of value vote to approve the Plan. </w:t>
      </w:r>
    </w:p>
    <w:p w14:paraId="13CD5BBC" w14:textId="77777777" w:rsidR="00082D5A" w:rsidRDefault="00000000">
      <w:pPr>
        <w:spacing w:after="252" w:line="259" w:lineRule="auto"/>
        <w:ind w:left="18" w:right="13"/>
      </w:pPr>
      <w:r>
        <w:t xml:space="preserve">Debtor’s proposal completely eviscerates the “two-third of value” requirement of Section </w:t>
      </w:r>
    </w:p>
    <w:p w14:paraId="4844E628" w14:textId="77777777" w:rsidR="00082D5A" w:rsidRDefault="00000000">
      <w:pPr>
        <w:spacing w:after="252" w:line="259" w:lineRule="auto"/>
        <w:ind w:left="18" w:right="13"/>
      </w:pPr>
      <w:r>
        <w:t xml:space="preserve">1126(c) and is thus improper. </w:t>
      </w:r>
    </w:p>
    <w:p w14:paraId="163E797B" w14:textId="77777777" w:rsidR="00082D5A" w:rsidRDefault="00000000">
      <w:pPr>
        <w:ind w:left="8" w:right="13" w:firstLine="720"/>
      </w:pPr>
      <w:r w:rsidRPr="009A66C0">
        <w:rPr>
          <w:highlight w:val="yellow"/>
        </w:rPr>
        <w:t>There are numerous court decisions which make clear that the dual voting requirements of Section 1126(c) are not to be ignored simply because the plan contains a 524(g) injunction.</w:t>
      </w:r>
      <w:r>
        <w:t xml:space="preserve">  </w:t>
      </w:r>
    </w:p>
    <w:p w14:paraId="75C71B34" w14:textId="77777777" w:rsidR="00082D5A" w:rsidRDefault="00000000">
      <w:pPr>
        <w:spacing w:after="252" w:line="259" w:lineRule="auto"/>
        <w:ind w:left="18" w:right="13"/>
      </w:pPr>
      <w:r>
        <w:rPr>
          <w:u w:val="single" w:color="000000"/>
        </w:rPr>
        <w:t>See</w:t>
      </w:r>
      <w:r>
        <w:t xml:space="preserve">, </w:t>
      </w:r>
      <w:r>
        <w:rPr>
          <w:u w:val="single" w:color="000000"/>
        </w:rPr>
        <w:t>e.g.</w:t>
      </w:r>
      <w:r>
        <w:t xml:space="preserve">, </w:t>
      </w:r>
      <w:r>
        <w:rPr>
          <w:u w:val="single" w:color="000000"/>
        </w:rPr>
        <w:t>In re Mid-Valley, Inc.</w:t>
      </w:r>
      <w:r>
        <w:t xml:space="preserve">, No. 03-35592, 2004 </w:t>
      </w:r>
      <w:proofErr w:type="spellStart"/>
      <w:r>
        <w:t>Bankr</w:t>
      </w:r>
      <w:proofErr w:type="spellEnd"/>
      <w:r>
        <w:t>. LEXIS 1553, at *6, ¶ 5 (</w:t>
      </w:r>
      <w:proofErr w:type="spellStart"/>
      <w:r>
        <w:t>Bankr</w:t>
      </w:r>
      <w:proofErr w:type="spellEnd"/>
      <w:r>
        <w:t xml:space="preserve">. </w:t>
      </w:r>
    </w:p>
    <w:p w14:paraId="726B8A94" w14:textId="77777777" w:rsidR="00082D5A" w:rsidRDefault="00000000">
      <w:pPr>
        <w:ind w:left="18" w:right="13"/>
      </w:pPr>
      <w:r>
        <w:t xml:space="preserve">W.D. Pa 2004) (approving a plan involving a 524(g) trust after noting that holders of Class 4 claims voted in the numbers and amounts required by section 1126 and in sufficient numbers to satisfy 524(g)); </w:t>
      </w:r>
      <w:r>
        <w:rPr>
          <w:u w:val="single" w:color="000000"/>
        </w:rPr>
        <w:t>In re Western Asbestos Co.</w:t>
      </w:r>
      <w:r>
        <w:t>, 313 B.R. 832, 840 n.10 (</w:t>
      </w:r>
      <w:proofErr w:type="spellStart"/>
      <w:r>
        <w:t>Bankr</w:t>
      </w:r>
      <w:proofErr w:type="spellEnd"/>
      <w:r>
        <w:t xml:space="preserve">. N.D. Cal. 2003) (noting that 1126(c) sets forth voting requirements for acceptance of plan by impaired class, while 524(g) sets forth voting requirement for issuance of injunction under 524(g)); </w:t>
      </w:r>
      <w:r>
        <w:rPr>
          <w:u w:val="single" w:color="000000"/>
        </w:rPr>
        <w:t>In re</w:t>
      </w:r>
      <w:r>
        <w:t xml:space="preserve"> </w:t>
      </w:r>
    </w:p>
    <w:p w14:paraId="22B0572A" w14:textId="77777777" w:rsidR="00082D5A" w:rsidRDefault="00000000">
      <w:pPr>
        <w:spacing w:after="250" w:line="259" w:lineRule="auto"/>
        <w:ind w:left="18" w:right="13"/>
      </w:pPr>
      <w:r>
        <w:rPr>
          <w:u w:val="single" w:color="000000"/>
        </w:rPr>
        <w:t xml:space="preserve">Asbestos Claims </w:t>
      </w:r>
      <w:proofErr w:type="spellStart"/>
      <w:r>
        <w:rPr>
          <w:u w:val="single" w:color="000000"/>
        </w:rPr>
        <w:t>Mgmt</w:t>
      </w:r>
      <w:proofErr w:type="spellEnd"/>
      <w:r>
        <w:rPr>
          <w:u w:val="single" w:color="000000"/>
        </w:rPr>
        <w:t xml:space="preserve"> Corp.</w:t>
      </w:r>
      <w:r>
        <w:t xml:space="preserve">, No. 02cv1799-IL, 2003 </w:t>
      </w:r>
      <w:proofErr w:type="spellStart"/>
      <w:r>
        <w:t>Bankr</w:t>
      </w:r>
      <w:proofErr w:type="spellEnd"/>
      <w:r>
        <w:t>. LEXIS 429, at *65-74 (</w:t>
      </w:r>
      <w:proofErr w:type="spellStart"/>
      <w:r>
        <w:t>Bankr</w:t>
      </w:r>
      <w:proofErr w:type="spellEnd"/>
      <w:r>
        <w:t xml:space="preserve">. </w:t>
      </w:r>
    </w:p>
    <w:p w14:paraId="620CA26C" w14:textId="77777777" w:rsidR="00082D5A" w:rsidRDefault="00000000">
      <w:pPr>
        <w:ind w:left="18" w:right="13"/>
      </w:pPr>
      <w:r>
        <w:t xml:space="preserve">N.D. Tex. May 6, 2003) (applying 1126(c) voting requirements in analyzing acceptance of the proposed plan and 524(g) requirements for purposes of assessing the 524(g) injunction); </w:t>
      </w:r>
      <w:r>
        <w:rPr>
          <w:u w:val="single" w:color="000000"/>
        </w:rPr>
        <w:t>In re</w:t>
      </w:r>
      <w:r>
        <w:t xml:space="preserve"> </w:t>
      </w:r>
    </w:p>
    <w:p w14:paraId="19C003F8" w14:textId="77777777" w:rsidR="00082D5A" w:rsidRDefault="00000000">
      <w:pPr>
        <w:ind w:left="18" w:right="13"/>
      </w:pPr>
      <w:r>
        <w:rPr>
          <w:u w:val="single" w:color="000000"/>
        </w:rPr>
        <w:t>J.T. Thorpe Co.</w:t>
      </w:r>
      <w:r>
        <w:t xml:space="preserve">, 308 B.R. 782, 787-88 (S.D. Tex. 2003) (analyzing voting requirements of 1126(c) and 524(g) separately); </w:t>
      </w:r>
      <w:r>
        <w:rPr>
          <w:u w:val="single" w:color="000000"/>
        </w:rPr>
        <w:t>In re Celotex Corp.</w:t>
      </w:r>
      <w:r>
        <w:t>, 204 B.R. 586, 595, 605 (</w:t>
      </w:r>
      <w:proofErr w:type="spellStart"/>
      <w:r>
        <w:t>Bankr</w:t>
      </w:r>
      <w:proofErr w:type="spellEnd"/>
      <w:r>
        <w:t xml:space="preserve">. M.D. Fla. 1996) (same). </w:t>
      </w:r>
    </w:p>
    <w:p w14:paraId="766508CC" w14:textId="77777777" w:rsidR="00082D5A" w:rsidRDefault="00000000">
      <w:pPr>
        <w:ind w:left="8" w:right="13" w:firstLine="720"/>
      </w:pPr>
      <w:r>
        <w:t xml:space="preserve">Completely ignoring these cases, all of which specifically discussed the separate voting requirements of Section 1126(c) and 524(g), the Debtor instead relies upon two cases which </w:t>
      </w:r>
      <w:r>
        <w:lastRenderedPageBreak/>
        <w:t xml:space="preserve">explicitly held, on the particular facts of those cases, that the court did not need to, and was not going to, decide whether such a procedure is, in fact, permissible under the Bankruptcy Code.  </w:t>
      </w:r>
    </w:p>
    <w:p w14:paraId="1D0F73CC" w14:textId="77777777" w:rsidR="00082D5A" w:rsidRDefault="00000000">
      <w:pPr>
        <w:spacing w:after="679" w:line="265" w:lineRule="auto"/>
        <w:ind w:left="-5"/>
      </w:pPr>
      <w:r>
        <w:rPr>
          <w:u w:val="single" w:color="000000"/>
        </w:rPr>
        <w:t>See</w:t>
      </w:r>
      <w:r>
        <w:t xml:space="preserve"> </w:t>
      </w:r>
      <w:r>
        <w:rPr>
          <w:u w:val="single" w:color="000000"/>
        </w:rPr>
        <w:t>Kane v. Johns-Manville Corp. (In re Johns-Manville Corp.)</w:t>
      </w:r>
      <w:r>
        <w:t xml:space="preserve">, 843 F.2d 636, 647 (2d Cir. </w:t>
      </w:r>
    </w:p>
    <w:p w14:paraId="74DA0BFC" w14:textId="77777777" w:rsidR="00082D5A" w:rsidRDefault="00000000">
      <w:pPr>
        <w:spacing w:line="259" w:lineRule="auto"/>
        <w:ind w:left="1927" w:right="1200"/>
        <w:jc w:val="center"/>
      </w:pPr>
      <w:r>
        <w:t xml:space="preserve">- 7 - </w:t>
      </w:r>
    </w:p>
    <w:p w14:paraId="6C0AA932" w14:textId="77777777" w:rsidR="00082D5A" w:rsidRDefault="00000000">
      <w:pPr>
        <w:ind w:left="18" w:right="13"/>
      </w:pPr>
      <w:r>
        <w:t xml:space="preserve">1987) (“We need not decide whether the special Class-4 voting procedures violate the Code because, in view of the outcome of the vote, the alleged irregularities were at most harmless error.”); </w:t>
      </w:r>
      <w:r>
        <w:rPr>
          <w:u w:val="single" w:color="000000"/>
        </w:rPr>
        <w:t>Menard-Sanford v. Mabey (In re A.H. Robbins Co.)</w:t>
      </w:r>
      <w:r>
        <w:t>, 880 F.2d 694, 698 (4</w:t>
      </w:r>
      <w:r>
        <w:rPr>
          <w:vertAlign w:val="superscript"/>
        </w:rPr>
        <w:t>th</w:t>
      </w:r>
      <w:r>
        <w:t xml:space="preserve"> Cir. 1989) (“We do not need to decide whether the district court’s voting procedure violated § 1126(c) because, in view of the outcome of the vote, the challenged procedure was at most harmless </w:t>
      </w:r>
    </w:p>
    <w:p w14:paraId="7009DDAB" w14:textId="77777777" w:rsidR="00082D5A" w:rsidRDefault="00000000">
      <w:pPr>
        <w:spacing w:after="317" w:line="259" w:lineRule="auto"/>
        <w:ind w:left="18" w:right="13"/>
      </w:pPr>
      <w:r>
        <w:t>error.”).</w:t>
      </w:r>
      <w:r>
        <w:rPr>
          <w:vertAlign w:val="superscript"/>
        </w:rPr>
        <w:footnoteReference w:id="4"/>
      </w:r>
      <w:r>
        <w:rPr>
          <w:vertAlign w:val="superscript"/>
        </w:rPr>
        <w:footnoteReference w:id="5"/>
      </w:r>
      <w:r>
        <w:t xml:space="preserve">   </w:t>
      </w:r>
    </w:p>
    <w:p w14:paraId="4589E8B9" w14:textId="77777777" w:rsidR="00082D5A" w:rsidRDefault="00000000">
      <w:pPr>
        <w:spacing w:after="47"/>
        <w:ind w:left="8" w:right="13" w:firstLine="720"/>
      </w:pPr>
      <w:r>
        <w:t xml:space="preserve">The facts of these two cases are markedly different from those facing </w:t>
      </w:r>
      <w:proofErr w:type="gramStart"/>
      <w:r>
        <w:t>this</w:t>
      </w:r>
      <w:proofErr w:type="gramEnd"/>
      <w:r>
        <w:t xml:space="preserve"> Court.  While </w:t>
      </w:r>
      <w:r>
        <w:rPr>
          <w:u w:val="single" w:color="000000"/>
        </w:rPr>
        <w:t>Johns-Manville</w:t>
      </w:r>
      <w:r>
        <w:t xml:space="preserve"> involved asbestos claimants, the proposed plan had been approved by 95.8% of all class-4 voters.  </w:t>
      </w:r>
      <w:r>
        <w:rPr>
          <w:u w:val="single" w:color="000000"/>
        </w:rPr>
        <w:t>In re Johns-Manville Corp.</w:t>
      </w:r>
      <w:r>
        <w:t xml:space="preserve">, 843 F.2d at 647.  In addition, there was nothing in the record of that case which gave any indication that the “no” votes were, in fact, worth more than the “yes” votes.  </w:t>
      </w:r>
      <w:r>
        <w:rPr>
          <w:u w:val="single" w:color="000000"/>
        </w:rPr>
        <w:t>Id.</w:t>
      </w:r>
      <w:r>
        <w:t xml:space="preserve"> at 647-48.  There are three primary, and critical, distinctions in this case.</w:t>
      </w:r>
      <w:r>
        <w:rPr>
          <w:vertAlign w:val="superscript"/>
        </w:rPr>
        <w:footnoteReference w:id="6"/>
      </w:r>
      <w:r>
        <w:t xml:space="preserve">  </w:t>
      </w:r>
    </w:p>
    <w:p w14:paraId="56B1E7EF" w14:textId="77777777" w:rsidR="00082D5A" w:rsidRDefault="00000000">
      <w:pPr>
        <w:spacing w:after="246"/>
        <w:ind w:left="8" w:right="13" w:firstLine="720"/>
      </w:pPr>
      <w:r>
        <w:lastRenderedPageBreak/>
        <w:t xml:space="preserve">First, the Ad Hoc Committee alone represents almost 15% of the total Class-4 claimants (20,882 claimants out of estimated 149,000), and there are other objectors to the Plan.  Thus, there is </w:t>
      </w:r>
      <w:proofErr w:type="gramStart"/>
      <w:r>
        <w:t>absolutely no</w:t>
      </w:r>
      <w:proofErr w:type="gramEnd"/>
      <w:r>
        <w:t xml:space="preserve"> chance that the </w:t>
      </w:r>
      <w:r w:rsidRPr="009A66C0">
        <w:rPr>
          <w:highlight w:val="yellow"/>
        </w:rPr>
        <w:t xml:space="preserve">Plan will receive anywhere near the almost 96% of “yes” votes that the plan being considered in </w:t>
      </w:r>
      <w:proofErr w:type="gramStart"/>
      <w:r w:rsidRPr="009A66C0">
        <w:rPr>
          <w:highlight w:val="yellow"/>
          <w:u w:val="single" w:color="000000"/>
        </w:rPr>
        <w:t>In</w:t>
      </w:r>
      <w:proofErr w:type="gramEnd"/>
      <w:r w:rsidRPr="009A66C0">
        <w:rPr>
          <w:highlight w:val="yellow"/>
          <w:u w:val="single" w:color="000000"/>
        </w:rPr>
        <w:t xml:space="preserve"> re Johns-Manville Corp.</w:t>
      </w:r>
      <w:r w:rsidRPr="009A66C0">
        <w:rPr>
          <w:highlight w:val="yellow"/>
        </w:rPr>
        <w:t xml:space="preserve"> received, or even the 94.38% of “yes” votes in </w:t>
      </w:r>
      <w:r w:rsidRPr="009A66C0">
        <w:rPr>
          <w:highlight w:val="yellow"/>
          <w:u w:val="single" w:color="000000"/>
        </w:rPr>
        <w:t>A.H. Robbins</w:t>
      </w:r>
      <w:r w:rsidRPr="009A66C0">
        <w:rPr>
          <w:highlight w:val="yellow"/>
        </w:rPr>
        <w:t>.</w:t>
      </w:r>
      <w:r>
        <w:t xml:space="preserve">  </w:t>
      </w:r>
      <w:r w:rsidRPr="009A66C0">
        <w:rPr>
          <w:highlight w:val="yellow"/>
        </w:rPr>
        <w:t>Indeed, given the presence of other objectors, Debtor is going to have tremendous difficulty in garnering even 75% of claimants.</w:t>
      </w:r>
      <w:r>
        <w:t xml:space="preserve">  Thus, unlike the courts in </w:t>
      </w:r>
    </w:p>
    <w:p w14:paraId="021B96CB" w14:textId="77777777" w:rsidR="00082D5A" w:rsidRDefault="00000000">
      <w:pPr>
        <w:ind w:left="18" w:right="13"/>
      </w:pPr>
      <w:r>
        <w:rPr>
          <w:u w:val="single" w:color="000000"/>
        </w:rPr>
        <w:t>Johns-Manville</w:t>
      </w:r>
      <w:r>
        <w:t xml:space="preserve"> and </w:t>
      </w:r>
      <w:r>
        <w:rPr>
          <w:u w:val="single" w:color="000000"/>
        </w:rPr>
        <w:t>A.H. Robbins</w:t>
      </w:r>
      <w:r>
        <w:t xml:space="preserve">, this Court must squarely address the issue of whether Debtor’s proposal meets the requirements of Section 1126(c), a proposition for which there is simply no legal support. </w:t>
      </w:r>
    </w:p>
    <w:p w14:paraId="77748A7D" w14:textId="77777777" w:rsidR="00082D5A" w:rsidRDefault="00000000">
      <w:pPr>
        <w:ind w:left="8" w:right="13" w:firstLine="720"/>
      </w:pPr>
      <w:r>
        <w:t xml:space="preserve">Second, there </w:t>
      </w:r>
      <w:r>
        <w:rPr>
          <w:u w:val="single" w:color="000000"/>
        </w:rPr>
        <w:t>is</w:t>
      </w:r>
      <w:r>
        <w:t xml:space="preserve"> evidence in the record that the “yes” votes that were effectively bought by Pfizer to assist the Debtor are worth significantly less than the “no” votes.  The historical </w:t>
      </w:r>
      <w:proofErr w:type="gramStart"/>
      <w:r>
        <w:t>claims information</w:t>
      </w:r>
      <w:proofErr w:type="gramEnd"/>
      <w:r>
        <w:t xml:space="preserve"> relating to the Debtor’s dealings with asbestos claimants (indeed, the historical trend in all asbestos litigation) makes clear that disease type and product identification are significant factors in valuing any asbestos claim.  </w:t>
      </w:r>
      <w:r w:rsidRPr="009A66C0">
        <w:rPr>
          <w:highlight w:val="yellow"/>
        </w:rPr>
        <w:t>It is simply inaccurate, and improper, to conclude that a person suffering from mesothelioma has a claim equivalent to that of a person suffering from asbestosis or pleural disease.</w:t>
      </w:r>
      <w:r>
        <w:t xml:space="preserve">  Debtor’s own papers make this point crystal clear.  </w:t>
      </w:r>
      <w:r>
        <w:rPr>
          <w:u w:val="single" w:color="000000"/>
        </w:rPr>
        <w:t>See</w:t>
      </w:r>
      <w:r>
        <w:t xml:space="preserve">, </w:t>
      </w:r>
      <w:r>
        <w:rPr>
          <w:u w:val="single" w:color="000000"/>
        </w:rPr>
        <w:t>e.g.,</w:t>
      </w:r>
      <w:r>
        <w:t xml:space="preserve"> Amended Disclosure Statement, pp. 57-59 (setting forth a scheduled value of $55,000 per claim for mesothelioma and $900 for asbestosis/pleural disease). </w:t>
      </w:r>
    </w:p>
    <w:p w14:paraId="4CF1C5B6" w14:textId="77777777" w:rsidR="00082D5A" w:rsidRDefault="00000000">
      <w:pPr>
        <w:ind w:left="8" w:right="13" w:firstLine="720"/>
      </w:pPr>
      <w:r>
        <w:t xml:space="preserve">Similarly, the Debtor’s papers and settlement history make clear that product identification plays an important role in accurately valuing a claim.  For example, it is a much more difficult task for a claimant working in the shipping industry to prove exposure to a </w:t>
      </w:r>
    </w:p>
    <w:p w14:paraId="723AC20A" w14:textId="77777777" w:rsidR="00082D5A" w:rsidRDefault="00000000">
      <w:pPr>
        <w:spacing w:after="428"/>
        <w:ind w:left="18" w:right="13"/>
      </w:pPr>
      <w:r>
        <w:t xml:space="preserve">Quigley product than someone who worked in a steel mill.  </w:t>
      </w:r>
      <w:r>
        <w:rPr>
          <w:u w:val="single" w:color="000000"/>
        </w:rPr>
        <w:t>See</w:t>
      </w:r>
      <w:r>
        <w:t xml:space="preserve">, </w:t>
      </w:r>
      <w:r>
        <w:rPr>
          <w:u w:val="single" w:color="000000"/>
        </w:rPr>
        <w:t>e.g.</w:t>
      </w:r>
      <w:r>
        <w:t xml:space="preserve">, Amended Disclosure Statement, p. 7 (“Quigley’s primary business was the sale of specialty [sic] formulated monolithic refractory materials to the steelmaking industry….  [The primary products at issue </w:t>
      </w:r>
      <w:r>
        <w:lastRenderedPageBreak/>
        <w:t xml:space="preserve">are] narrow application products primarily used for a short period of time in the steelmaking and power generation industries, respectively.”)  The Debtor asks this Court to ignore these clear distinctions and treat all claims identically – which is far different from what it itself did when entering the pre-petition settlements.   </w:t>
      </w:r>
    </w:p>
    <w:p w14:paraId="5332DB30" w14:textId="77777777" w:rsidR="00082D5A" w:rsidRDefault="00000000">
      <w:pPr>
        <w:spacing w:line="259" w:lineRule="auto"/>
        <w:ind w:left="1927" w:right="1200"/>
        <w:jc w:val="center"/>
      </w:pPr>
      <w:r>
        <w:t xml:space="preserve">- 9 - </w:t>
      </w:r>
    </w:p>
    <w:p w14:paraId="610FAD75" w14:textId="77777777" w:rsidR="00082D5A" w:rsidRDefault="00000000">
      <w:pPr>
        <w:spacing w:line="259" w:lineRule="auto"/>
        <w:ind w:left="8" w:right="13" w:firstLine="720"/>
      </w:pPr>
      <w:r>
        <w:t>Indeed, from a review of what little information has been made available concerning those pre-petition settlements, wide fluctuations in claim value are apparent.</w:t>
      </w:r>
      <w:r>
        <w:rPr>
          <w:vertAlign w:val="superscript"/>
        </w:rPr>
        <w:footnoteReference w:id="7"/>
      </w:r>
      <w:r>
        <w:t xml:space="preserve">  For example, Debtor and Pfizer paid an average of $475 per claim to large groups of claimants (based on the settling of over 27,000 claimants represented by the Jaques Admiralty Law Firm) while smaller groups were settled for much higher per-claim averages, such as $153,846 per claim (based on settling 169 claims with Waters &amp; Kraus) and $281,250 per claim (based on the settling of 16 claims with Kazan, McCain, Abrams).</w:t>
      </w:r>
      <w:r>
        <w:rPr>
          <w:vertAlign w:val="superscript"/>
        </w:rPr>
        <w:footnoteReference w:id="8"/>
      </w:r>
      <w:r>
        <w:t xml:space="preserve">  For illustrative purposes only, the following chart reveals the inequity of a straight “one claimant, one vote” methodology: </w:t>
      </w:r>
    </w:p>
    <w:tbl>
      <w:tblPr>
        <w:tblStyle w:val="TableGrid"/>
        <w:tblW w:w="8928" w:type="dxa"/>
        <w:tblInd w:w="-108" w:type="dxa"/>
        <w:tblCellMar>
          <w:top w:w="8" w:type="dxa"/>
          <w:left w:w="108" w:type="dxa"/>
          <w:bottom w:w="0" w:type="dxa"/>
          <w:right w:w="48" w:type="dxa"/>
        </w:tblCellMar>
        <w:tblLook w:val="04A0" w:firstRow="1" w:lastRow="0" w:firstColumn="1" w:lastColumn="0" w:noHBand="0" w:noVBand="1"/>
      </w:tblPr>
      <w:tblGrid>
        <w:gridCol w:w="1908"/>
        <w:gridCol w:w="1080"/>
        <w:gridCol w:w="1574"/>
        <w:gridCol w:w="1486"/>
        <w:gridCol w:w="1440"/>
        <w:gridCol w:w="1440"/>
      </w:tblGrid>
      <w:tr w:rsidR="00082D5A" w14:paraId="3300AA9F" w14:textId="77777777">
        <w:trPr>
          <w:trHeight w:val="424"/>
        </w:trPr>
        <w:tc>
          <w:tcPr>
            <w:tcW w:w="1908" w:type="dxa"/>
            <w:tcBorders>
              <w:top w:val="single" w:sz="4" w:space="0" w:color="000000"/>
              <w:left w:val="single" w:sz="4" w:space="0" w:color="000000"/>
              <w:bottom w:val="single" w:sz="4" w:space="0" w:color="000000"/>
              <w:right w:val="single" w:sz="4" w:space="0" w:color="000000"/>
            </w:tcBorders>
          </w:tcPr>
          <w:p w14:paraId="317E465C" w14:textId="77777777" w:rsidR="00082D5A" w:rsidRDefault="00000000">
            <w:pPr>
              <w:spacing w:after="0" w:line="259" w:lineRule="auto"/>
              <w:ind w:left="0" w:right="60" w:firstLine="0"/>
              <w:jc w:val="center"/>
            </w:pPr>
            <w:r>
              <w:rPr>
                <w:sz w:val="18"/>
                <w:u w:val="single" w:color="000000"/>
              </w:rPr>
              <w:t>Law Firm</w:t>
            </w:r>
            <w:r>
              <w:rPr>
                <w:sz w:val="18"/>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545DFDA1" w14:textId="77777777" w:rsidR="00082D5A" w:rsidRDefault="00000000">
            <w:pPr>
              <w:spacing w:after="0" w:line="259" w:lineRule="auto"/>
              <w:ind w:left="0" w:firstLine="0"/>
              <w:jc w:val="center"/>
            </w:pPr>
            <w:r>
              <w:rPr>
                <w:sz w:val="18"/>
                <w:u w:val="single" w:color="000000"/>
              </w:rPr>
              <w:t>Number of</w:t>
            </w:r>
            <w:r>
              <w:rPr>
                <w:sz w:val="18"/>
              </w:rPr>
              <w:t xml:space="preserve"> </w:t>
            </w:r>
            <w:r>
              <w:rPr>
                <w:sz w:val="18"/>
                <w:u w:val="single" w:color="000000"/>
              </w:rPr>
              <w:t>Claimants</w:t>
            </w:r>
            <w:r>
              <w:rPr>
                <w:sz w:val="18"/>
              </w:rPr>
              <w:t xml:space="preserve"> </w:t>
            </w:r>
          </w:p>
        </w:tc>
        <w:tc>
          <w:tcPr>
            <w:tcW w:w="1574" w:type="dxa"/>
            <w:tcBorders>
              <w:top w:val="single" w:sz="4" w:space="0" w:color="000000"/>
              <w:left w:val="single" w:sz="4" w:space="0" w:color="000000"/>
              <w:bottom w:val="single" w:sz="4" w:space="0" w:color="000000"/>
              <w:right w:val="single" w:sz="4" w:space="0" w:color="000000"/>
            </w:tcBorders>
          </w:tcPr>
          <w:p w14:paraId="34D7EAE5" w14:textId="77777777" w:rsidR="00082D5A" w:rsidRDefault="00000000">
            <w:pPr>
              <w:spacing w:after="0" w:line="259" w:lineRule="auto"/>
              <w:ind w:left="0" w:firstLine="0"/>
              <w:jc w:val="center"/>
            </w:pPr>
            <w:r>
              <w:rPr>
                <w:sz w:val="18"/>
                <w:u w:val="single" w:color="000000"/>
              </w:rPr>
              <w:t>Total Settlement</w:t>
            </w:r>
            <w:r>
              <w:rPr>
                <w:sz w:val="18"/>
              </w:rPr>
              <w:t xml:space="preserve"> </w:t>
            </w:r>
            <w:r>
              <w:rPr>
                <w:sz w:val="18"/>
                <w:u w:val="single" w:color="000000"/>
              </w:rPr>
              <w:t>Value</w:t>
            </w:r>
            <w:r>
              <w:rPr>
                <w:sz w:val="18"/>
              </w:rPr>
              <w:t xml:space="preserve"> </w:t>
            </w:r>
          </w:p>
        </w:tc>
        <w:tc>
          <w:tcPr>
            <w:tcW w:w="1486" w:type="dxa"/>
            <w:tcBorders>
              <w:top w:val="single" w:sz="4" w:space="0" w:color="000000"/>
              <w:left w:val="single" w:sz="4" w:space="0" w:color="000000"/>
              <w:bottom w:val="single" w:sz="4" w:space="0" w:color="000000"/>
              <w:right w:val="single" w:sz="4" w:space="0" w:color="000000"/>
            </w:tcBorders>
          </w:tcPr>
          <w:p w14:paraId="5A5B3220" w14:textId="77777777" w:rsidR="00082D5A" w:rsidRDefault="00000000">
            <w:pPr>
              <w:spacing w:after="0" w:line="259" w:lineRule="auto"/>
              <w:ind w:left="0" w:right="7" w:firstLine="0"/>
              <w:jc w:val="center"/>
            </w:pPr>
            <w:r>
              <w:rPr>
                <w:sz w:val="18"/>
                <w:u w:val="single" w:color="000000"/>
              </w:rPr>
              <w:t>Average per</w:t>
            </w:r>
            <w:r>
              <w:rPr>
                <w:sz w:val="18"/>
              </w:rPr>
              <w:t xml:space="preserve"> </w:t>
            </w:r>
            <w:r>
              <w:rPr>
                <w:sz w:val="18"/>
                <w:u w:val="single" w:color="000000"/>
              </w:rPr>
              <w:t>claim settlement</w:t>
            </w:r>
            <w:r>
              <w:rPr>
                <w:sz w:val="18"/>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779ED4C8" w14:textId="77777777" w:rsidR="00082D5A" w:rsidRDefault="00000000">
            <w:pPr>
              <w:spacing w:after="0" w:line="259" w:lineRule="auto"/>
              <w:ind w:left="0" w:firstLine="0"/>
              <w:jc w:val="center"/>
            </w:pPr>
            <w:r>
              <w:rPr>
                <w:sz w:val="18"/>
                <w:u w:val="single" w:color="000000"/>
              </w:rPr>
              <w:t>Percentage of</w:t>
            </w:r>
            <w:r>
              <w:rPr>
                <w:sz w:val="18"/>
              </w:rPr>
              <w:t xml:space="preserve"> </w:t>
            </w:r>
            <w:r>
              <w:rPr>
                <w:sz w:val="18"/>
                <w:u w:val="single" w:color="000000"/>
              </w:rPr>
              <w:t>“total” claimants</w:t>
            </w:r>
            <w:r>
              <w:rPr>
                <w:sz w:val="18"/>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2355F0B9" w14:textId="77777777" w:rsidR="00082D5A" w:rsidRDefault="00000000">
            <w:pPr>
              <w:spacing w:after="0" w:line="259" w:lineRule="auto"/>
              <w:ind w:left="0" w:firstLine="0"/>
              <w:jc w:val="center"/>
            </w:pPr>
            <w:r>
              <w:rPr>
                <w:sz w:val="18"/>
                <w:u w:val="single" w:color="000000"/>
              </w:rPr>
              <w:t>Percentage of</w:t>
            </w:r>
            <w:r>
              <w:rPr>
                <w:sz w:val="18"/>
              </w:rPr>
              <w:t xml:space="preserve"> </w:t>
            </w:r>
            <w:r>
              <w:rPr>
                <w:sz w:val="18"/>
                <w:u w:val="single" w:color="000000"/>
              </w:rPr>
              <w:t>“total” value</w:t>
            </w:r>
            <w:r>
              <w:rPr>
                <w:sz w:val="18"/>
              </w:rPr>
              <w:t xml:space="preserve"> </w:t>
            </w:r>
          </w:p>
        </w:tc>
      </w:tr>
      <w:tr w:rsidR="00082D5A" w14:paraId="213AAC76" w14:textId="77777777">
        <w:trPr>
          <w:trHeight w:val="286"/>
        </w:trPr>
        <w:tc>
          <w:tcPr>
            <w:tcW w:w="1908" w:type="dxa"/>
            <w:tcBorders>
              <w:top w:val="single" w:sz="4" w:space="0" w:color="000000"/>
              <w:left w:val="single" w:sz="4" w:space="0" w:color="000000"/>
              <w:bottom w:val="single" w:sz="4" w:space="0" w:color="000000"/>
              <w:right w:val="single" w:sz="4" w:space="0" w:color="000000"/>
            </w:tcBorders>
          </w:tcPr>
          <w:p w14:paraId="3B9E5F31" w14:textId="77777777" w:rsidR="00082D5A" w:rsidRDefault="00000000">
            <w:pPr>
              <w:spacing w:after="0" w:line="259" w:lineRule="auto"/>
              <w:ind w:left="0" w:firstLine="0"/>
            </w:pPr>
            <w:r>
              <w:t xml:space="preserve">Firm 1 </w:t>
            </w:r>
          </w:p>
        </w:tc>
        <w:tc>
          <w:tcPr>
            <w:tcW w:w="1080" w:type="dxa"/>
            <w:tcBorders>
              <w:top w:val="single" w:sz="4" w:space="0" w:color="000000"/>
              <w:left w:val="single" w:sz="4" w:space="0" w:color="000000"/>
              <w:bottom w:val="single" w:sz="4" w:space="0" w:color="000000"/>
              <w:right w:val="single" w:sz="4" w:space="0" w:color="000000"/>
            </w:tcBorders>
          </w:tcPr>
          <w:p w14:paraId="45B6B4F1" w14:textId="77777777" w:rsidR="00082D5A" w:rsidRDefault="00000000">
            <w:pPr>
              <w:spacing w:after="0" w:line="259" w:lineRule="auto"/>
              <w:ind w:left="0" w:right="61" w:firstLine="0"/>
              <w:jc w:val="right"/>
            </w:pPr>
            <w:r>
              <w:t xml:space="preserve">27,377 </w:t>
            </w:r>
          </w:p>
        </w:tc>
        <w:tc>
          <w:tcPr>
            <w:tcW w:w="1574" w:type="dxa"/>
            <w:tcBorders>
              <w:top w:val="single" w:sz="4" w:space="0" w:color="000000"/>
              <w:left w:val="single" w:sz="4" w:space="0" w:color="000000"/>
              <w:bottom w:val="single" w:sz="4" w:space="0" w:color="000000"/>
              <w:right w:val="single" w:sz="4" w:space="0" w:color="000000"/>
            </w:tcBorders>
          </w:tcPr>
          <w:p w14:paraId="0D4848BC" w14:textId="77777777" w:rsidR="00082D5A" w:rsidRDefault="00000000">
            <w:pPr>
              <w:spacing w:after="0" w:line="259" w:lineRule="auto"/>
              <w:ind w:left="0" w:right="60" w:firstLine="0"/>
              <w:jc w:val="right"/>
            </w:pPr>
            <w:r>
              <w:t>$13,004,075</w:t>
            </w:r>
          </w:p>
        </w:tc>
        <w:tc>
          <w:tcPr>
            <w:tcW w:w="1486" w:type="dxa"/>
            <w:tcBorders>
              <w:top w:val="single" w:sz="4" w:space="0" w:color="000000"/>
              <w:left w:val="single" w:sz="4" w:space="0" w:color="000000"/>
              <w:bottom w:val="single" w:sz="4" w:space="0" w:color="000000"/>
              <w:right w:val="single" w:sz="4" w:space="0" w:color="000000"/>
            </w:tcBorders>
          </w:tcPr>
          <w:p w14:paraId="291B1D34" w14:textId="77777777" w:rsidR="00082D5A" w:rsidRDefault="00000000">
            <w:pPr>
              <w:spacing w:after="0" w:line="259" w:lineRule="auto"/>
              <w:ind w:left="0" w:right="60" w:firstLine="0"/>
              <w:jc w:val="right"/>
            </w:pPr>
            <w:r>
              <w:t>$475</w:t>
            </w:r>
          </w:p>
        </w:tc>
        <w:tc>
          <w:tcPr>
            <w:tcW w:w="1440" w:type="dxa"/>
            <w:tcBorders>
              <w:top w:val="single" w:sz="4" w:space="0" w:color="000000"/>
              <w:left w:val="single" w:sz="4" w:space="0" w:color="000000"/>
              <w:bottom w:val="single" w:sz="4" w:space="0" w:color="000000"/>
              <w:right w:val="single" w:sz="4" w:space="0" w:color="000000"/>
            </w:tcBorders>
          </w:tcPr>
          <w:p w14:paraId="103C239E" w14:textId="77777777" w:rsidR="00082D5A" w:rsidRDefault="00000000">
            <w:pPr>
              <w:spacing w:after="0" w:line="259" w:lineRule="auto"/>
              <w:ind w:left="0" w:right="60" w:firstLine="0"/>
              <w:jc w:val="right"/>
            </w:pPr>
            <w:r>
              <w:t xml:space="preserve">99.33% </w:t>
            </w:r>
          </w:p>
        </w:tc>
        <w:tc>
          <w:tcPr>
            <w:tcW w:w="1440" w:type="dxa"/>
            <w:tcBorders>
              <w:top w:val="single" w:sz="4" w:space="0" w:color="000000"/>
              <w:left w:val="single" w:sz="4" w:space="0" w:color="000000"/>
              <w:bottom w:val="single" w:sz="4" w:space="0" w:color="000000"/>
              <w:right w:val="single" w:sz="4" w:space="0" w:color="000000"/>
            </w:tcBorders>
          </w:tcPr>
          <w:p w14:paraId="6E2F2210" w14:textId="77777777" w:rsidR="00082D5A" w:rsidRDefault="00000000">
            <w:pPr>
              <w:spacing w:after="0" w:line="259" w:lineRule="auto"/>
              <w:ind w:left="0" w:right="60" w:firstLine="0"/>
              <w:jc w:val="right"/>
            </w:pPr>
            <w:r>
              <w:t>30%</w:t>
            </w:r>
          </w:p>
        </w:tc>
      </w:tr>
      <w:tr w:rsidR="00082D5A" w14:paraId="4A315D1D" w14:textId="77777777">
        <w:trPr>
          <w:trHeight w:val="287"/>
        </w:trPr>
        <w:tc>
          <w:tcPr>
            <w:tcW w:w="1908" w:type="dxa"/>
            <w:tcBorders>
              <w:top w:val="single" w:sz="4" w:space="0" w:color="000000"/>
              <w:left w:val="single" w:sz="4" w:space="0" w:color="000000"/>
              <w:bottom w:val="single" w:sz="4" w:space="0" w:color="000000"/>
              <w:right w:val="single" w:sz="4" w:space="0" w:color="000000"/>
            </w:tcBorders>
          </w:tcPr>
          <w:p w14:paraId="62F6ED07" w14:textId="77777777" w:rsidR="00082D5A" w:rsidRDefault="00000000">
            <w:pPr>
              <w:spacing w:after="0" w:line="259" w:lineRule="auto"/>
              <w:ind w:left="0" w:firstLine="0"/>
            </w:pPr>
            <w:r>
              <w:t xml:space="preserve">Firm 2 </w:t>
            </w:r>
          </w:p>
        </w:tc>
        <w:tc>
          <w:tcPr>
            <w:tcW w:w="1080" w:type="dxa"/>
            <w:tcBorders>
              <w:top w:val="single" w:sz="4" w:space="0" w:color="000000"/>
              <w:left w:val="single" w:sz="4" w:space="0" w:color="000000"/>
              <w:bottom w:val="single" w:sz="4" w:space="0" w:color="000000"/>
              <w:right w:val="single" w:sz="4" w:space="0" w:color="000000"/>
            </w:tcBorders>
          </w:tcPr>
          <w:p w14:paraId="35F00E4B" w14:textId="77777777" w:rsidR="00082D5A" w:rsidRDefault="00000000">
            <w:pPr>
              <w:spacing w:after="0" w:line="259" w:lineRule="auto"/>
              <w:ind w:left="0" w:right="61" w:firstLine="0"/>
              <w:jc w:val="right"/>
            </w:pPr>
            <w:r>
              <w:t xml:space="preserve">169 </w:t>
            </w:r>
          </w:p>
        </w:tc>
        <w:tc>
          <w:tcPr>
            <w:tcW w:w="1574" w:type="dxa"/>
            <w:tcBorders>
              <w:top w:val="single" w:sz="4" w:space="0" w:color="000000"/>
              <w:left w:val="single" w:sz="4" w:space="0" w:color="000000"/>
              <w:bottom w:val="single" w:sz="4" w:space="0" w:color="000000"/>
              <w:right w:val="single" w:sz="4" w:space="0" w:color="000000"/>
            </w:tcBorders>
          </w:tcPr>
          <w:p w14:paraId="55612A89" w14:textId="77777777" w:rsidR="00082D5A" w:rsidRDefault="00000000">
            <w:pPr>
              <w:spacing w:after="0" w:line="259" w:lineRule="auto"/>
              <w:ind w:left="0" w:right="60" w:firstLine="0"/>
              <w:jc w:val="right"/>
            </w:pPr>
            <w:r>
              <w:t>$26,000,000</w:t>
            </w:r>
          </w:p>
        </w:tc>
        <w:tc>
          <w:tcPr>
            <w:tcW w:w="1486" w:type="dxa"/>
            <w:tcBorders>
              <w:top w:val="single" w:sz="4" w:space="0" w:color="000000"/>
              <w:left w:val="single" w:sz="4" w:space="0" w:color="000000"/>
              <w:bottom w:val="single" w:sz="4" w:space="0" w:color="000000"/>
              <w:right w:val="single" w:sz="4" w:space="0" w:color="000000"/>
            </w:tcBorders>
          </w:tcPr>
          <w:p w14:paraId="0BA9BB11" w14:textId="77777777" w:rsidR="00082D5A" w:rsidRDefault="00000000">
            <w:pPr>
              <w:spacing w:after="0" w:line="259" w:lineRule="auto"/>
              <w:ind w:left="0" w:right="60" w:firstLine="0"/>
              <w:jc w:val="right"/>
            </w:pPr>
            <w:r>
              <w:t>$281,250</w:t>
            </w:r>
          </w:p>
        </w:tc>
        <w:tc>
          <w:tcPr>
            <w:tcW w:w="1440" w:type="dxa"/>
            <w:tcBorders>
              <w:top w:val="single" w:sz="4" w:space="0" w:color="000000"/>
              <w:left w:val="single" w:sz="4" w:space="0" w:color="000000"/>
              <w:bottom w:val="single" w:sz="4" w:space="0" w:color="000000"/>
              <w:right w:val="single" w:sz="4" w:space="0" w:color="000000"/>
            </w:tcBorders>
          </w:tcPr>
          <w:p w14:paraId="097A20DE" w14:textId="77777777" w:rsidR="00082D5A" w:rsidRDefault="00000000">
            <w:pPr>
              <w:spacing w:after="0" w:line="259" w:lineRule="auto"/>
              <w:ind w:left="0" w:right="60" w:firstLine="0"/>
              <w:jc w:val="right"/>
            </w:pPr>
            <w:r>
              <w:t xml:space="preserve">0.06% </w:t>
            </w:r>
          </w:p>
        </w:tc>
        <w:tc>
          <w:tcPr>
            <w:tcW w:w="1440" w:type="dxa"/>
            <w:tcBorders>
              <w:top w:val="single" w:sz="4" w:space="0" w:color="000000"/>
              <w:left w:val="single" w:sz="4" w:space="0" w:color="000000"/>
              <w:bottom w:val="single" w:sz="4" w:space="0" w:color="000000"/>
              <w:right w:val="single" w:sz="4" w:space="0" w:color="000000"/>
            </w:tcBorders>
          </w:tcPr>
          <w:p w14:paraId="2D4BA623" w14:textId="77777777" w:rsidR="00082D5A" w:rsidRDefault="00000000">
            <w:pPr>
              <w:spacing w:after="0" w:line="259" w:lineRule="auto"/>
              <w:ind w:left="0" w:right="60" w:firstLine="0"/>
              <w:jc w:val="right"/>
            </w:pPr>
            <w:r>
              <w:t>10%</w:t>
            </w:r>
          </w:p>
        </w:tc>
      </w:tr>
      <w:tr w:rsidR="00082D5A" w14:paraId="3032B6A3" w14:textId="77777777">
        <w:trPr>
          <w:trHeight w:val="286"/>
        </w:trPr>
        <w:tc>
          <w:tcPr>
            <w:tcW w:w="1908" w:type="dxa"/>
            <w:tcBorders>
              <w:top w:val="single" w:sz="4" w:space="0" w:color="000000"/>
              <w:left w:val="single" w:sz="4" w:space="0" w:color="000000"/>
              <w:bottom w:val="single" w:sz="4" w:space="0" w:color="000000"/>
              <w:right w:val="single" w:sz="4" w:space="0" w:color="000000"/>
            </w:tcBorders>
          </w:tcPr>
          <w:p w14:paraId="62CDF78D" w14:textId="77777777" w:rsidR="00082D5A" w:rsidRDefault="00000000">
            <w:pPr>
              <w:spacing w:after="0" w:line="259" w:lineRule="auto"/>
              <w:ind w:left="0" w:firstLine="0"/>
            </w:pPr>
            <w:r>
              <w:t xml:space="preserve">Firm 3 </w:t>
            </w:r>
          </w:p>
        </w:tc>
        <w:tc>
          <w:tcPr>
            <w:tcW w:w="1080" w:type="dxa"/>
            <w:tcBorders>
              <w:top w:val="single" w:sz="4" w:space="0" w:color="000000"/>
              <w:left w:val="single" w:sz="4" w:space="0" w:color="000000"/>
              <w:bottom w:val="single" w:sz="4" w:space="0" w:color="000000"/>
              <w:right w:val="single" w:sz="4" w:space="0" w:color="000000"/>
            </w:tcBorders>
          </w:tcPr>
          <w:p w14:paraId="129ECA25" w14:textId="77777777" w:rsidR="00082D5A" w:rsidRDefault="00000000">
            <w:pPr>
              <w:spacing w:after="0" w:line="259" w:lineRule="auto"/>
              <w:ind w:left="0" w:right="61" w:firstLine="0"/>
              <w:jc w:val="right"/>
            </w:pPr>
            <w:r>
              <w:t xml:space="preserve">16 </w:t>
            </w:r>
          </w:p>
        </w:tc>
        <w:tc>
          <w:tcPr>
            <w:tcW w:w="1574" w:type="dxa"/>
            <w:tcBorders>
              <w:top w:val="single" w:sz="4" w:space="0" w:color="000000"/>
              <w:left w:val="single" w:sz="4" w:space="0" w:color="000000"/>
              <w:bottom w:val="single" w:sz="4" w:space="0" w:color="000000"/>
              <w:right w:val="single" w:sz="4" w:space="0" w:color="000000"/>
            </w:tcBorders>
          </w:tcPr>
          <w:p w14:paraId="70BDB2D3" w14:textId="77777777" w:rsidR="00082D5A" w:rsidRDefault="00000000">
            <w:pPr>
              <w:spacing w:after="0" w:line="259" w:lineRule="auto"/>
              <w:ind w:left="0" w:right="60" w:firstLine="0"/>
              <w:jc w:val="right"/>
            </w:pPr>
            <w:r>
              <w:t>$4,500,000</w:t>
            </w:r>
          </w:p>
        </w:tc>
        <w:tc>
          <w:tcPr>
            <w:tcW w:w="1486" w:type="dxa"/>
            <w:tcBorders>
              <w:top w:val="single" w:sz="4" w:space="0" w:color="000000"/>
              <w:left w:val="single" w:sz="4" w:space="0" w:color="000000"/>
              <w:bottom w:val="single" w:sz="4" w:space="0" w:color="000000"/>
              <w:right w:val="single" w:sz="4" w:space="0" w:color="000000"/>
            </w:tcBorders>
          </w:tcPr>
          <w:p w14:paraId="38822A23" w14:textId="77777777" w:rsidR="00082D5A" w:rsidRDefault="00000000">
            <w:pPr>
              <w:spacing w:after="0" w:line="259" w:lineRule="auto"/>
              <w:ind w:left="0" w:right="60" w:firstLine="0"/>
              <w:jc w:val="right"/>
            </w:pPr>
            <w:r>
              <w:t>$153,846</w:t>
            </w:r>
          </w:p>
        </w:tc>
        <w:tc>
          <w:tcPr>
            <w:tcW w:w="1440" w:type="dxa"/>
            <w:tcBorders>
              <w:top w:val="single" w:sz="4" w:space="0" w:color="000000"/>
              <w:left w:val="single" w:sz="4" w:space="0" w:color="000000"/>
              <w:bottom w:val="single" w:sz="4" w:space="0" w:color="000000"/>
              <w:right w:val="single" w:sz="4" w:space="0" w:color="000000"/>
            </w:tcBorders>
          </w:tcPr>
          <w:p w14:paraId="74974053" w14:textId="77777777" w:rsidR="00082D5A" w:rsidRDefault="00000000">
            <w:pPr>
              <w:spacing w:after="0" w:line="259" w:lineRule="auto"/>
              <w:ind w:left="0" w:right="60" w:firstLine="0"/>
              <w:jc w:val="right"/>
            </w:pPr>
            <w:r>
              <w:t xml:space="preserve">0.61% </w:t>
            </w:r>
          </w:p>
        </w:tc>
        <w:tc>
          <w:tcPr>
            <w:tcW w:w="1440" w:type="dxa"/>
            <w:tcBorders>
              <w:top w:val="single" w:sz="4" w:space="0" w:color="000000"/>
              <w:left w:val="single" w:sz="4" w:space="0" w:color="000000"/>
              <w:bottom w:val="single" w:sz="4" w:space="0" w:color="000000"/>
              <w:right w:val="single" w:sz="4" w:space="0" w:color="000000"/>
            </w:tcBorders>
          </w:tcPr>
          <w:p w14:paraId="698BB885" w14:textId="77777777" w:rsidR="00082D5A" w:rsidRDefault="00000000">
            <w:pPr>
              <w:spacing w:after="0" w:line="259" w:lineRule="auto"/>
              <w:ind w:left="0" w:right="60" w:firstLine="0"/>
              <w:jc w:val="right"/>
            </w:pPr>
            <w:r>
              <w:t>60%</w:t>
            </w:r>
          </w:p>
        </w:tc>
      </w:tr>
      <w:tr w:rsidR="00082D5A" w14:paraId="5FE80D5C" w14:textId="77777777">
        <w:trPr>
          <w:trHeight w:val="287"/>
        </w:trPr>
        <w:tc>
          <w:tcPr>
            <w:tcW w:w="1908" w:type="dxa"/>
            <w:tcBorders>
              <w:top w:val="single" w:sz="4" w:space="0" w:color="000000"/>
              <w:left w:val="single" w:sz="4" w:space="0" w:color="000000"/>
              <w:bottom w:val="single" w:sz="4" w:space="0" w:color="000000"/>
              <w:right w:val="single" w:sz="4" w:space="0" w:color="000000"/>
            </w:tcBorders>
          </w:tcPr>
          <w:p w14:paraId="24954968" w14:textId="77777777" w:rsidR="00082D5A" w:rsidRDefault="00000000">
            <w:pPr>
              <w:spacing w:after="0" w:line="259" w:lineRule="auto"/>
              <w:ind w:left="0" w:right="60" w:firstLine="0"/>
              <w:jc w:val="right"/>
            </w:pPr>
            <w:r>
              <w:rPr>
                <w:sz w:val="22"/>
              </w:rPr>
              <w:t xml:space="preserve">Totals </w:t>
            </w:r>
          </w:p>
        </w:tc>
        <w:tc>
          <w:tcPr>
            <w:tcW w:w="1080" w:type="dxa"/>
            <w:tcBorders>
              <w:top w:val="single" w:sz="4" w:space="0" w:color="000000"/>
              <w:left w:val="single" w:sz="4" w:space="0" w:color="000000"/>
              <w:bottom w:val="single" w:sz="4" w:space="0" w:color="000000"/>
              <w:right w:val="single" w:sz="4" w:space="0" w:color="000000"/>
            </w:tcBorders>
          </w:tcPr>
          <w:p w14:paraId="0E2DEB7B" w14:textId="77777777" w:rsidR="00082D5A" w:rsidRDefault="00000000">
            <w:pPr>
              <w:spacing w:after="0" w:line="259" w:lineRule="auto"/>
              <w:ind w:left="0" w:right="60" w:firstLine="0"/>
              <w:jc w:val="right"/>
            </w:pPr>
            <w:r>
              <w:t xml:space="preserve">27,562 </w:t>
            </w:r>
          </w:p>
        </w:tc>
        <w:tc>
          <w:tcPr>
            <w:tcW w:w="1574" w:type="dxa"/>
            <w:tcBorders>
              <w:top w:val="single" w:sz="4" w:space="0" w:color="000000"/>
              <w:left w:val="single" w:sz="4" w:space="0" w:color="000000"/>
              <w:bottom w:val="single" w:sz="4" w:space="0" w:color="000000"/>
              <w:right w:val="single" w:sz="4" w:space="0" w:color="000000"/>
            </w:tcBorders>
          </w:tcPr>
          <w:p w14:paraId="12AF9937" w14:textId="77777777" w:rsidR="00082D5A" w:rsidRDefault="00000000">
            <w:pPr>
              <w:spacing w:after="0" w:line="259" w:lineRule="auto"/>
              <w:ind w:left="0" w:right="60" w:firstLine="0"/>
              <w:jc w:val="right"/>
            </w:pPr>
            <w:r>
              <w:t>$43,504,075</w:t>
            </w:r>
          </w:p>
        </w:tc>
        <w:tc>
          <w:tcPr>
            <w:tcW w:w="1486" w:type="dxa"/>
            <w:tcBorders>
              <w:top w:val="single" w:sz="4" w:space="0" w:color="000000"/>
              <w:left w:val="single" w:sz="4" w:space="0" w:color="000000"/>
              <w:bottom w:val="single" w:sz="4" w:space="0" w:color="000000"/>
              <w:right w:val="single" w:sz="4" w:space="0" w:color="000000"/>
            </w:tcBorders>
          </w:tcPr>
          <w:p w14:paraId="75958A0D" w14:textId="77777777" w:rsidR="00082D5A" w:rsidRDefault="00000000">
            <w:pPr>
              <w:spacing w:after="0" w:line="259" w:lineRule="auto"/>
              <w:ind w:left="310" w:firstLine="0"/>
            </w:pPr>
            <w:r>
              <w:t>$1,578.41</w:t>
            </w:r>
          </w:p>
        </w:tc>
        <w:tc>
          <w:tcPr>
            <w:tcW w:w="1440" w:type="dxa"/>
            <w:tcBorders>
              <w:top w:val="single" w:sz="4" w:space="0" w:color="000000"/>
              <w:left w:val="single" w:sz="4" w:space="0" w:color="000000"/>
              <w:bottom w:val="single" w:sz="4" w:space="0" w:color="000000"/>
              <w:right w:val="single" w:sz="4" w:space="0" w:color="000000"/>
            </w:tcBorders>
          </w:tcPr>
          <w:p w14:paraId="04DE01F9" w14:textId="77777777" w:rsidR="00082D5A" w:rsidRDefault="00000000">
            <w:pPr>
              <w:spacing w:after="0" w:line="259" w:lineRule="auto"/>
              <w:ind w:left="0" w:firstLine="0"/>
            </w:pPr>
            <w: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53FE5AA3" w14:textId="77777777" w:rsidR="00082D5A" w:rsidRDefault="00000000">
            <w:pPr>
              <w:spacing w:after="0" w:line="259" w:lineRule="auto"/>
              <w:ind w:left="0" w:firstLine="0"/>
            </w:pPr>
            <w:r>
              <w:t xml:space="preserve"> </w:t>
            </w:r>
          </w:p>
        </w:tc>
      </w:tr>
    </w:tbl>
    <w:p w14:paraId="64555CB5" w14:textId="77777777" w:rsidR="00082D5A" w:rsidRDefault="00000000">
      <w:pPr>
        <w:spacing w:after="0" w:line="259" w:lineRule="auto"/>
        <w:ind w:left="0" w:firstLine="0"/>
      </w:pPr>
      <w:r>
        <w:t xml:space="preserve"> </w:t>
      </w:r>
    </w:p>
    <w:p w14:paraId="39D2873D" w14:textId="77777777" w:rsidR="00082D5A" w:rsidRDefault="00000000">
      <w:pPr>
        <w:ind w:left="8" w:right="13" w:firstLine="720"/>
      </w:pPr>
      <w:r>
        <w:t xml:space="preserve">Viewed in this context, the inequity is stark.  Debtor’s proposed “one claimant, one dollar” methodology would hold that the votes of the claimants represented by Firm 1 alone would be sufficient to satisfy both requirements of Section 1126(c), including the express </w:t>
      </w:r>
      <w:r>
        <w:lastRenderedPageBreak/>
        <w:t xml:space="preserve">requirement that the plan be approved by two-thirds of value.  That result is neither consistent with the language of Section 1126(c) nor general equitable principles.   </w:t>
      </w:r>
    </w:p>
    <w:p w14:paraId="5C9AEFD2" w14:textId="77777777" w:rsidR="00082D5A" w:rsidRDefault="00000000">
      <w:pPr>
        <w:spacing w:after="252" w:line="259" w:lineRule="auto"/>
        <w:ind w:left="0" w:right="52" w:firstLine="0"/>
        <w:jc w:val="right"/>
      </w:pPr>
      <w:r>
        <w:t xml:space="preserve">Third, the courts in </w:t>
      </w:r>
      <w:r>
        <w:rPr>
          <w:u w:val="single" w:color="000000"/>
        </w:rPr>
        <w:t>Johns-Manville</w:t>
      </w:r>
      <w:r>
        <w:t xml:space="preserve"> and </w:t>
      </w:r>
      <w:r>
        <w:rPr>
          <w:u w:val="single" w:color="000000"/>
        </w:rPr>
        <w:t>A.H. Robbins</w:t>
      </w:r>
      <w:r>
        <w:t xml:space="preserve"> were not confronted with, and thus </w:t>
      </w:r>
    </w:p>
    <w:p w14:paraId="3EEF4220" w14:textId="77777777" w:rsidR="00082D5A" w:rsidRDefault="00000000">
      <w:pPr>
        <w:ind w:left="18" w:right="13"/>
      </w:pPr>
      <w:r>
        <w:t xml:space="preserve">did not have to </w:t>
      </w:r>
      <w:proofErr w:type="gramStart"/>
      <w:r>
        <w:t>take into account</w:t>
      </w:r>
      <w:proofErr w:type="gramEnd"/>
      <w:r>
        <w:t xml:space="preserve">, pre-petition settlements that drastically reduced the “value” of </w:t>
      </w:r>
    </w:p>
    <w:p w14:paraId="7BC8A29C" w14:textId="77777777" w:rsidR="00082D5A" w:rsidRDefault="00000000">
      <w:pPr>
        <w:ind w:left="18" w:right="13"/>
      </w:pPr>
      <w:r>
        <w:t xml:space="preserve">a substantial number of claimants.  As discussed in greater detail below, and as reflected in the Amended Disclosure Statement, to the extent that any Settling Plaintiff retains a valid claim against Quigley, the “value” of that claim has effectively been </w:t>
      </w:r>
      <w:r>
        <w:rPr>
          <w:u w:val="single" w:color="000000"/>
        </w:rPr>
        <w:t>reduced</w:t>
      </w:r>
      <w:r>
        <w:t xml:space="preserve"> by 90%.  </w:t>
      </w:r>
      <w:r>
        <w:rPr>
          <w:u w:val="single" w:color="000000"/>
        </w:rPr>
        <w:t>See</w:t>
      </w:r>
      <w:r>
        <w:t xml:space="preserve"> Section III, B., </w:t>
      </w:r>
      <w:r>
        <w:rPr>
          <w:u w:val="single" w:color="000000"/>
        </w:rPr>
        <w:t>infra</w:t>
      </w:r>
      <w:r>
        <w:t xml:space="preserve">; Amended Disclosure Statement, p. 16 (noting that if, as Debtor expects the case to be, the Asbestos PI Trust Assets are insufficient to satisfy 100% of claims, Settling Plaintiff agrees to reduce amount received from Quigley’s Asbestos PI Trust to 10% of what it would have been </w:t>
      </w:r>
    </w:p>
    <w:p w14:paraId="5B132478" w14:textId="77777777" w:rsidR="00082D5A" w:rsidRDefault="00000000">
      <w:pPr>
        <w:spacing w:after="252" w:line="259" w:lineRule="auto"/>
        <w:ind w:left="18" w:right="13"/>
      </w:pPr>
      <w:r>
        <w:t xml:space="preserve">entitled to).   </w:t>
      </w:r>
    </w:p>
    <w:p w14:paraId="086AFBB8" w14:textId="77777777" w:rsidR="00082D5A" w:rsidRDefault="00000000">
      <w:pPr>
        <w:ind w:left="8" w:right="13" w:firstLine="720"/>
      </w:pPr>
      <w:r>
        <w:t xml:space="preserve">If this Court is inclined to adopt some form of “one claimant, one vote” procedure, which the Ad Hoc Committee maintains is improper, it must take this 90% reduction of claim value into account.  That is, under the facts of this case, the only equitable way to apply a “one claimant, one vote” methodology while remaining true to the express language and purpose of Section 1126 is to assign Settling Plaintiffs a “value” of $0.10 and non-settling claimants a value of $1.00.  Properly “discounting” the votes of the Settling Plaintiffs in this manner, </w:t>
      </w:r>
      <w:proofErr w:type="gramStart"/>
      <w:r>
        <w:t>it is clear that the</w:t>
      </w:r>
      <w:proofErr w:type="gramEnd"/>
      <w:r>
        <w:t xml:space="preserve"> Debtor has no hope of achieving anywhere near the required two-thirds of value called for by the Bankruptcy Code.   </w:t>
      </w:r>
    </w:p>
    <w:p w14:paraId="0B477972" w14:textId="77777777" w:rsidR="00082D5A" w:rsidRDefault="00000000">
      <w:pPr>
        <w:ind w:left="8" w:right="13" w:firstLine="720"/>
      </w:pPr>
      <w:r>
        <w:t>Debtor currently estimates that there are 149,000 total claimants.</w:t>
      </w:r>
      <w:r>
        <w:rPr>
          <w:vertAlign w:val="superscript"/>
        </w:rPr>
        <w:footnoteReference w:id="9"/>
      </w:r>
      <w:r>
        <w:t xml:space="preserve">  As made clear in the chart attached hereto as </w:t>
      </w:r>
      <w:r>
        <w:rPr>
          <w:u w:val="single" w:color="000000"/>
        </w:rPr>
        <w:t>Exhibit 1</w:t>
      </w:r>
      <w:r>
        <w:t>, under a properly weighted voting system the Debtor cannot hope to achieve two-thirds in value.  Adjusted, as it must be, to account for the terms of the pre-</w:t>
      </w:r>
    </w:p>
    <w:p w14:paraId="500AB559" w14:textId="77777777" w:rsidR="00082D5A" w:rsidRDefault="00000000">
      <w:pPr>
        <w:spacing w:after="37"/>
        <w:ind w:left="18" w:right="13"/>
      </w:pPr>
      <w:r>
        <w:lastRenderedPageBreak/>
        <w:t xml:space="preserve">petition settlements, the ‘value’ of the Settling Plaintiffs votes </w:t>
      </w:r>
      <w:proofErr w:type="gramStart"/>
      <w:r>
        <w:t>would be would be</w:t>
      </w:r>
      <w:proofErr w:type="gramEnd"/>
      <w:r>
        <w:t xml:space="preserve"> $11,626 (141,686 originally reported Settled Plaintiffs * 78%=11,626 Settled Plaintiffs; 11,626 Settled Plaintiffs * $0.10 = $11,626).  </w:t>
      </w:r>
      <w:r>
        <w:rPr>
          <w:u w:val="single" w:color="000000"/>
        </w:rPr>
        <w:t>See</w:t>
      </w:r>
      <w:r>
        <w:t xml:space="preserve"> </w:t>
      </w:r>
      <w:r>
        <w:rPr>
          <w:u w:val="single" w:color="000000"/>
        </w:rPr>
        <w:t>Exhibit 1</w:t>
      </w:r>
      <w:r>
        <w:t xml:space="preserve">, lines m, t.  Meanwhile, the value of the non-settling </w:t>
      </w:r>
      <w:proofErr w:type="gramStart"/>
      <w:r>
        <w:t>plaintiffs</w:t>
      </w:r>
      <w:proofErr w:type="gramEnd"/>
      <w:r>
        <w:t xml:space="preserve"> votes would be $32,743 (39,905 original non-settling claimants * 22%=32,743 </w:t>
      </w:r>
      <w:proofErr w:type="spellStart"/>
      <w:r>
        <w:t>nonsettling</w:t>
      </w:r>
      <w:proofErr w:type="spellEnd"/>
      <w:r>
        <w:t xml:space="preserve"> claimants; 32,743 non-settling claimants * $1.00=$32,743).  </w:t>
      </w:r>
      <w:r>
        <w:rPr>
          <w:u w:val="single" w:color="000000"/>
        </w:rPr>
        <w:t>Id.</w:t>
      </w:r>
      <w:r>
        <w:t xml:space="preserve">, lines p, w.  All told, there would be $44,369 in “value” voting, </w:t>
      </w:r>
      <w:r>
        <w:rPr>
          <w:u w:val="single" w:color="000000"/>
        </w:rPr>
        <w:t>id.</w:t>
      </w:r>
      <w:r>
        <w:t xml:space="preserve">, line x, of which a mere 26% ($11,626/$44,369) would be represented by the Settling Plaintiffs.  </w:t>
      </w:r>
      <w:r>
        <w:rPr>
          <w:u w:val="single" w:color="000000"/>
        </w:rPr>
        <w:t>Id.</w:t>
      </w:r>
      <w:r>
        <w:t xml:space="preserve">, line y.  </w:t>
      </w:r>
      <w:proofErr w:type="gramStart"/>
      <w:r>
        <w:t>In order to</w:t>
      </w:r>
      <w:proofErr w:type="gramEnd"/>
      <w:r>
        <w:t xml:space="preserve"> achieve the required </w:t>
      </w:r>
      <w:proofErr w:type="spellStart"/>
      <w:proofErr w:type="gramStart"/>
      <w:r>
        <w:t>twothirds</w:t>
      </w:r>
      <w:proofErr w:type="spellEnd"/>
      <w:proofErr w:type="gramEnd"/>
      <w:r>
        <w:t xml:space="preserve"> of value requirement, the Debtor would have to secure the votes of over 55% of all </w:t>
      </w:r>
      <w:proofErr w:type="spellStart"/>
      <w:r>
        <w:t>nonsettling</w:t>
      </w:r>
      <w:proofErr w:type="spellEnd"/>
      <w:r>
        <w:t xml:space="preserve"> claimants.  </w:t>
      </w:r>
      <w:r>
        <w:rPr>
          <w:u w:val="single" w:color="000000"/>
        </w:rPr>
        <w:t>Id</w:t>
      </w:r>
      <w:r>
        <w:t>., line dd.  Of course, this is an impossibility given the size of the Ad Hoc Committee alone.</w:t>
      </w:r>
      <w:r>
        <w:rPr>
          <w:vertAlign w:val="superscript"/>
        </w:rPr>
        <w:footnoteReference w:id="10"/>
      </w:r>
      <w:r>
        <w:t xml:space="preserve"> </w:t>
      </w:r>
    </w:p>
    <w:p w14:paraId="45DBF43E" w14:textId="77777777" w:rsidR="00082D5A" w:rsidRDefault="00000000">
      <w:pPr>
        <w:ind w:left="8" w:right="13" w:firstLine="720"/>
      </w:pPr>
      <w:r>
        <w:t xml:space="preserve">Simply stated, any plan which rests upon the proposition that Section 1126(c)’s voting requirements can simply be ignored over the objection of a substantial number of creditors is patently unconfirmable. </w:t>
      </w:r>
    </w:p>
    <w:p w14:paraId="2235D15B" w14:textId="77777777" w:rsidR="00082D5A" w:rsidRDefault="00000000">
      <w:pPr>
        <w:spacing w:after="10" w:line="249" w:lineRule="auto"/>
        <w:ind w:left="1440" w:right="2736" w:hanging="720"/>
      </w:pPr>
      <w:r>
        <w:rPr>
          <w:b/>
        </w:rPr>
        <w:t>B</w:t>
      </w:r>
      <w:proofErr w:type="gramStart"/>
      <w:r>
        <w:rPr>
          <w:b/>
        </w:rPr>
        <w:t>.</w:t>
      </w:r>
      <w:r>
        <w:rPr>
          <w:rFonts w:ascii="Arial" w:eastAsia="Arial" w:hAnsi="Arial" w:cs="Arial"/>
          <w:b/>
        </w:rPr>
        <w:t xml:space="preserve"> </w:t>
      </w:r>
      <w:r>
        <w:rPr>
          <w:rFonts w:ascii="Arial" w:eastAsia="Arial" w:hAnsi="Arial" w:cs="Arial"/>
          <w:b/>
        </w:rPr>
        <w:tab/>
      </w:r>
      <w:r>
        <w:rPr>
          <w:b/>
        </w:rPr>
        <w:t>The</w:t>
      </w:r>
      <w:proofErr w:type="gramEnd"/>
      <w:r>
        <w:rPr>
          <w:b/>
        </w:rPr>
        <w:t xml:space="preserve"> Debtor’s Plan Rests Upon </w:t>
      </w:r>
      <w:proofErr w:type="gramStart"/>
      <w:r>
        <w:rPr>
          <w:b/>
        </w:rPr>
        <w:t>The</w:t>
      </w:r>
      <w:proofErr w:type="gramEnd"/>
      <w:r>
        <w:rPr>
          <w:b/>
        </w:rPr>
        <w:t xml:space="preserve"> Fundamentally Flawed Proposition That The </w:t>
      </w:r>
    </w:p>
    <w:p w14:paraId="05AD59F1" w14:textId="77777777" w:rsidR="00082D5A" w:rsidRDefault="00000000">
      <w:pPr>
        <w:spacing w:after="227" w:line="249" w:lineRule="auto"/>
        <w:ind w:left="1435" w:right="2736"/>
      </w:pPr>
      <w:r>
        <w:rPr>
          <w:b/>
        </w:rPr>
        <w:lastRenderedPageBreak/>
        <w:t xml:space="preserve">Debtor Will Satisfy </w:t>
      </w:r>
      <w:proofErr w:type="gramStart"/>
      <w:r>
        <w:rPr>
          <w:b/>
        </w:rPr>
        <w:t>The</w:t>
      </w:r>
      <w:proofErr w:type="gramEnd"/>
      <w:r>
        <w:rPr>
          <w:b/>
        </w:rPr>
        <w:t xml:space="preserve"> Voting Requirements </w:t>
      </w:r>
      <w:proofErr w:type="gramStart"/>
      <w:r>
        <w:rPr>
          <w:b/>
        </w:rPr>
        <w:t>Of</w:t>
      </w:r>
      <w:proofErr w:type="gramEnd"/>
      <w:r>
        <w:rPr>
          <w:b/>
        </w:rPr>
        <w:t xml:space="preserve"> A 524(g) Trust </w:t>
      </w:r>
    </w:p>
    <w:p w14:paraId="666029C5" w14:textId="77777777" w:rsidR="00082D5A" w:rsidRDefault="00000000">
      <w:pPr>
        <w:ind w:left="8" w:right="13" w:firstLine="720"/>
      </w:pPr>
      <w:r>
        <w:t xml:space="preserve">As the Ad Hoc Committee has previously argued, the Debtor has largely failed to address, and the discrepancies in estimated claimants support, there is little hope that the Plan will ultimately meet the requirements of Section 524 of the Bankruptcy Code, which provides debtors with the basic </w:t>
      </w:r>
      <w:proofErr w:type="gramStart"/>
      <w:r>
        <w:t>protections</w:t>
      </w:r>
      <w:proofErr w:type="gramEnd"/>
      <w:r>
        <w:t xml:space="preserve"> of the bankruptcy discharge.  11 U.S.C. § 524.  Discharges are normally available only for debtors.  11 U.S.C. § 524(e).  However, section 524(g) allows a court under certain limited circumstances, in essence, to extend the discharge to non-debtors, by authorizing “channeling” injunctions in certain cases involving mass torts.  11 U.S.C. § </w:t>
      </w:r>
    </w:p>
    <w:p w14:paraId="122F65C0" w14:textId="77777777" w:rsidR="00082D5A" w:rsidRDefault="00000000">
      <w:pPr>
        <w:spacing w:after="283" w:line="259" w:lineRule="auto"/>
        <w:ind w:left="-5"/>
      </w:pPr>
      <w:r>
        <w:t xml:space="preserve">524(g)(4)(A)(ii); </w:t>
      </w:r>
      <w:r>
        <w:rPr>
          <w:u w:val="single" w:color="000000"/>
        </w:rPr>
        <w:t>see</w:t>
      </w:r>
      <w:r>
        <w:t xml:space="preserve"> </w:t>
      </w:r>
      <w:r>
        <w:rPr>
          <w:u w:val="single" w:color="000000"/>
        </w:rPr>
        <w:t>generally</w:t>
      </w:r>
      <w:r>
        <w:t xml:space="preserve"> 4 L</w:t>
      </w:r>
      <w:r>
        <w:rPr>
          <w:sz w:val="19"/>
        </w:rPr>
        <w:t xml:space="preserve">AWRENCE </w:t>
      </w:r>
      <w:r>
        <w:t>P.</w:t>
      </w:r>
      <w:r>
        <w:rPr>
          <w:sz w:val="19"/>
        </w:rPr>
        <w:t xml:space="preserve"> </w:t>
      </w:r>
      <w:r>
        <w:t>K</w:t>
      </w:r>
      <w:r>
        <w:rPr>
          <w:sz w:val="19"/>
        </w:rPr>
        <w:t>ING</w:t>
      </w:r>
      <w:r>
        <w:t>,</w:t>
      </w:r>
      <w:r>
        <w:rPr>
          <w:sz w:val="19"/>
        </w:rPr>
        <w:t xml:space="preserve"> ET AL</w:t>
      </w:r>
      <w:r>
        <w:t>.,</w:t>
      </w:r>
      <w:r>
        <w:rPr>
          <w:sz w:val="19"/>
        </w:rPr>
        <w:t xml:space="preserve"> </w:t>
      </w:r>
      <w:r>
        <w:t>C</w:t>
      </w:r>
      <w:r>
        <w:rPr>
          <w:sz w:val="19"/>
        </w:rPr>
        <w:t xml:space="preserve">OLLIER ON </w:t>
      </w:r>
      <w:r>
        <w:t>B</w:t>
      </w:r>
      <w:r>
        <w:rPr>
          <w:sz w:val="19"/>
        </w:rPr>
        <w:t xml:space="preserve">ANKRUPTCY </w:t>
      </w:r>
    </w:p>
    <w:p w14:paraId="3F5F41E7" w14:textId="77777777" w:rsidR="00082D5A" w:rsidRDefault="00000000">
      <w:pPr>
        <w:spacing w:after="275" w:line="259" w:lineRule="auto"/>
        <w:ind w:left="18" w:right="13"/>
      </w:pPr>
      <w:r>
        <w:t>(“C</w:t>
      </w:r>
      <w:r>
        <w:rPr>
          <w:sz w:val="19"/>
        </w:rPr>
        <w:t>OLLIER</w:t>
      </w:r>
      <w:r>
        <w:t>”) ¶ 524.07 (15</w:t>
      </w:r>
      <w:r>
        <w:rPr>
          <w:vertAlign w:val="superscript"/>
        </w:rPr>
        <w:t>th</w:t>
      </w:r>
      <w:r>
        <w:t xml:space="preserve"> Ed. Rev. 2004).   </w:t>
      </w:r>
    </w:p>
    <w:p w14:paraId="44701BE0" w14:textId="77777777" w:rsidR="00082D5A" w:rsidRDefault="00000000">
      <w:pPr>
        <w:ind w:left="8" w:right="13" w:firstLine="720"/>
      </w:pPr>
      <w:proofErr w:type="gramStart"/>
      <w:r>
        <w:t>In order to</w:t>
      </w:r>
      <w:proofErr w:type="gramEnd"/>
      <w:r>
        <w:t xml:space="preserve"> obtain such an injunction, many different requirements must be met by the debtor including, among others: </w:t>
      </w:r>
    </w:p>
    <w:p w14:paraId="1BEA3BDD" w14:textId="77777777" w:rsidR="00082D5A" w:rsidRDefault="00000000">
      <w:pPr>
        <w:numPr>
          <w:ilvl w:val="0"/>
          <w:numId w:val="1"/>
        </w:numPr>
        <w:spacing w:after="199" w:line="259" w:lineRule="auto"/>
        <w:ind w:right="13" w:hanging="720"/>
      </w:pPr>
      <w:r>
        <w:t xml:space="preserve">a confirmable plan of reorganization; </w:t>
      </w:r>
    </w:p>
    <w:p w14:paraId="04075ED0" w14:textId="77777777" w:rsidR="00082D5A" w:rsidRDefault="00000000">
      <w:pPr>
        <w:numPr>
          <w:ilvl w:val="0"/>
          <w:numId w:val="1"/>
        </w:numPr>
        <w:spacing w:after="199" w:line="259" w:lineRule="auto"/>
        <w:ind w:right="13" w:hanging="720"/>
      </w:pPr>
      <w:r>
        <w:t xml:space="preserve">approval by at least 75% of claimants; </w:t>
      </w:r>
    </w:p>
    <w:p w14:paraId="29CCF6A7" w14:textId="77777777" w:rsidR="00082D5A" w:rsidRDefault="00000000">
      <w:pPr>
        <w:numPr>
          <w:ilvl w:val="0"/>
          <w:numId w:val="1"/>
        </w:numPr>
        <w:spacing w:after="200" w:line="259" w:lineRule="auto"/>
        <w:ind w:right="13" w:hanging="720"/>
      </w:pPr>
      <w:r>
        <w:t xml:space="preserve">actual suits for asbestos-related harm; </w:t>
      </w:r>
    </w:p>
    <w:p w14:paraId="371F3B23" w14:textId="77777777" w:rsidR="00082D5A" w:rsidRDefault="00000000">
      <w:pPr>
        <w:numPr>
          <w:ilvl w:val="0"/>
          <w:numId w:val="1"/>
        </w:numPr>
        <w:spacing w:after="199" w:line="259" w:lineRule="auto"/>
        <w:ind w:right="13" w:hanging="720"/>
      </w:pPr>
      <w:r>
        <w:t xml:space="preserve">a trust funded by securities of at least one debtor; </w:t>
      </w:r>
    </w:p>
    <w:p w14:paraId="442C78B8" w14:textId="77777777" w:rsidR="00082D5A" w:rsidRDefault="00000000">
      <w:pPr>
        <w:numPr>
          <w:ilvl w:val="0"/>
          <w:numId w:val="1"/>
        </w:numPr>
        <w:spacing w:after="199" w:line="259" w:lineRule="auto"/>
        <w:ind w:right="13" w:hanging="720"/>
      </w:pPr>
      <w:r>
        <w:t xml:space="preserve">provision for the trust to obtain control of the debtor when funds are insufficient; </w:t>
      </w:r>
    </w:p>
    <w:p w14:paraId="791FFDDC" w14:textId="77777777" w:rsidR="00082D5A" w:rsidRDefault="00000000">
      <w:pPr>
        <w:numPr>
          <w:ilvl w:val="0"/>
          <w:numId w:val="1"/>
        </w:numPr>
        <w:spacing w:after="256" w:line="244" w:lineRule="auto"/>
        <w:ind w:right="13" w:hanging="720"/>
      </w:pPr>
      <w:r>
        <w:t xml:space="preserve">satisfaction of the court that there is reasonable assurance that the trust will value and pay present and future claims in substantially the same manner; </w:t>
      </w:r>
    </w:p>
    <w:p w14:paraId="5B5AEB03" w14:textId="77777777" w:rsidR="00082D5A" w:rsidRDefault="00000000">
      <w:pPr>
        <w:numPr>
          <w:ilvl w:val="0"/>
          <w:numId w:val="1"/>
        </w:numPr>
        <w:spacing w:after="199" w:line="259" w:lineRule="auto"/>
        <w:ind w:right="13" w:hanging="720"/>
      </w:pPr>
      <w:r>
        <w:t xml:space="preserve">appointment of a representative of future claimants; and </w:t>
      </w:r>
    </w:p>
    <w:p w14:paraId="49F6C94D" w14:textId="77777777" w:rsidR="00082D5A" w:rsidRDefault="00000000">
      <w:pPr>
        <w:numPr>
          <w:ilvl w:val="0"/>
          <w:numId w:val="1"/>
        </w:numPr>
        <w:spacing w:after="235" w:line="243" w:lineRule="auto"/>
        <w:ind w:right="13" w:hanging="720"/>
      </w:pPr>
      <w:r>
        <w:t xml:space="preserve">judicial determination that the injunction will treat future claimants fairly and equitably. </w:t>
      </w:r>
    </w:p>
    <w:p w14:paraId="1B956871" w14:textId="77777777" w:rsidR="00082D5A" w:rsidRDefault="00000000">
      <w:pPr>
        <w:spacing w:after="372" w:line="259" w:lineRule="auto"/>
        <w:ind w:left="18" w:right="13"/>
      </w:pPr>
      <w:r>
        <w:rPr>
          <w:u w:val="single" w:color="000000"/>
        </w:rPr>
        <w:t>Id.</w:t>
      </w:r>
      <w:r>
        <w:t xml:space="preserve">; </w:t>
      </w:r>
      <w:r>
        <w:rPr>
          <w:u w:val="single" w:color="000000"/>
        </w:rPr>
        <w:t>see also</w:t>
      </w:r>
      <w:r>
        <w:t xml:space="preserve"> 11 U.S.C. § 524(g)(1), (2) &amp; (4). </w:t>
      </w:r>
    </w:p>
    <w:p w14:paraId="4DD465E1" w14:textId="77777777" w:rsidR="00082D5A" w:rsidRDefault="00000000">
      <w:pPr>
        <w:spacing w:after="458"/>
        <w:ind w:left="8" w:right="13" w:firstLine="720"/>
      </w:pPr>
      <w:r>
        <w:t xml:space="preserve">In the case at bar, the Debtor will not be entitled to obtain a section 524(g) channeling injunction for many of the same reasons set forth in the Ad Hoc Committee’s objection to the </w:t>
      </w:r>
      <w:r>
        <w:lastRenderedPageBreak/>
        <w:t xml:space="preserve">preliminary injunction, which </w:t>
      </w:r>
      <w:proofErr w:type="gramStart"/>
      <w:r>
        <w:t>have</w:t>
      </w:r>
      <w:proofErr w:type="gramEnd"/>
      <w:r>
        <w:t xml:space="preserve"> not yet been adequately addressed by the Debtor.  </w:t>
      </w:r>
      <w:r w:rsidRPr="009A66C0">
        <w:rPr>
          <w:highlight w:val="yellow"/>
        </w:rPr>
        <w:t>Most importantly, there is insufficient evidence to conclude that the Debtor, in fact, has pre-petition settlement agreements with 75% of all claimants and, thus, will not be entitled to obtain a section 524(g) injunction, in which case the entire Plan fails.</w:t>
      </w:r>
      <w:r>
        <w:t xml:space="preserve"> </w:t>
      </w:r>
    </w:p>
    <w:p w14:paraId="685556BB" w14:textId="77777777" w:rsidR="00082D5A" w:rsidRDefault="00000000">
      <w:pPr>
        <w:spacing w:line="259" w:lineRule="auto"/>
        <w:ind w:left="1927" w:right="1200"/>
        <w:jc w:val="center"/>
      </w:pPr>
      <w:r>
        <w:t xml:space="preserve">- 13 - </w:t>
      </w:r>
    </w:p>
    <w:p w14:paraId="2CED36A6" w14:textId="77777777" w:rsidR="00082D5A" w:rsidRDefault="00000000">
      <w:pPr>
        <w:ind w:left="8" w:right="13" w:firstLine="720"/>
      </w:pPr>
      <w:proofErr w:type="gramStart"/>
      <w:r>
        <w:t>In order to</w:t>
      </w:r>
      <w:proofErr w:type="gramEnd"/>
      <w:r>
        <w:t xml:space="preserve"> obtain a section 524(g) channeling injunction, section 524(g)(2)(B)(ii)(</w:t>
      </w:r>
      <w:proofErr w:type="gramStart"/>
      <w:r>
        <w:t>IV)(</w:t>
      </w:r>
      <w:proofErr w:type="gramEnd"/>
      <w:r>
        <w:t xml:space="preserve">bb) requires that at least 75 percent of the members of “a separate class or classes of the claimants whose claims are to be addressed” by the trust must vote in favor of the channeling injunction.  Unlike the circumstances set forth in Section 1126(c) concerning voting on </w:t>
      </w:r>
      <w:proofErr w:type="gramStart"/>
      <w:r>
        <w:t>the overall plan</w:t>
      </w:r>
      <w:proofErr w:type="gramEnd"/>
      <w:r>
        <w:t>, when determining whether a separate class has accepted the channeling injunction, claims are tallied based simply on the number of claims voting, as opposed to the dollar amount of the claims.  11 U.S.C. § 524(g)(2)(B)(ii)(</w:t>
      </w:r>
      <w:proofErr w:type="gramStart"/>
      <w:r>
        <w:t>IV)(</w:t>
      </w:r>
      <w:proofErr w:type="gramEnd"/>
      <w:r>
        <w:t xml:space="preserve">bb). </w:t>
      </w:r>
    </w:p>
    <w:p w14:paraId="23565BAB" w14:textId="77777777" w:rsidR="00082D5A" w:rsidRDefault="00000000">
      <w:pPr>
        <w:spacing w:after="34"/>
        <w:ind w:left="8" w:right="13" w:firstLine="720"/>
      </w:pPr>
      <w:r>
        <w:t xml:space="preserve">Despite wide fluctuations in the number of estimated pending claims against it, Debtor has consistently maintained </w:t>
      </w:r>
      <w:proofErr w:type="gramStart"/>
      <w:r>
        <w:t>that,</w:t>
      </w:r>
      <w:proofErr w:type="gramEnd"/>
      <w:r>
        <w:t xml:space="preserve"> pre-petition, Pfizer bought the votes of 80% of all such claimants.  </w:t>
      </w:r>
      <w:r>
        <w:rPr>
          <w:u w:val="single" w:color="000000"/>
        </w:rPr>
        <w:t>See</w:t>
      </w:r>
      <w:r>
        <w:t xml:space="preserve"> Preliminary Injunction Motion, p. 14; Disclosure Statement, dated March 4, </w:t>
      </w:r>
      <w:proofErr w:type="gramStart"/>
      <w:r>
        <w:t>2005</w:t>
      </w:r>
      <w:proofErr w:type="gramEnd"/>
      <w:r>
        <w:t xml:space="preserve"> at pp 13-14</w:t>
      </w:r>
      <w:r>
        <w:rPr>
          <w:b/>
        </w:rPr>
        <w:t>.</w:t>
      </w:r>
      <w:r>
        <w:t xml:space="preserve">   Such a statement is called into question by the recent decrease of nearly 13,000 claimants in the total estimated claimants.  </w:t>
      </w:r>
      <w:r>
        <w:rPr>
          <w:u w:val="single" w:color="000000"/>
        </w:rPr>
        <w:t>Compare</w:t>
      </w:r>
      <w:r>
        <w:t xml:space="preserve"> Disclosure Statement, dated March 4, </w:t>
      </w:r>
      <w:proofErr w:type="gramStart"/>
      <w:r>
        <w:t>2005</w:t>
      </w:r>
      <w:proofErr w:type="gramEnd"/>
      <w:r>
        <w:t xml:space="preserve"> at p. 8 (“As of the Petition Date there were approximately 162,700 personal injury claims pending against Quigley in approximately 59,150 civil actions.”) </w:t>
      </w:r>
      <w:r>
        <w:rPr>
          <w:u w:val="single" w:color="000000"/>
        </w:rPr>
        <w:t>with</w:t>
      </w:r>
      <w:r>
        <w:t xml:space="preserve"> Amended Disclosure Statement, p. 8 (“As of the Petition Date, there were approximately 149,000 asbestos personal injury claims pending against Quigley in approximately 52,100 civil actions.”).</w:t>
      </w:r>
      <w:r>
        <w:rPr>
          <w:vertAlign w:val="superscript"/>
        </w:rPr>
        <w:footnoteReference w:id="11"/>
      </w:r>
      <w:r>
        <w:t xml:space="preserve"> </w:t>
      </w:r>
    </w:p>
    <w:p w14:paraId="43076F09" w14:textId="77777777" w:rsidR="00082D5A" w:rsidRDefault="00000000">
      <w:pPr>
        <w:ind w:left="8" w:right="13" w:firstLine="720"/>
      </w:pPr>
      <w:r>
        <w:lastRenderedPageBreak/>
        <w:t xml:space="preserve">Importantly, the Debtor has never addressed the impact of significant, recent tort reform in states such as Ohio, Florida and Texas which has, in many cases, rendered many asbestos claims no longer viable.  To the extent that any Settling Plaintiff may have had a claim under state law as of the Petition Date and that claim has now been eviscerated by tort reform and no can no longer be asserted, that individual claimant is not entitled to vote at all on the proposed Plan.  Debtor must explain its </w:t>
      </w:r>
      <w:proofErr w:type="gramStart"/>
      <w:r>
        <w:t>constantly-moving</w:t>
      </w:r>
      <w:proofErr w:type="gramEnd"/>
      <w:r>
        <w:t xml:space="preserve"> claimant figures. </w:t>
      </w:r>
    </w:p>
    <w:p w14:paraId="0F3B83CA" w14:textId="77777777" w:rsidR="00082D5A" w:rsidRDefault="00000000">
      <w:pPr>
        <w:spacing w:after="26"/>
        <w:ind w:left="8" w:right="13" w:firstLine="720"/>
      </w:pPr>
      <w:r>
        <w:t>The number of settlements reached by Pfizer prior to the commencement of this case is, by definition, a constant figure.  However, despite a drop of 13,700 total claimants, Debtor still contends it has only 80% of the votes.</w:t>
      </w:r>
      <w:r>
        <w:rPr>
          <w:vertAlign w:val="superscript"/>
        </w:rPr>
        <w:footnoteReference w:id="12"/>
      </w:r>
      <w:r>
        <w:rPr>
          <w:vertAlign w:val="superscript"/>
        </w:rPr>
        <w:footnoteReference w:id="13"/>
      </w:r>
      <w:r>
        <w:t xml:space="preserve">   In order for their present numbers to work, this Court must find that the Debtor either drastically </w:t>
      </w:r>
      <w:r>
        <w:rPr>
          <w:i/>
        </w:rPr>
        <w:t>understated</w:t>
      </w:r>
      <w:r>
        <w:t xml:space="preserve"> the amount of votes that had been bought through the pre-petition settlements when it submitted its initial papers or is now drastically </w:t>
      </w:r>
      <w:r>
        <w:rPr>
          <w:i/>
        </w:rPr>
        <w:t>overstating</w:t>
      </w:r>
      <w:r>
        <w:t xml:space="preserve"> the number of votes it has.</w:t>
      </w:r>
      <w:r>
        <w:rPr>
          <w:vertAlign w:val="superscript"/>
        </w:rPr>
        <w:footnoteReference w:id="14"/>
      </w:r>
      <w:r>
        <w:t xml:space="preserve"> </w:t>
      </w:r>
    </w:p>
    <w:p w14:paraId="793B95DA" w14:textId="77777777" w:rsidR="00082D5A" w:rsidRDefault="00000000">
      <w:pPr>
        <w:ind w:left="8" w:right="13" w:firstLine="720"/>
      </w:pPr>
      <w:r>
        <w:t xml:space="preserve">The Debtor cannot obtain a 524(g) injunction without the consent of at least 111,750 claimants (75% of 149,000).  Put another way, if 37,250 claimants object to the 524(g) injunction, </w:t>
      </w:r>
      <w:proofErr w:type="gramStart"/>
      <w:r>
        <w:t>it has</w:t>
      </w:r>
      <w:proofErr w:type="gramEnd"/>
      <w:r>
        <w:t xml:space="preserve"> no hope of being ultimately approved.  Based on the list provided by the Debtor </w:t>
      </w:r>
      <w:r>
        <w:lastRenderedPageBreak/>
        <w:t xml:space="preserve">to the United States Trustee in the Fall of 2004, there were at least 39,455 claimants who had not reached pre-petition settlements.  </w:t>
      </w:r>
      <w:r>
        <w:rPr>
          <w:u w:val="single" w:color="000000"/>
        </w:rPr>
        <w:t>See</w:t>
      </w:r>
      <w:r>
        <w:t xml:space="preserve"> United States Trustee Objection, </w:t>
      </w:r>
      <w:r>
        <w:rPr>
          <w:u w:val="single" w:color="000000"/>
        </w:rPr>
        <w:t>Exhibit A</w:t>
      </w:r>
      <w:r>
        <w:t xml:space="preserve">.  As set forth in the Amended Rule 2019 Statement, the Ad Hoc </w:t>
      </w:r>
      <w:proofErr w:type="gramStart"/>
      <w:r>
        <w:t>Committee itself</w:t>
      </w:r>
      <w:proofErr w:type="gramEnd"/>
      <w:r>
        <w:t xml:space="preserve"> encompasses more than 22,000 claims against the Debtor, or almost 15% of the 149,000 personal injury claims that the Debtor now contends are pending.  </w:t>
      </w:r>
      <w:r>
        <w:rPr>
          <w:u w:val="single" w:color="000000"/>
        </w:rPr>
        <w:t>See</w:t>
      </w:r>
      <w:r>
        <w:t xml:space="preserve"> Amended Disclosure Statement, p. 8.   </w:t>
      </w:r>
    </w:p>
    <w:p w14:paraId="7DF0B23F" w14:textId="77777777" w:rsidR="00082D5A" w:rsidRDefault="00000000">
      <w:pPr>
        <w:ind w:left="8" w:right="13" w:firstLine="720"/>
      </w:pPr>
      <w:r>
        <w:t xml:space="preserve">The Amended Disclosure Statement and Plan are not acceptable to the Ad Hoc Committee, as well as many other claimants who are expected to object.  As such, the Debtor cannot obtain a section 524(g) injunction because the Debtor will not have the requisite 75% support and the Plan is doomed to fail. </w:t>
      </w:r>
    </w:p>
    <w:p w14:paraId="15F30404" w14:textId="77777777" w:rsidR="00082D5A" w:rsidRDefault="00000000">
      <w:pPr>
        <w:spacing w:after="226" w:line="249" w:lineRule="auto"/>
        <w:ind w:left="1440" w:right="2736" w:hanging="720"/>
      </w:pPr>
      <w:r>
        <w:rPr>
          <w:b/>
        </w:rPr>
        <w:t>C</w:t>
      </w:r>
      <w:proofErr w:type="gramStart"/>
      <w:r>
        <w:rPr>
          <w:b/>
        </w:rPr>
        <w:t>.</w:t>
      </w:r>
      <w:r>
        <w:rPr>
          <w:rFonts w:ascii="Arial" w:eastAsia="Arial" w:hAnsi="Arial" w:cs="Arial"/>
          <w:b/>
        </w:rPr>
        <w:t xml:space="preserve"> </w:t>
      </w:r>
      <w:r>
        <w:rPr>
          <w:rFonts w:ascii="Arial" w:eastAsia="Arial" w:hAnsi="Arial" w:cs="Arial"/>
          <w:b/>
        </w:rPr>
        <w:tab/>
      </w:r>
      <w:r>
        <w:rPr>
          <w:b/>
        </w:rPr>
        <w:t>The</w:t>
      </w:r>
      <w:proofErr w:type="gramEnd"/>
      <w:r>
        <w:rPr>
          <w:b/>
        </w:rPr>
        <w:t xml:space="preserve"> Plan Has Not Been Proposed </w:t>
      </w:r>
      <w:proofErr w:type="gramStart"/>
      <w:r>
        <w:rPr>
          <w:b/>
        </w:rPr>
        <w:t>In</w:t>
      </w:r>
      <w:proofErr w:type="gramEnd"/>
      <w:r>
        <w:rPr>
          <w:b/>
        </w:rPr>
        <w:t xml:space="preserve"> Good Faith, As Required </w:t>
      </w:r>
      <w:proofErr w:type="gramStart"/>
      <w:r>
        <w:rPr>
          <w:b/>
        </w:rPr>
        <w:t>By</w:t>
      </w:r>
      <w:proofErr w:type="gramEnd"/>
      <w:r>
        <w:rPr>
          <w:b/>
        </w:rPr>
        <w:t xml:space="preserve"> Section 1129(a)(3) </w:t>
      </w:r>
    </w:p>
    <w:p w14:paraId="26EDBAF0" w14:textId="77777777" w:rsidR="00082D5A" w:rsidRDefault="00000000">
      <w:pPr>
        <w:ind w:left="8" w:right="13" w:firstLine="720"/>
      </w:pPr>
      <w:r>
        <w:t xml:space="preserve">The pre-petition vote buying process that the Debtor (and Pfizer) engaged in has tainted the voting process, resulting in a plan that does not meet the good faith requirement of Section 1129(a)(3).  Section 1129(a)(3) requires that a Chapter 11 plan </w:t>
      </w:r>
      <w:proofErr w:type="gramStart"/>
      <w:r>
        <w:t>be  "</w:t>
      </w:r>
      <w:proofErr w:type="gramEnd"/>
      <w:r>
        <w:t xml:space="preserve">proposed in good faith and not by any means forbidden by law."  11 U.S.C. </w:t>
      </w:r>
      <w:proofErr w:type="gramStart"/>
      <w:r>
        <w:t>§  1129</w:t>
      </w:r>
      <w:proofErr w:type="gramEnd"/>
      <w:r>
        <w:t xml:space="preserve">(a)(3).  However, “good faith” is nowhere defined in the Bankruptcy Code, which has </w:t>
      </w:r>
      <w:proofErr w:type="spellStart"/>
      <w:proofErr w:type="gramStart"/>
      <w:r>
        <w:t>lead</w:t>
      </w:r>
      <w:proofErr w:type="spellEnd"/>
      <w:proofErr w:type="gramEnd"/>
      <w:r>
        <w:t xml:space="preserve"> to courts formulating a variety of tests to determine whether a plan was put forth in good faith. </w:t>
      </w:r>
    </w:p>
    <w:p w14:paraId="0929467C" w14:textId="77777777" w:rsidR="00082D5A" w:rsidRDefault="00000000">
      <w:pPr>
        <w:ind w:left="8" w:right="13" w:firstLine="720"/>
      </w:pPr>
      <w:r>
        <w:t xml:space="preserve">One formulation holds that a plan is proposed in good faith when there is a reasonable likelihood that the plan will achieve a result consistent with the objectives and purposes of the Code.  </w:t>
      </w:r>
      <w:r>
        <w:rPr>
          <w:u w:val="single" w:color="000000"/>
        </w:rPr>
        <w:t>See</w:t>
      </w:r>
      <w:r>
        <w:t xml:space="preserve"> </w:t>
      </w:r>
      <w:r>
        <w:rPr>
          <w:u w:val="single" w:color="000000"/>
        </w:rPr>
        <w:t>Kane v. Johns-Manville Corp</w:t>
      </w:r>
      <w:r>
        <w:t xml:space="preserve">., 843 F.2d 636, 649 (2d Cir. 1988) (the good faith test requires that the proposed plan “bear some relationship to the statutory objective of resuscitating a financially troubled corporation”); </w:t>
      </w:r>
      <w:r>
        <w:rPr>
          <w:u w:val="single" w:color="000000"/>
        </w:rPr>
        <w:t>see</w:t>
      </w:r>
      <w:r>
        <w:t xml:space="preserve"> </w:t>
      </w:r>
      <w:r>
        <w:rPr>
          <w:u w:val="single" w:color="000000"/>
        </w:rPr>
        <w:t>also</w:t>
      </w:r>
      <w:r>
        <w:rPr>
          <w:sz w:val="22"/>
        </w:rPr>
        <w:t xml:space="preserve"> </w:t>
      </w:r>
      <w:proofErr w:type="gramStart"/>
      <w:r>
        <w:rPr>
          <w:u w:val="single" w:color="000000"/>
        </w:rPr>
        <w:t>In</w:t>
      </w:r>
      <w:proofErr w:type="gramEnd"/>
      <w:r>
        <w:rPr>
          <w:u w:val="single" w:color="000000"/>
        </w:rPr>
        <w:t xml:space="preserve"> re Nite Lite Inns</w:t>
      </w:r>
      <w:r>
        <w:t>, 17 B.R. 367, 370 (</w:t>
      </w:r>
      <w:proofErr w:type="spellStart"/>
      <w:r>
        <w:t>Bankr</w:t>
      </w:r>
      <w:proofErr w:type="spellEnd"/>
      <w:r>
        <w:t xml:space="preserve">. S.D. </w:t>
      </w:r>
    </w:p>
    <w:p w14:paraId="0F81A67E" w14:textId="77777777" w:rsidR="00082D5A" w:rsidRDefault="00000000">
      <w:pPr>
        <w:ind w:left="18" w:right="13"/>
      </w:pPr>
      <w:r>
        <w:t xml:space="preserve">Cal. 1982); </w:t>
      </w:r>
      <w:r>
        <w:rPr>
          <w:u w:val="single" w:color="000000"/>
        </w:rPr>
        <w:t>see</w:t>
      </w:r>
      <w:r>
        <w:t xml:space="preserve"> </w:t>
      </w:r>
      <w:r>
        <w:rPr>
          <w:u w:val="single" w:color="000000"/>
        </w:rPr>
        <w:t>also</w:t>
      </w:r>
      <w:r>
        <w:t xml:space="preserve"> </w:t>
      </w:r>
      <w:proofErr w:type="gramStart"/>
      <w:r>
        <w:rPr>
          <w:u w:val="single" w:color="000000"/>
        </w:rPr>
        <w:t>In</w:t>
      </w:r>
      <w:proofErr w:type="gramEnd"/>
      <w:r>
        <w:rPr>
          <w:u w:val="single" w:color="000000"/>
        </w:rPr>
        <w:t xml:space="preserve"> re Madison Hotel Assocs.</w:t>
      </w:r>
      <w:r>
        <w:t>, 749 F.2d 410, 425 (7</w:t>
      </w:r>
      <w:r>
        <w:rPr>
          <w:vertAlign w:val="superscript"/>
        </w:rPr>
        <w:t>th</w:t>
      </w:r>
      <w:r>
        <w:t xml:space="preserve"> Cir. 1984) (adopting the </w:t>
      </w:r>
      <w:r>
        <w:rPr>
          <w:u w:val="single" w:color="000000"/>
        </w:rPr>
        <w:t>Nite Lite</w:t>
      </w:r>
      <w:r>
        <w:t xml:space="preserve"> standard).  A second gloss on the Section 1129(a)(3) standard is that the plan must be </w:t>
      </w:r>
      <w:r>
        <w:lastRenderedPageBreak/>
        <w:t xml:space="preserve">proposed with honesty and good intentions and with a basis for expecting that a reorganization can be </w:t>
      </w:r>
      <w:proofErr w:type="gramStart"/>
      <w:r>
        <w:t>effected</w:t>
      </w:r>
      <w:proofErr w:type="gramEnd"/>
      <w:r>
        <w:t xml:space="preserve">.  </w:t>
      </w:r>
      <w:r>
        <w:rPr>
          <w:u w:val="single" w:color="000000"/>
        </w:rPr>
        <w:t>See</w:t>
      </w:r>
      <w:r>
        <w:t xml:space="preserve"> </w:t>
      </w:r>
      <w:r>
        <w:rPr>
          <w:u w:val="single" w:color="000000"/>
        </w:rPr>
        <w:t>Johns-Manville</w:t>
      </w:r>
      <w:r>
        <w:t xml:space="preserve">, 843 F.2d at 643. </w:t>
      </w:r>
    </w:p>
    <w:p w14:paraId="7BDCE006" w14:textId="77777777" w:rsidR="00082D5A" w:rsidRDefault="00000000">
      <w:pPr>
        <w:ind w:left="8" w:right="13" w:firstLine="720"/>
      </w:pPr>
      <w:r>
        <w:t xml:space="preserve">Given the inequities surrounding the proposed Plan, and its reliance on a voting process which undermines some of the equitable voting protections explicitly provided for in the </w:t>
      </w:r>
    </w:p>
    <w:p w14:paraId="638B457B" w14:textId="77777777" w:rsidR="00082D5A" w:rsidRDefault="00000000">
      <w:pPr>
        <w:spacing w:after="445" w:line="259" w:lineRule="auto"/>
        <w:ind w:left="18" w:right="13"/>
      </w:pPr>
      <w:r>
        <w:t xml:space="preserve">Bankruptcy Code, the proposed </w:t>
      </w:r>
      <w:proofErr w:type="gramStart"/>
      <w:r>
        <w:t>Plan</w:t>
      </w:r>
      <w:proofErr w:type="gramEnd"/>
      <w:r>
        <w:t xml:space="preserve"> is, in fact, antagonistic to the objectives and purposes of the </w:t>
      </w:r>
    </w:p>
    <w:p w14:paraId="70F570E6" w14:textId="77777777" w:rsidR="00082D5A" w:rsidRDefault="00000000">
      <w:pPr>
        <w:spacing w:line="259" w:lineRule="auto"/>
        <w:ind w:left="1927" w:right="1200"/>
        <w:jc w:val="center"/>
      </w:pPr>
      <w:r>
        <w:t xml:space="preserve">- 16 - </w:t>
      </w:r>
    </w:p>
    <w:p w14:paraId="12F91301" w14:textId="77777777" w:rsidR="00082D5A" w:rsidRDefault="00000000">
      <w:pPr>
        <w:ind w:left="18" w:right="13"/>
      </w:pPr>
      <w:r>
        <w:t xml:space="preserve">Bankruptcy Code and, thus, has been proposed in bad faith under either formulation of the “good faith” test articulated by the Second Circuit in </w:t>
      </w:r>
      <w:r>
        <w:rPr>
          <w:u w:val="single" w:color="000000"/>
        </w:rPr>
        <w:t>Johns-Manville</w:t>
      </w:r>
      <w:r>
        <w:t xml:space="preserve">. </w:t>
      </w:r>
    </w:p>
    <w:p w14:paraId="785AD31E" w14:textId="77777777" w:rsidR="00082D5A" w:rsidRDefault="00000000">
      <w:pPr>
        <w:ind w:left="8" w:right="13" w:firstLine="720"/>
      </w:pPr>
      <w:r>
        <w:t xml:space="preserve">As noted in greater detail below, there is woefully inadequate disclosure about the prepetition settlement process.  However, upon information and belief, the pre-petition vote solicitation process itself was marred by bad-faith negotiations and was designed to achieve a result inconsistent with the voting requirements of Section 1126(c). </w:t>
      </w:r>
    </w:p>
    <w:p w14:paraId="4F622A39" w14:textId="77777777" w:rsidR="00082D5A" w:rsidRDefault="00000000">
      <w:pPr>
        <w:ind w:left="8" w:right="13" w:firstLine="720"/>
      </w:pPr>
      <w:r>
        <w:t xml:space="preserve">For example, Pfizer initially engaged in extensive settlement discussions, including specific dollar amounts, with certain members of the Ad Hoc Committee.  Pfizer than approached other firms, presenting (and, upon information and belief, in many cases misrepresenting) the terms of the settlements it had discussed with Ad Hoc Committee members.  </w:t>
      </w:r>
      <w:r w:rsidRPr="009A66C0">
        <w:rPr>
          <w:highlight w:val="yellow"/>
        </w:rPr>
        <w:t xml:space="preserve">Using this method, which upon information and belief deliberately understated that amount of the settlements that had been discussed with members of the Ad Hoc Committee, Pfizer was able to extract low “per claim” settlements from </w:t>
      </w:r>
      <w:proofErr w:type="gramStart"/>
      <w:r w:rsidRPr="009A66C0">
        <w:rPr>
          <w:highlight w:val="yellow"/>
        </w:rPr>
        <w:t>a large number of</w:t>
      </w:r>
      <w:proofErr w:type="gramEnd"/>
      <w:r w:rsidRPr="009A66C0">
        <w:rPr>
          <w:highlight w:val="yellow"/>
        </w:rPr>
        <w:t xml:space="preserve"> other firms.  Once Pfizer wrongfully procured these reduced settlements, it informed the members of the Ad Hoc Committee that it had already bought enough votes to obtain 524(g) relief and no longer needed them.</w:t>
      </w:r>
      <w:r>
        <w:t xml:space="preserve">   </w:t>
      </w:r>
    </w:p>
    <w:p w14:paraId="03FA9E28" w14:textId="77777777" w:rsidR="00082D5A" w:rsidRPr="009A66C0" w:rsidRDefault="00000000" w:rsidP="009A66C0">
      <w:pPr>
        <w:spacing w:after="0"/>
        <w:ind w:left="14" w:right="14" w:firstLine="720"/>
        <w:rPr>
          <w:highlight w:val="yellow"/>
        </w:rPr>
      </w:pPr>
      <w:r>
        <w:t xml:space="preserve">Such pre-petition misconduct cannot be tolerated and is properly reviewable by the Court.  </w:t>
      </w:r>
      <w:r>
        <w:rPr>
          <w:u w:val="single" w:color="000000"/>
        </w:rPr>
        <w:t>See</w:t>
      </w:r>
      <w:r>
        <w:t xml:space="preserve">, </w:t>
      </w:r>
      <w:r>
        <w:rPr>
          <w:u w:val="single" w:color="000000"/>
        </w:rPr>
        <w:t>e.g.</w:t>
      </w:r>
      <w:r>
        <w:t xml:space="preserve">, </w:t>
      </w:r>
      <w:r>
        <w:rPr>
          <w:u w:val="single" w:color="000000"/>
        </w:rPr>
        <w:t>Matter of Smith</w:t>
      </w:r>
      <w:r>
        <w:t>, 848 F.2d 813, 821 (7</w:t>
      </w:r>
      <w:r>
        <w:rPr>
          <w:vertAlign w:val="superscript"/>
        </w:rPr>
        <w:t>th</w:t>
      </w:r>
      <w:r>
        <w:t xml:space="preserve"> Cir. 1988) (reversing district court’s </w:t>
      </w:r>
      <w:r>
        <w:lastRenderedPageBreak/>
        <w:t xml:space="preserve">decision in a Chapter 13 case for failing to consider pre-petition conduct); </w:t>
      </w:r>
      <w:r>
        <w:rPr>
          <w:u w:val="single" w:color="000000"/>
        </w:rPr>
        <w:t>In re Toy &amp; Sports</w:t>
      </w:r>
      <w:r>
        <w:t xml:space="preserve"> </w:t>
      </w:r>
      <w:r>
        <w:rPr>
          <w:u w:val="single" w:color="000000"/>
        </w:rPr>
        <w:t>Warehouse, Inc.</w:t>
      </w:r>
      <w:r>
        <w:t>, 37 B.R. 141, 149 (</w:t>
      </w:r>
      <w:proofErr w:type="spellStart"/>
      <w:r>
        <w:t>Bankr</w:t>
      </w:r>
      <w:proofErr w:type="spellEnd"/>
      <w:r>
        <w:t xml:space="preserve">. S.D.N.Y. 1984).  Any plan that rests upon settlements reached through what appears to have been bad-faith </w:t>
      </w:r>
      <w:r w:rsidRPr="009A66C0">
        <w:rPr>
          <w:highlight w:val="yellow"/>
        </w:rPr>
        <w:t xml:space="preserve">negotiations and which were designed </w:t>
      </w:r>
    </w:p>
    <w:p w14:paraId="40922904" w14:textId="77777777" w:rsidR="00082D5A" w:rsidRPr="009A66C0" w:rsidRDefault="00000000">
      <w:pPr>
        <w:spacing w:line="259" w:lineRule="auto"/>
        <w:ind w:left="1927" w:right="1200"/>
        <w:jc w:val="center"/>
        <w:rPr>
          <w:highlight w:val="yellow"/>
        </w:rPr>
      </w:pPr>
      <w:r w:rsidRPr="009A66C0">
        <w:rPr>
          <w:highlight w:val="yellow"/>
        </w:rPr>
        <w:t xml:space="preserve">- 17 - </w:t>
      </w:r>
    </w:p>
    <w:p w14:paraId="423C590B" w14:textId="77777777" w:rsidR="00082D5A" w:rsidRDefault="00000000">
      <w:pPr>
        <w:spacing w:after="41"/>
        <w:ind w:left="18" w:right="13"/>
      </w:pPr>
      <w:proofErr w:type="gramStart"/>
      <w:r w:rsidRPr="009A66C0">
        <w:rPr>
          <w:highlight w:val="yellow"/>
        </w:rPr>
        <w:t>specifically</w:t>
      </w:r>
      <w:proofErr w:type="gramEnd"/>
      <w:r w:rsidRPr="009A66C0">
        <w:rPr>
          <w:highlight w:val="yellow"/>
        </w:rPr>
        <w:t xml:space="preserve"> to circumvent the protections offered by the Bankruptcy</w:t>
      </w:r>
      <w:r>
        <w:t xml:space="preserve"> Code cannot, by definition, satisfy the “good faith” requirement of Section 1129(a)(3).</w:t>
      </w:r>
      <w:r>
        <w:rPr>
          <w:vertAlign w:val="superscript"/>
        </w:rPr>
        <w:footnoteReference w:id="15"/>
      </w:r>
      <w:r>
        <w:t xml:space="preserve"> </w:t>
      </w:r>
    </w:p>
    <w:p w14:paraId="2030C5A0" w14:textId="77777777" w:rsidR="00082D5A" w:rsidRDefault="00000000">
      <w:pPr>
        <w:spacing w:after="226" w:line="249" w:lineRule="auto"/>
        <w:ind w:left="1440" w:right="2736" w:hanging="720"/>
      </w:pPr>
      <w:r>
        <w:rPr>
          <w:b/>
        </w:rPr>
        <w:t>D</w:t>
      </w:r>
      <w:proofErr w:type="gramStart"/>
      <w:r>
        <w:rPr>
          <w:b/>
        </w:rPr>
        <w:t>.</w:t>
      </w:r>
      <w:r>
        <w:rPr>
          <w:rFonts w:ascii="Arial" w:eastAsia="Arial" w:hAnsi="Arial" w:cs="Arial"/>
          <w:b/>
        </w:rPr>
        <w:t xml:space="preserve"> </w:t>
      </w:r>
      <w:r>
        <w:rPr>
          <w:rFonts w:ascii="Arial" w:eastAsia="Arial" w:hAnsi="Arial" w:cs="Arial"/>
          <w:b/>
        </w:rPr>
        <w:tab/>
      </w:r>
      <w:r>
        <w:rPr>
          <w:b/>
        </w:rPr>
        <w:t>The</w:t>
      </w:r>
      <w:proofErr w:type="gramEnd"/>
      <w:r>
        <w:rPr>
          <w:b/>
        </w:rPr>
        <w:t xml:space="preserve"> Overbroad Releases Provided Under </w:t>
      </w:r>
      <w:proofErr w:type="gramStart"/>
      <w:r>
        <w:rPr>
          <w:b/>
        </w:rPr>
        <w:t>The</w:t>
      </w:r>
      <w:proofErr w:type="gramEnd"/>
      <w:r>
        <w:rPr>
          <w:b/>
        </w:rPr>
        <w:t xml:space="preserve"> Plan Are </w:t>
      </w:r>
      <w:r>
        <w:rPr>
          <w:b/>
          <w:i/>
        </w:rPr>
        <w:t>Per Se</w:t>
      </w:r>
      <w:r>
        <w:rPr>
          <w:b/>
        </w:rPr>
        <w:t xml:space="preserve"> Impermissible   </w:t>
      </w:r>
    </w:p>
    <w:p w14:paraId="0A1A61AC" w14:textId="77777777" w:rsidR="00082D5A" w:rsidRDefault="00000000">
      <w:pPr>
        <w:ind w:left="8" w:right="13" w:firstLine="720"/>
      </w:pPr>
      <w:r>
        <w:t xml:space="preserve">Although non-debtor releases are not invalid in all circumstances, the Court of Appeals for the Second Circuit has held that a court may approve a plan with non-debtor releases only if the releases are "essential to confirmation of the plan."  </w:t>
      </w:r>
      <w:r>
        <w:rPr>
          <w:u w:val="single" w:color="000000"/>
        </w:rPr>
        <w:t>LTV Corp. v. Aetna Casualty &amp; Sur. Co.</w:t>
      </w:r>
      <w:r>
        <w:t xml:space="preserve"> </w:t>
      </w:r>
      <w:r>
        <w:rPr>
          <w:u w:val="single" w:color="000000"/>
        </w:rPr>
        <w:t>(In re Chateaugay Corp.)</w:t>
      </w:r>
      <w:r>
        <w:t xml:space="preserve">, 167 B.R. 776, 780 (S.D.N.Y. 1994); </w:t>
      </w:r>
      <w:r>
        <w:rPr>
          <w:u w:val="single" w:color="000000"/>
        </w:rPr>
        <w:t>see</w:t>
      </w:r>
      <w:r>
        <w:t xml:space="preserve"> </w:t>
      </w:r>
      <w:proofErr w:type="gramStart"/>
      <w:r>
        <w:rPr>
          <w:u w:val="single" w:color="000000"/>
        </w:rPr>
        <w:t>also</w:t>
      </w:r>
      <w:r>
        <w:t xml:space="preserve">  </w:t>
      </w:r>
      <w:r>
        <w:rPr>
          <w:u w:val="single" w:color="000000"/>
        </w:rPr>
        <w:t>In</w:t>
      </w:r>
      <w:proofErr w:type="gramEnd"/>
      <w:r>
        <w:rPr>
          <w:u w:val="single" w:color="000000"/>
        </w:rPr>
        <w:t xml:space="preserve"> re Drexel Burnham</w:t>
      </w:r>
      <w:r>
        <w:t xml:space="preserve"> </w:t>
      </w:r>
    </w:p>
    <w:p w14:paraId="3121AF18" w14:textId="77777777" w:rsidR="00082D5A" w:rsidRDefault="00000000">
      <w:pPr>
        <w:ind w:left="18" w:right="13"/>
      </w:pPr>
      <w:r>
        <w:rPr>
          <w:u w:val="single" w:color="000000"/>
        </w:rPr>
        <w:t>Lambert Group, Inc.</w:t>
      </w:r>
      <w:r>
        <w:t xml:space="preserve">, 960 F.2d 285, 293 (2d Cir. 1992); </w:t>
      </w:r>
      <w:r>
        <w:rPr>
          <w:u w:val="single" w:color="000000"/>
        </w:rPr>
        <w:t>In re Ionosphere Clubs</w:t>
      </w:r>
      <w:r>
        <w:t xml:space="preserve">, 156 B.R. 414, 430 (S.D.N.Y. 1993).  While case law does not define precisely what “essential to confirmation” means, “it is clear that such a release is proper only in rare cases.”  </w:t>
      </w:r>
      <w:r>
        <w:rPr>
          <w:u w:val="single" w:color="000000"/>
        </w:rPr>
        <w:t>Deutsche Bank AG v.</w:t>
      </w:r>
      <w:r>
        <w:t xml:space="preserve"> </w:t>
      </w:r>
    </w:p>
    <w:p w14:paraId="7446FA9E" w14:textId="77777777" w:rsidR="00082D5A" w:rsidRDefault="00000000">
      <w:pPr>
        <w:ind w:left="18" w:right="13"/>
      </w:pPr>
      <w:r>
        <w:rPr>
          <w:u w:val="single" w:color="000000"/>
        </w:rPr>
        <w:t>Metromedia Fiber Network, Inc</w:t>
      </w:r>
      <w:r>
        <w:t>. (</w:t>
      </w:r>
      <w:r>
        <w:rPr>
          <w:u w:val="single" w:color="000000"/>
        </w:rPr>
        <w:t>In re Metromedia Fiber Network, Inc.)</w:t>
      </w:r>
      <w:r>
        <w:t>, 416 F.3d 136, 2005 U.S. App. Lexis 14817, at *11 (2</w:t>
      </w:r>
      <w:r>
        <w:rPr>
          <w:vertAlign w:val="superscript"/>
        </w:rPr>
        <w:t>nd</w:t>
      </w:r>
      <w:r>
        <w:t xml:space="preserve"> Cir. July 21, 2005). The court's authority to release </w:t>
      </w:r>
      <w:proofErr w:type="spellStart"/>
      <w:r>
        <w:t>nondebtors</w:t>
      </w:r>
      <w:proofErr w:type="spellEnd"/>
      <w:r>
        <w:t xml:space="preserve"> thus is limited "to acts necessary or appropriate to carry out the purposes of the Bankruptcy Code, which was intended to provide protection to debtors, not non-debtors."  </w:t>
      </w:r>
      <w:r>
        <w:rPr>
          <w:u w:val="single" w:color="000000"/>
        </w:rPr>
        <w:t>In re</w:t>
      </w:r>
      <w:r>
        <w:t xml:space="preserve"> </w:t>
      </w:r>
      <w:r>
        <w:rPr>
          <w:u w:val="single" w:color="000000"/>
        </w:rPr>
        <w:t>Chateaugay Corp.</w:t>
      </w:r>
      <w:r>
        <w:t xml:space="preserve">, 167 B.R. at 780. </w:t>
      </w:r>
      <w:r>
        <w:rPr>
          <w:b/>
        </w:rPr>
        <w:t xml:space="preserve"> </w:t>
      </w:r>
    </w:p>
    <w:p w14:paraId="62096380" w14:textId="77777777" w:rsidR="00082D5A" w:rsidRDefault="00000000">
      <w:pPr>
        <w:ind w:left="8" w:right="13" w:firstLine="720"/>
      </w:pPr>
      <w:r>
        <w:t xml:space="preserve">Other courts, in approving non-debtor releases when confirming a plan </w:t>
      </w:r>
      <w:proofErr w:type="gramStart"/>
      <w:r>
        <w:t>of</w:t>
      </w:r>
      <w:proofErr w:type="gramEnd"/>
      <w:r>
        <w:t xml:space="preserve"> reorganization, scrutinize a variety of factors:  </w:t>
      </w:r>
    </w:p>
    <w:p w14:paraId="1D3B191E" w14:textId="77777777" w:rsidR="00082D5A" w:rsidRDefault="00000000">
      <w:pPr>
        <w:numPr>
          <w:ilvl w:val="0"/>
          <w:numId w:val="2"/>
        </w:numPr>
        <w:spacing w:after="240" w:line="238" w:lineRule="auto"/>
        <w:ind w:right="355" w:hanging="719"/>
      </w:pPr>
      <w:r>
        <w:lastRenderedPageBreak/>
        <w:t xml:space="preserve">Whether the debtor and the third party share an identity of interest, usually an indemnity relationship, such that a suit against the non-debtor is, in essence, a suit against the debtor or will deplete the assets of the estate;  </w:t>
      </w:r>
    </w:p>
    <w:p w14:paraId="7F3F51C9" w14:textId="77777777" w:rsidR="00082D5A" w:rsidRDefault="00000000">
      <w:pPr>
        <w:numPr>
          <w:ilvl w:val="0"/>
          <w:numId w:val="2"/>
        </w:numPr>
        <w:spacing w:line="259" w:lineRule="auto"/>
        <w:ind w:right="355" w:hanging="719"/>
      </w:pPr>
      <w:r>
        <w:t xml:space="preserve">Whether the non-debtor has contributed substantial assets to the </w:t>
      </w:r>
    </w:p>
    <w:p w14:paraId="3B318D92" w14:textId="77777777" w:rsidR="00082D5A" w:rsidRDefault="00000000">
      <w:pPr>
        <w:ind w:left="730" w:right="13"/>
      </w:pPr>
      <w:r>
        <w:t xml:space="preserve">reorganization;  </w:t>
      </w:r>
    </w:p>
    <w:p w14:paraId="7710F61F" w14:textId="77777777" w:rsidR="00082D5A" w:rsidRDefault="00000000">
      <w:pPr>
        <w:numPr>
          <w:ilvl w:val="0"/>
          <w:numId w:val="2"/>
        </w:numPr>
        <w:spacing w:after="240" w:line="238" w:lineRule="auto"/>
        <w:ind w:right="355" w:hanging="719"/>
      </w:pPr>
      <w:r>
        <w:t xml:space="preserve">Whether the injunction is essential to reorganization, namely, the reorganization hinges on the debtor being free from indirect suits against parties who would have indemnity or contribution claims against the debtor; </w:t>
      </w:r>
    </w:p>
    <w:p w14:paraId="60BF0C87" w14:textId="77777777" w:rsidR="00082D5A" w:rsidRDefault="00000000">
      <w:pPr>
        <w:numPr>
          <w:ilvl w:val="0"/>
          <w:numId w:val="2"/>
        </w:numPr>
        <w:spacing w:after="240" w:line="238" w:lineRule="auto"/>
        <w:ind w:right="355" w:hanging="719"/>
      </w:pPr>
      <w:r>
        <w:t xml:space="preserve">Whether the impacted class, or classes, has overwhelmingly voted to accept the plan;  </w:t>
      </w:r>
    </w:p>
    <w:p w14:paraId="1C508E42" w14:textId="77777777" w:rsidR="00082D5A" w:rsidRDefault="00000000">
      <w:pPr>
        <w:numPr>
          <w:ilvl w:val="0"/>
          <w:numId w:val="2"/>
        </w:numPr>
        <w:spacing w:after="240" w:line="238" w:lineRule="auto"/>
        <w:ind w:right="355" w:hanging="719"/>
      </w:pPr>
      <w:r>
        <w:t xml:space="preserve">Whether the plan provides a mechanism to pay for all, or substantially all, of the class, or classes, affected by the injunction;  </w:t>
      </w:r>
    </w:p>
    <w:p w14:paraId="596E2D14" w14:textId="77777777" w:rsidR="00082D5A" w:rsidRDefault="00000000">
      <w:pPr>
        <w:numPr>
          <w:ilvl w:val="0"/>
          <w:numId w:val="2"/>
        </w:numPr>
        <w:spacing w:after="240" w:line="238" w:lineRule="auto"/>
        <w:ind w:right="355" w:hanging="719"/>
      </w:pPr>
      <w:r>
        <w:t xml:space="preserve">Whether the plan provides an opportunity for those claimants who choose not to settle to recover in full, and;  </w:t>
      </w:r>
    </w:p>
    <w:p w14:paraId="72C42D75" w14:textId="77777777" w:rsidR="00082D5A" w:rsidRDefault="00000000">
      <w:pPr>
        <w:numPr>
          <w:ilvl w:val="0"/>
          <w:numId w:val="2"/>
        </w:numPr>
        <w:spacing w:after="240" w:line="238" w:lineRule="auto"/>
        <w:ind w:right="355" w:hanging="719"/>
      </w:pPr>
      <w:r>
        <w:t xml:space="preserve">Whether the bankruptcy court made a record of specific factual findings that support its conclusions.  </w:t>
      </w:r>
    </w:p>
    <w:p w14:paraId="6B10CF7F" w14:textId="77777777" w:rsidR="00082D5A" w:rsidRDefault="00000000">
      <w:pPr>
        <w:spacing w:after="246" w:line="265" w:lineRule="auto"/>
        <w:ind w:left="-5"/>
      </w:pPr>
      <w:r>
        <w:rPr>
          <w:u w:val="single" w:color="000000"/>
        </w:rPr>
        <w:t>See</w:t>
      </w:r>
      <w:r>
        <w:t xml:space="preserve"> </w:t>
      </w:r>
      <w:r>
        <w:rPr>
          <w:u w:val="single" w:color="000000"/>
        </w:rPr>
        <w:t>Class Five Nevada Claimants v. Dow Corning Corp</w:t>
      </w:r>
      <w:r>
        <w:t>. (</w:t>
      </w:r>
      <w:r>
        <w:rPr>
          <w:u w:val="single" w:color="000000"/>
        </w:rPr>
        <w:t>In re Dow Corning Corp.)</w:t>
      </w:r>
      <w:r>
        <w:t xml:space="preserve">, 280 F.3d </w:t>
      </w:r>
    </w:p>
    <w:p w14:paraId="7EF52DD9" w14:textId="77777777" w:rsidR="00082D5A" w:rsidRDefault="00000000">
      <w:pPr>
        <w:spacing w:after="252" w:line="259" w:lineRule="auto"/>
        <w:ind w:left="18" w:right="13"/>
      </w:pPr>
      <w:r>
        <w:t>648 (6th Cir.2002); Gillman v. Continental Airlines (</w:t>
      </w:r>
      <w:r>
        <w:rPr>
          <w:u w:val="single" w:color="000000"/>
        </w:rPr>
        <w:t>In re Continental Airlines)</w:t>
      </w:r>
      <w:r>
        <w:t xml:space="preserve">, 203 F.3d 203 </w:t>
      </w:r>
    </w:p>
    <w:p w14:paraId="1EECE1A2" w14:textId="77777777" w:rsidR="00082D5A" w:rsidRDefault="00000000">
      <w:pPr>
        <w:spacing w:after="252" w:line="259" w:lineRule="auto"/>
        <w:ind w:left="18" w:right="13"/>
      </w:pPr>
      <w:r>
        <w:t xml:space="preserve">(3d Cir. 2000); </w:t>
      </w:r>
      <w:r>
        <w:rPr>
          <w:u w:val="single" w:color="000000"/>
        </w:rPr>
        <w:t>In re Specialty Equip. Co., Inc.</w:t>
      </w:r>
      <w:r>
        <w:t xml:space="preserve">, 3 F.3d 1043 (7th Cir.1993); </w:t>
      </w:r>
      <w:r>
        <w:rPr>
          <w:u w:val="single" w:color="000000"/>
        </w:rPr>
        <w:t>In re Drexel</w:t>
      </w:r>
      <w:r>
        <w:t xml:space="preserve"> </w:t>
      </w:r>
    </w:p>
    <w:p w14:paraId="0098CAD0" w14:textId="77777777" w:rsidR="00082D5A" w:rsidRDefault="00000000">
      <w:pPr>
        <w:ind w:left="18" w:right="13"/>
      </w:pPr>
      <w:r>
        <w:rPr>
          <w:u w:val="single" w:color="000000"/>
        </w:rPr>
        <w:t>Burnham Lambert Group, Inc.</w:t>
      </w:r>
      <w:r>
        <w:t xml:space="preserve">, 960 F.2d 285 (2nd Cir.1992); </w:t>
      </w:r>
      <w:r>
        <w:rPr>
          <w:u w:val="single" w:color="000000"/>
        </w:rPr>
        <w:t>In re A.H. Robins Cos., Inc.</w:t>
      </w:r>
      <w:r>
        <w:t xml:space="preserve">, 880 F.2d 694 (4th Cir.1989).  At a minimum, the Debtor has the burden of establishing that the </w:t>
      </w:r>
      <w:proofErr w:type="spellStart"/>
      <w:r>
        <w:t>nondebtor</w:t>
      </w:r>
      <w:proofErr w:type="spellEnd"/>
      <w:r>
        <w:t xml:space="preserve"> releases are necessary and fair.   </w:t>
      </w:r>
    </w:p>
    <w:p w14:paraId="00A94191" w14:textId="77777777" w:rsidR="00082D5A" w:rsidRDefault="00000000">
      <w:pPr>
        <w:ind w:left="8" w:right="13" w:firstLine="720"/>
      </w:pPr>
      <w:r>
        <w:t xml:space="preserve">In addition, the courts allowing non-debtor releases hold that the granting of such releases is justified only in unusual circumstances.  Routine inclusion of non-debtor releases is not appropriate.  Such unusual circumstances are required precisely because  </w:t>
      </w:r>
    </w:p>
    <w:p w14:paraId="78450D66" w14:textId="77777777" w:rsidR="00082D5A" w:rsidRDefault="00000000">
      <w:pPr>
        <w:spacing w:after="0" w:line="238" w:lineRule="auto"/>
        <w:ind w:left="1435" w:right="1427"/>
        <w:jc w:val="both"/>
      </w:pPr>
      <w:proofErr w:type="gramStart"/>
      <w:r>
        <w:t xml:space="preserve">a </w:t>
      </w:r>
      <w:proofErr w:type="spellStart"/>
      <w:r>
        <w:t>nondebtor</w:t>
      </w:r>
      <w:proofErr w:type="spellEnd"/>
      <w:proofErr w:type="gramEnd"/>
      <w:r>
        <w:t xml:space="preserve"> release is a device the lends itself to abuse.  </w:t>
      </w:r>
      <w:proofErr w:type="gramStart"/>
      <w:r>
        <w:t>By it</w:t>
      </w:r>
      <w:proofErr w:type="gramEnd"/>
      <w:r>
        <w:t xml:space="preserve">, a </w:t>
      </w:r>
      <w:proofErr w:type="spellStart"/>
      <w:r>
        <w:t>nondebtor</w:t>
      </w:r>
      <w:proofErr w:type="spellEnd"/>
      <w:r>
        <w:t xml:space="preserve"> can shield itself from liability to third parties.  In form, it is a release; in effect, it may operate as a bankruptcy discharge arranged without the filing and without the safeguards of the Code. </w:t>
      </w:r>
    </w:p>
    <w:p w14:paraId="0C1FF076" w14:textId="77777777" w:rsidR="00082D5A" w:rsidRDefault="00000000">
      <w:pPr>
        <w:spacing w:after="0" w:line="259" w:lineRule="auto"/>
        <w:ind w:left="1440" w:firstLine="0"/>
      </w:pPr>
      <w:r>
        <w:t xml:space="preserve"> </w:t>
      </w:r>
    </w:p>
    <w:p w14:paraId="4058A779" w14:textId="77777777" w:rsidR="00082D5A" w:rsidRDefault="00000000">
      <w:pPr>
        <w:spacing w:after="252" w:line="259" w:lineRule="auto"/>
        <w:ind w:left="18" w:right="13"/>
      </w:pPr>
      <w:r>
        <w:rPr>
          <w:u w:val="single" w:color="000000"/>
        </w:rPr>
        <w:t>In re Metromedia Fiber</w:t>
      </w:r>
      <w:r>
        <w:t xml:space="preserve">, 2005 U.S. App. Lexis at *11. </w:t>
      </w:r>
    </w:p>
    <w:p w14:paraId="241DA72C" w14:textId="77777777" w:rsidR="00082D5A" w:rsidRDefault="00000000">
      <w:pPr>
        <w:spacing w:after="332"/>
        <w:ind w:left="8" w:right="13" w:firstLine="720"/>
      </w:pPr>
      <w:r>
        <w:lastRenderedPageBreak/>
        <w:t xml:space="preserve">Here, the broad, general releases in Section 11 of the Plan are overbroad -- and thus impermissible -- in that they constitute a release of not only the Debtor, but also the “Asbestos Protected Parties” (including the Pfizer Protected Parties and any Entity directly or indirectly </w:t>
      </w:r>
    </w:p>
    <w:p w14:paraId="20A31123" w14:textId="77777777" w:rsidR="00082D5A" w:rsidRDefault="00000000">
      <w:pPr>
        <w:spacing w:line="259" w:lineRule="auto"/>
        <w:ind w:left="1927" w:right="1200"/>
        <w:jc w:val="center"/>
      </w:pPr>
      <w:r>
        <w:t xml:space="preserve">- 19 - </w:t>
      </w:r>
    </w:p>
    <w:p w14:paraId="2AD53080" w14:textId="77777777" w:rsidR="00082D5A" w:rsidRDefault="00000000">
      <w:pPr>
        <w:ind w:left="18" w:right="13"/>
      </w:pPr>
      <w:r>
        <w:t xml:space="preserve">liable for an asbestos claim by reason of its involvement with Quigley or any Pfizer Protected Party), the Creditors’ Committee members and the Futures Demand Holders’ Representative from all causes of action related to or arising out of the Chapter 11 case, pursuit of confirmation and pre-petition negotiations.  While this is phrased more like exculpation than a broad general release of </w:t>
      </w:r>
      <w:proofErr w:type="gramStart"/>
      <w:r>
        <w:t>third party</w:t>
      </w:r>
      <w:proofErr w:type="gramEnd"/>
      <w:r>
        <w:t xml:space="preserve"> claims, it does release all claims “related to, or arising out of” five enumerated tasks covering the entire plan process.   </w:t>
      </w:r>
    </w:p>
    <w:p w14:paraId="4FB26E99" w14:textId="77777777" w:rsidR="00082D5A" w:rsidRDefault="00000000">
      <w:pPr>
        <w:ind w:left="8" w:right="13" w:firstLine="720"/>
      </w:pPr>
      <w:r>
        <w:t xml:space="preserve">There is no showing that such releases are either necessary or fair, or essential to confirmation of this Plan.  Moreover, and contrary to the fundamental purpose behind a disclosure statement, the Debtor has neither disclosed any information nor has it described the existence of any unusual circumstances in the instant case that would warrant the otherwise inappropriate inclusion of these non-debtor releases. </w:t>
      </w:r>
    </w:p>
    <w:p w14:paraId="0B49C418" w14:textId="77777777" w:rsidR="00082D5A" w:rsidRDefault="00000000">
      <w:pPr>
        <w:ind w:left="8" w:right="13" w:firstLine="720"/>
      </w:pPr>
      <w:r>
        <w:t xml:space="preserve">Similarly, Section 11.4 of the Plan provides that any claimholder that accepts a distribution on account of its claim waives and releases </w:t>
      </w:r>
      <w:r>
        <w:rPr>
          <w:u w:val="single" w:color="000000"/>
        </w:rPr>
        <w:t>any</w:t>
      </w:r>
      <w:r>
        <w:t xml:space="preserve"> causes of action that such claimholder could have asserted against any officer or director relating to </w:t>
      </w:r>
      <w:r>
        <w:rPr>
          <w:u w:val="single" w:color="000000"/>
        </w:rPr>
        <w:t>any</w:t>
      </w:r>
      <w:r>
        <w:t xml:space="preserve"> action or omission prior to the Effective Date.  Such an all-encompassing, blanket release plainly violates section 524(e) of the Code, which provides, with certain exceptions not applicable here, that “discharge of a debt of the debtor does not affect the liability of any other entity on, or the property of any other entity for, such debt.”  11 U.S.C. § 524(e).   </w:t>
      </w:r>
    </w:p>
    <w:p w14:paraId="27F47E66" w14:textId="77777777" w:rsidR="00082D5A" w:rsidRDefault="00000000">
      <w:pPr>
        <w:ind w:left="8" w:right="13" w:firstLine="720"/>
      </w:pPr>
      <w:r>
        <w:t xml:space="preserve">Courts have consistently held that, absent extraordinary circumstances, a release of causes of action against non-debtor third parties through a plan of reorganization </w:t>
      </w:r>
      <w:proofErr w:type="gramStart"/>
      <w:r>
        <w:t>is</w:t>
      </w:r>
      <w:proofErr w:type="gramEnd"/>
      <w:r>
        <w:t xml:space="preserve"> violative of § </w:t>
      </w:r>
    </w:p>
    <w:p w14:paraId="69A1D2F0" w14:textId="77777777" w:rsidR="00082D5A" w:rsidRDefault="00000000">
      <w:pPr>
        <w:spacing w:after="428"/>
        <w:ind w:left="18" w:right="13"/>
      </w:pPr>
      <w:r>
        <w:lastRenderedPageBreak/>
        <w:t xml:space="preserve">524(e).  </w:t>
      </w:r>
      <w:r>
        <w:rPr>
          <w:u w:val="single" w:color="000000"/>
        </w:rPr>
        <w:t>See</w:t>
      </w:r>
      <w:r>
        <w:t xml:space="preserve"> </w:t>
      </w:r>
      <w:r>
        <w:rPr>
          <w:u w:val="single" w:color="000000"/>
        </w:rPr>
        <w:t>generally</w:t>
      </w:r>
      <w:r>
        <w:t xml:space="preserve"> </w:t>
      </w:r>
      <w:r>
        <w:rPr>
          <w:u w:val="single" w:color="000000"/>
        </w:rPr>
        <w:t>Gillman v. Continental Airlines (In re Continental Airlines)</w:t>
      </w:r>
      <w:r>
        <w:t xml:space="preserve">, 203 F.3d 203, 211-218 (3d Cir. 2000) (collecting existing case law).  As discussed previously, the Debtor has made no showing that extraordinary circumstances exist to warrant third-party releases.  </w:t>
      </w:r>
    </w:p>
    <w:p w14:paraId="002630C3" w14:textId="77777777" w:rsidR="00082D5A" w:rsidRDefault="00000000">
      <w:pPr>
        <w:spacing w:line="259" w:lineRule="auto"/>
        <w:ind w:left="1927" w:right="1200"/>
        <w:jc w:val="center"/>
      </w:pPr>
      <w:r>
        <w:t xml:space="preserve">- 20 - </w:t>
      </w:r>
    </w:p>
    <w:p w14:paraId="542947B6" w14:textId="77777777" w:rsidR="00082D5A" w:rsidRDefault="00000000">
      <w:pPr>
        <w:ind w:left="18" w:right="13"/>
      </w:pPr>
      <w:r>
        <w:t xml:space="preserve">Moreover, the Disclosure Statement contains no disclosure with respect to what, if any, potential causes of action may exist against the directors and officers.     </w:t>
      </w:r>
    </w:p>
    <w:p w14:paraId="4EB0E4AA" w14:textId="77777777" w:rsidR="00082D5A" w:rsidRDefault="00000000">
      <w:pPr>
        <w:ind w:left="8" w:right="13" w:firstLine="720"/>
      </w:pPr>
      <w:r>
        <w:t xml:space="preserve">Further, even </w:t>
      </w:r>
      <w:proofErr w:type="gramStart"/>
      <w:r>
        <w:t>assuming that</w:t>
      </w:r>
      <w:proofErr w:type="gramEnd"/>
      <w:r>
        <w:t xml:space="preserve"> that Debtor could obtain a section 524(g) “channeling” injunction (which, as explained previously, it cannot) to bar asbestos-related claims against third parties, the blanket releases in Section 11.4 of the Plan would far exceed the permissible scope of such an injunction.  While section 524(g)(4)(A)(ii) carves out an exception to section 524(e)’s prohibition of third-party releases, a section 524(g) injunction is limited to “personal injury, wrongful death, or property-damage actions seeking recovery for damages allegedly caused by the presence of, or exposure to, asbestos or asbestos-containing products.”  11 U.S.C. § 524(g)(2)(B)(</w:t>
      </w:r>
      <w:proofErr w:type="spellStart"/>
      <w:r>
        <w:t>i</w:t>
      </w:r>
      <w:proofErr w:type="spellEnd"/>
      <w:r>
        <w:t xml:space="preserve">)(I).  The director and officer releases in Section 11.4 apply to any cause of action whatsoever arising before the Effective </w:t>
      </w:r>
      <w:proofErr w:type="gramStart"/>
      <w:r>
        <w:t>Date, and</w:t>
      </w:r>
      <w:proofErr w:type="gramEnd"/>
      <w:r>
        <w:t xml:space="preserve"> are not limited solely to asbestos-related claims.  Accordingly, such releases could not be sustained even if the Debtor was able to avail itself of a § 524(g) channeling injunction and, therefore, the Plan cannot be confirmed under 11 U.S.C. § 1129(a)(1).   </w:t>
      </w:r>
    </w:p>
    <w:p w14:paraId="734123EC" w14:textId="77777777" w:rsidR="00082D5A" w:rsidRDefault="00000000">
      <w:pPr>
        <w:pStyle w:val="Heading1"/>
        <w:spacing w:after="225" w:line="252" w:lineRule="auto"/>
        <w:ind w:left="715" w:right="0" w:hanging="730"/>
        <w:jc w:val="left"/>
      </w:pPr>
      <w:r>
        <w:t xml:space="preserve">The Disclosure Statement Fails </w:t>
      </w:r>
      <w:proofErr w:type="gramStart"/>
      <w:r>
        <w:t>To</w:t>
      </w:r>
      <w:proofErr w:type="gramEnd"/>
      <w:r>
        <w:t xml:space="preserve"> Provide Adequate Information </w:t>
      </w:r>
      <w:proofErr w:type="gramStart"/>
      <w:r>
        <w:t>And</w:t>
      </w:r>
      <w:proofErr w:type="gramEnd"/>
      <w:r>
        <w:t xml:space="preserve"> Should Not</w:t>
      </w:r>
      <w:r>
        <w:rPr>
          <w:u w:val="none"/>
        </w:rPr>
        <w:t xml:space="preserve"> </w:t>
      </w:r>
      <w:r>
        <w:t>Be Approved</w:t>
      </w:r>
      <w:r>
        <w:rPr>
          <w:u w:val="none"/>
        </w:rPr>
        <w:t xml:space="preserve">  </w:t>
      </w:r>
    </w:p>
    <w:p w14:paraId="250C1098" w14:textId="77777777" w:rsidR="00082D5A" w:rsidRDefault="00000000">
      <w:pPr>
        <w:ind w:left="8" w:right="13" w:firstLine="720"/>
      </w:pPr>
      <w:r>
        <w:t xml:space="preserve">Section 1125(a) of the Code clearly defines what level of “adequate information” is required to be contained in a disclosure statement: </w:t>
      </w:r>
    </w:p>
    <w:p w14:paraId="5AE5546F" w14:textId="77777777" w:rsidR="00082D5A" w:rsidRDefault="00000000">
      <w:pPr>
        <w:spacing w:after="0" w:line="238" w:lineRule="auto"/>
        <w:ind w:left="1435" w:right="1427"/>
        <w:jc w:val="both"/>
      </w:pPr>
      <w:r>
        <w:t>[</w:t>
      </w:r>
      <w:proofErr w:type="gramStart"/>
      <w:r>
        <w:t>I[</w:t>
      </w:r>
      <w:proofErr w:type="spellStart"/>
      <w:proofErr w:type="gramEnd"/>
      <w:r>
        <w:t>nformation</w:t>
      </w:r>
      <w:proofErr w:type="spellEnd"/>
      <w:r>
        <w:t xml:space="preserve"> of a kind, in sufficient detail, as far as is reasonably practical in light of the nature and history of the debtor and the condition of the debtor’s books and records, </w:t>
      </w:r>
      <w:r w:rsidRPr="009A66C0">
        <w:rPr>
          <w:highlight w:val="yellow"/>
        </w:rPr>
        <w:t>that would enable a hypothetical reasonable investor typical of holders of claims or</w:t>
      </w:r>
      <w:r>
        <w:t xml:space="preserve"> </w:t>
      </w:r>
      <w:r w:rsidRPr="009A66C0">
        <w:rPr>
          <w:highlight w:val="yellow"/>
        </w:rPr>
        <w:lastRenderedPageBreak/>
        <w:t>interests of the relevant class to make an informed judgment about the plan, but adequate information need not include such information about any other possible or proposed plan</w:t>
      </w:r>
      <w:r>
        <w:t xml:space="preserve">…. </w:t>
      </w:r>
    </w:p>
    <w:p w14:paraId="2AE50F86" w14:textId="77777777" w:rsidR="00082D5A" w:rsidRDefault="00000000">
      <w:pPr>
        <w:spacing w:after="0" w:line="259" w:lineRule="auto"/>
        <w:ind w:left="1440" w:firstLine="0"/>
      </w:pPr>
      <w:r>
        <w:t xml:space="preserve"> </w:t>
      </w:r>
    </w:p>
    <w:p w14:paraId="3091626B" w14:textId="77777777" w:rsidR="00082D5A" w:rsidRDefault="00000000">
      <w:pPr>
        <w:spacing w:after="214" w:line="485" w:lineRule="auto"/>
        <w:ind w:left="-5"/>
      </w:pPr>
      <w:r>
        <w:t xml:space="preserve">11 U.S.C. § 1125(a); </w:t>
      </w:r>
      <w:r>
        <w:rPr>
          <w:u w:val="single" w:color="000000"/>
        </w:rPr>
        <w:t>see</w:t>
      </w:r>
      <w:r>
        <w:t xml:space="preserve"> </w:t>
      </w:r>
      <w:r>
        <w:rPr>
          <w:u w:val="single" w:color="000000"/>
        </w:rPr>
        <w:t>also</w:t>
      </w:r>
      <w:r>
        <w:t xml:space="preserve"> </w:t>
      </w:r>
      <w:r>
        <w:rPr>
          <w:u w:val="single" w:color="000000"/>
        </w:rPr>
        <w:t>Momentum Mfg. Corp. v. Employee Creditors Committee (In re</w:t>
      </w:r>
      <w:r>
        <w:t xml:space="preserve"> </w:t>
      </w:r>
      <w:r>
        <w:rPr>
          <w:u w:val="single" w:color="000000"/>
        </w:rPr>
        <w:t>Momentum Mfg. Corp.)</w:t>
      </w:r>
      <w:r>
        <w:t>, 25 F.3d 1132, 1136 (2</w:t>
      </w:r>
      <w:r>
        <w:rPr>
          <w:vertAlign w:val="superscript"/>
        </w:rPr>
        <w:t>nd</w:t>
      </w:r>
      <w:r>
        <w:t xml:space="preserve"> Cir. 1994).  </w:t>
      </w:r>
    </w:p>
    <w:p w14:paraId="54797B6F" w14:textId="77777777" w:rsidR="00082D5A" w:rsidRDefault="00000000">
      <w:pPr>
        <w:spacing w:line="259" w:lineRule="auto"/>
        <w:ind w:left="1927" w:right="1200"/>
        <w:jc w:val="center"/>
      </w:pPr>
      <w:r>
        <w:t xml:space="preserve">- 21 - </w:t>
      </w:r>
    </w:p>
    <w:p w14:paraId="538145FD" w14:textId="77777777" w:rsidR="00082D5A" w:rsidRDefault="00000000">
      <w:pPr>
        <w:ind w:left="8" w:right="13" w:firstLine="720"/>
      </w:pPr>
      <w:r>
        <w:t xml:space="preserve">The determination of what constitutes adequate information is subjective, made on a case-by-case basis and rests largely within the discretion of the bankruptcy court.  </w:t>
      </w:r>
      <w:r>
        <w:rPr>
          <w:u w:val="single" w:color="000000"/>
        </w:rPr>
        <w:t>Texas</w:t>
      </w:r>
      <w:r>
        <w:t xml:space="preserve"> </w:t>
      </w:r>
    </w:p>
    <w:p w14:paraId="2166CDA2" w14:textId="77777777" w:rsidR="00082D5A" w:rsidRDefault="00000000">
      <w:pPr>
        <w:ind w:left="18" w:right="13"/>
      </w:pPr>
      <w:r>
        <w:rPr>
          <w:u w:val="single" w:color="000000"/>
        </w:rPr>
        <w:t>Extrusion Corp. v. Lockheed Corp. (In re Texas Extrusion Corp.)</w:t>
      </w:r>
      <w:r>
        <w:t>, 844 F.2d 1142, 1157 (5</w:t>
      </w:r>
      <w:r>
        <w:rPr>
          <w:vertAlign w:val="superscript"/>
        </w:rPr>
        <w:t>th</w:t>
      </w:r>
      <w:r>
        <w:t xml:space="preserve"> Cir. 1988) (citations omitted).  In numerous respects, the Amended Disclosure Statement falls woefully short of setting forth any substantive details and, thus, does not comply with the requirement of Section 1125. </w:t>
      </w:r>
    </w:p>
    <w:p w14:paraId="7FEB87B4" w14:textId="77777777" w:rsidR="00082D5A" w:rsidRDefault="00000000">
      <w:pPr>
        <w:tabs>
          <w:tab w:val="center" w:pos="836"/>
          <w:tab w:val="center" w:pos="2854"/>
        </w:tabs>
        <w:spacing w:after="230" w:line="249" w:lineRule="auto"/>
        <w:ind w:left="0" w:firstLine="0"/>
      </w:pPr>
      <w:r>
        <w:rPr>
          <w:rFonts w:ascii="Calibri" w:eastAsia="Calibri" w:hAnsi="Calibri" w:cs="Calibri"/>
          <w:sz w:val="22"/>
        </w:rPr>
        <w:tab/>
      </w:r>
      <w:r>
        <w:rPr>
          <w:b/>
        </w:rPr>
        <w:t>A</w:t>
      </w:r>
      <w:proofErr w:type="gramStart"/>
      <w:r>
        <w:rPr>
          <w:b/>
        </w:rPr>
        <w:t>.</w:t>
      </w:r>
      <w:r>
        <w:rPr>
          <w:rFonts w:ascii="Arial" w:eastAsia="Arial" w:hAnsi="Arial" w:cs="Arial"/>
          <w:b/>
        </w:rPr>
        <w:t xml:space="preserve"> </w:t>
      </w:r>
      <w:r>
        <w:rPr>
          <w:rFonts w:ascii="Arial" w:eastAsia="Arial" w:hAnsi="Arial" w:cs="Arial"/>
          <w:b/>
        </w:rPr>
        <w:tab/>
      </w:r>
      <w:r>
        <w:rPr>
          <w:b/>
        </w:rPr>
        <w:t>Applicable</w:t>
      </w:r>
      <w:proofErr w:type="gramEnd"/>
      <w:r>
        <w:rPr>
          <w:b/>
        </w:rPr>
        <w:t xml:space="preserve"> Legal Principles </w:t>
      </w:r>
    </w:p>
    <w:p w14:paraId="09C20C04" w14:textId="77777777" w:rsidR="00082D5A" w:rsidRDefault="00000000">
      <w:pPr>
        <w:ind w:left="8" w:right="13" w:firstLine="720"/>
      </w:pPr>
      <w:r>
        <w:t xml:space="preserve">The purpose of a disclosure statement is to provide “adequate information” to creditors and other parties in interest about the terms of a proposed plan, allowing for both an informed vote and knowledgeable participation in the confirmation process.  </w:t>
      </w:r>
      <w:r>
        <w:rPr>
          <w:u w:val="single" w:color="000000"/>
        </w:rPr>
        <w:t>See</w:t>
      </w:r>
      <w:r>
        <w:t xml:space="preserve"> 11 U.S.C. § 1125(a)(1); </w:t>
      </w:r>
    </w:p>
    <w:p w14:paraId="7453A03C" w14:textId="77777777" w:rsidR="00082D5A" w:rsidRDefault="00000000">
      <w:pPr>
        <w:ind w:left="18" w:right="13"/>
      </w:pPr>
      <w:proofErr w:type="spellStart"/>
      <w:r>
        <w:rPr>
          <w:u w:val="single" w:color="000000"/>
        </w:rPr>
        <w:t>Kunica</w:t>
      </w:r>
      <w:proofErr w:type="spellEnd"/>
      <w:r>
        <w:rPr>
          <w:u w:val="single" w:color="000000"/>
        </w:rPr>
        <w:t xml:space="preserve"> v. St. Jean Fin., Inc</w:t>
      </w:r>
      <w:r>
        <w:t xml:space="preserve">., 233 B.R. 46, 54 (S.D.N.Y. 1999); </w:t>
      </w:r>
      <w:r>
        <w:rPr>
          <w:u w:val="single" w:color="000000"/>
        </w:rPr>
        <w:t>see</w:t>
      </w:r>
      <w:r>
        <w:t xml:space="preserve"> </w:t>
      </w:r>
      <w:r>
        <w:rPr>
          <w:u w:val="single" w:color="000000"/>
        </w:rPr>
        <w:t>also</w:t>
      </w:r>
      <w:r>
        <w:t xml:space="preserve"> </w:t>
      </w:r>
      <w:r>
        <w:rPr>
          <w:u w:val="single" w:color="000000"/>
        </w:rPr>
        <w:t xml:space="preserve">Ridge at </w:t>
      </w:r>
      <w:proofErr w:type="spellStart"/>
      <w:r>
        <w:rPr>
          <w:u w:val="single" w:color="000000"/>
        </w:rPr>
        <w:t>Hiwan</w:t>
      </w:r>
      <w:proofErr w:type="spellEnd"/>
      <w:r>
        <w:rPr>
          <w:u w:val="single" w:color="000000"/>
        </w:rPr>
        <w:t>, Ltd. v.</w:t>
      </w:r>
      <w:r>
        <w:t xml:space="preserve"> </w:t>
      </w:r>
      <w:r>
        <w:rPr>
          <w:u w:val="single" w:color="000000"/>
        </w:rPr>
        <w:t>Thompson (In re Thompson),</w:t>
      </w:r>
      <w:r>
        <w:t xml:space="preserve"> 231 B.R. 802, 807 (D. Colo. 1999).  The Debtor is obliged to engage in full and fair disclosure, and the Disclosure Statement must contain information adequate to allow a “hypothetical reasonable investor typical of holders of claims or interests of the relevant class to make an informed judgment about the plan.”  </w:t>
      </w:r>
      <w:r>
        <w:rPr>
          <w:u w:val="single" w:color="000000"/>
        </w:rPr>
        <w:t>Momentum Mfg. Corp. v.</w:t>
      </w:r>
      <w:r>
        <w:t xml:space="preserve"> </w:t>
      </w:r>
    </w:p>
    <w:p w14:paraId="47371322" w14:textId="77777777" w:rsidR="00082D5A" w:rsidRDefault="00000000">
      <w:pPr>
        <w:spacing w:after="246" w:line="265" w:lineRule="auto"/>
        <w:ind w:left="-5"/>
      </w:pPr>
      <w:r>
        <w:rPr>
          <w:u w:val="single" w:color="000000"/>
        </w:rPr>
        <w:t>Employee Creditors Comm. (In re Momentum Mfg. Corp.)</w:t>
      </w:r>
      <w:r>
        <w:t xml:space="preserve">, 25 F.3d 1132, 1136 (2d Cir. 1994).  </w:t>
      </w:r>
    </w:p>
    <w:p w14:paraId="26E5EA93" w14:textId="77777777" w:rsidR="00082D5A" w:rsidRDefault="00000000">
      <w:pPr>
        <w:ind w:left="18" w:right="13"/>
      </w:pPr>
      <w:r w:rsidRPr="009A66C0">
        <w:rPr>
          <w:highlight w:val="yellow"/>
        </w:rPr>
        <w:t>“A disclosure statement . . . is evaluated . . . in terms of whether it provides sufficient information to permit enlightened voting by holders of claims or interests.”</w:t>
      </w:r>
      <w:r>
        <w:t xml:space="preserve">  </w:t>
      </w:r>
      <w:r>
        <w:rPr>
          <w:u w:val="single" w:color="000000"/>
        </w:rPr>
        <w:t>In re BSL Operating</w:t>
      </w:r>
      <w:r>
        <w:t xml:space="preserve"> </w:t>
      </w:r>
    </w:p>
    <w:p w14:paraId="5D64E078" w14:textId="77777777" w:rsidR="00082D5A" w:rsidRDefault="00000000">
      <w:pPr>
        <w:spacing w:after="252" w:line="259" w:lineRule="auto"/>
        <w:ind w:left="18" w:right="13"/>
      </w:pPr>
      <w:r>
        <w:rPr>
          <w:u w:val="single" w:color="000000"/>
        </w:rPr>
        <w:t>Corp.</w:t>
      </w:r>
      <w:r>
        <w:t>, 57 B.R. 945, 950 (</w:t>
      </w:r>
      <w:proofErr w:type="spellStart"/>
      <w:r>
        <w:t>Bankr</w:t>
      </w:r>
      <w:proofErr w:type="spellEnd"/>
      <w:r>
        <w:t xml:space="preserve">. S.D.N.Y. 1986).   </w:t>
      </w:r>
    </w:p>
    <w:p w14:paraId="020437FC" w14:textId="77777777" w:rsidR="00082D5A" w:rsidRDefault="00000000">
      <w:pPr>
        <w:spacing w:after="252" w:line="259" w:lineRule="auto"/>
        <w:ind w:left="730" w:right="13"/>
      </w:pPr>
      <w:r>
        <w:lastRenderedPageBreak/>
        <w:t xml:space="preserve">As stated by the Third Circuit: </w:t>
      </w:r>
    </w:p>
    <w:p w14:paraId="76E47099" w14:textId="77777777" w:rsidR="00082D5A" w:rsidRDefault="00000000">
      <w:pPr>
        <w:spacing w:after="0" w:line="238" w:lineRule="auto"/>
        <w:ind w:left="1435" w:right="1427"/>
        <w:jc w:val="both"/>
      </w:pPr>
      <w:r w:rsidRPr="009A66C0">
        <w:rPr>
          <w:highlight w:val="yellow"/>
        </w:rPr>
        <w:t>These disclosure requirements are crucial to the effective functioning of the federal bankruptcy system.  Because creditors and the bankruptcy court rely heavily on the debtor’s disclosure statement in determining whether to approve a proposed reorganization plan, the importance of full and honest disclosure cannot be overstated.</w:t>
      </w:r>
      <w:r>
        <w:t xml:space="preserve"> </w:t>
      </w:r>
    </w:p>
    <w:p w14:paraId="34C08450" w14:textId="77777777" w:rsidR="00082D5A" w:rsidRDefault="00000000">
      <w:pPr>
        <w:spacing w:after="169" w:line="259" w:lineRule="auto"/>
        <w:ind w:left="1440" w:firstLine="0"/>
      </w:pPr>
      <w:r>
        <w:t xml:space="preserve"> </w:t>
      </w:r>
    </w:p>
    <w:p w14:paraId="58A0BCAA" w14:textId="77777777" w:rsidR="00082D5A" w:rsidRDefault="00000000">
      <w:pPr>
        <w:spacing w:line="259" w:lineRule="auto"/>
        <w:ind w:left="1927" w:right="1200"/>
        <w:jc w:val="center"/>
      </w:pPr>
      <w:r>
        <w:t xml:space="preserve">- 22 - </w:t>
      </w:r>
    </w:p>
    <w:p w14:paraId="2972AA2A" w14:textId="77777777" w:rsidR="00082D5A" w:rsidRDefault="00000000">
      <w:pPr>
        <w:ind w:left="18" w:right="13"/>
      </w:pPr>
      <w:r>
        <w:rPr>
          <w:u w:val="single" w:color="000000"/>
        </w:rPr>
        <w:t>Ryan Operations G.P. v. Santiam-Midwest Lumber Co.</w:t>
      </w:r>
      <w:r>
        <w:t xml:space="preserve">, 81 F.3d 355, 362 (3d Cir. 1996).  The information included in the disclosure statement should consist of "'all factors presently known to the plan proponent' that bear upon the success or failure of the proposals contained in the plan."  </w:t>
      </w:r>
      <w:r>
        <w:rPr>
          <w:u w:val="single" w:color="000000"/>
        </w:rPr>
        <w:t>In re Microwave Prods., Inc.</w:t>
      </w:r>
      <w:r>
        <w:t>, 100 B.R. 376, 377 (</w:t>
      </w:r>
      <w:proofErr w:type="spellStart"/>
      <w:r>
        <w:t>Bankr</w:t>
      </w:r>
      <w:proofErr w:type="spellEnd"/>
      <w:r>
        <w:t xml:space="preserve">. W.D. Tenn. 1989) (citation omitted).  </w:t>
      </w:r>
      <w:proofErr w:type="gramStart"/>
      <w:r>
        <w:t>In particular, a</w:t>
      </w:r>
      <w:proofErr w:type="gramEnd"/>
      <w:r>
        <w:t xml:space="preserve"> disclosure statement should contain information concerning the values of the assets and liabilities of the debtor.  </w:t>
      </w:r>
      <w:r>
        <w:rPr>
          <w:u w:val="single" w:color="000000"/>
        </w:rPr>
        <w:t>See</w:t>
      </w:r>
      <w:r>
        <w:t xml:space="preserve"> </w:t>
      </w:r>
      <w:r>
        <w:rPr>
          <w:u w:val="single" w:color="000000"/>
        </w:rPr>
        <w:t xml:space="preserve">Tenn-Fla Partners v. First Union </w:t>
      </w:r>
      <w:proofErr w:type="spellStart"/>
      <w:r>
        <w:rPr>
          <w:u w:val="single" w:color="000000"/>
        </w:rPr>
        <w:t>Nat’l</w:t>
      </w:r>
      <w:proofErr w:type="spellEnd"/>
      <w:r>
        <w:rPr>
          <w:u w:val="single" w:color="000000"/>
        </w:rPr>
        <w:t xml:space="preserve"> Bank</w:t>
      </w:r>
      <w:r>
        <w:t xml:space="preserve">, 229 B.R. 720, 733 (W.D. Tenn. 1999), </w:t>
      </w:r>
      <w:r>
        <w:rPr>
          <w:u w:val="single" w:color="000000"/>
        </w:rPr>
        <w:t>aff’d</w:t>
      </w:r>
      <w:r>
        <w:t>, 226 F.3d 746 (6</w:t>
      </w:r>
      <w:r>
        <w:rPr>
          <w:vertAlign w:val="superscript"/>
        </w:rPr>
        <w:t>th</w:t>
      </w:r>
      <w:r>
        <w:t xml:space="preserve"> Cir. 2000).   Moreover, “full and fair” disclosure is required during the entire reorganization process; it begins “on day one, with the filing of the Chapter 11 petition.”  </w:t>
      </w:r>
      <w:r>
        <w:rPr>
          <w:u w:val="single" w:color="000000"/>
        </w:rPr>
        <w:t>In re Momentum Mfg. Corp.</w:t>
      </w:r>
      <w:r>
        <w:t xml:space="preserve">, 25 F.3d at 1136 (citing </w:t>
      </w:r>
      <w:proofErr w:type="gramStart"/>
      <w:r>
        <w:rPr>
          <w:u w:val="single" w:color="000000"/>
        </w:rPr>
        <w:t>In</w:t>
      </w:r>
      <w:proofErr w:type="gramEnd"/>
      <w:r>
        <w:rPr>
          <w:u w:val="single" w:color="000000"/>
        </w:rPr>
        <w:t xml:space="preserve"> re V.</w:t>
      </w:r>
      <w:r>
        <w:t xml:space="preserve"> </w:t>
      </w:r>
    </w:p>
    <w:p w14:paraId="2EF6D005" w14:textId="77777777" w:rsidR="00082D5A" w:rsidRDefault="00000000">
      <w:pPr>
        <w:spacing w:after="252" w:line="259" w:lineRule="auto"/>
        <w:ind w:left="18" w:right="13"/>
      </w:pPr>
      <w:r>
        <w:rPr>
          <w:u w:val="single" w:color="000000"/>
        </w:rPr>
        <w:t>Savino Oil &amp; Heating Co.</w:t>
      </w:r>
      <w:r>
        <w:t>, 99 B.R. 518, 526 (</w:t>
      </w:r>
      <w:proofErr w:type="spellStart"/>
      <w:r>
        <w:t>Bankr</w:t>
      </w:r>
      <w:proofErr w:type="spellEnd"/>
      <w:r>
        <w:t xml:space="preserve">. E.D.N.Y. 1989)). </w:t>
      </w:r>
    </w:p>
    <w:p w14:paraId="4D972396" w14:textId="77777777" w:rsidR="00082D5A" w:rsidRDefault="00000000">
      <w:pPr>
        <w:spacing w:after="50"/>
        <w:ind w:left="8" w:right="13" w:firstLine="720"/>
      </w:pPr>
      <w:r>
        <w:t>In these cases, there is a total dearth of information on which a creditor could rely in making an informed decision on the proposed Plan including:  1) the details of the pre-petition settlements, through which Debtor has improperly gerrymandered the vote; and 2) confirmation of the fact that non-debtor Pfizer is not being absolved of liability for its own asbestos-containing products.</w:t>
      </w:r>
      <w:r>
        <w:rPr>
          <w:vertAlign w:val="superscript"/>
        </w:rPr>
        <w:footnoteReference w:id="16"/>
      </w:r>
      <w:r>
        <w:t xml:space="preserve"> </w:t>
      </w:r>
    </w:p>
    <w:p w14:paraId="3A3D0E2E" w14:textId="77777777" w:rsidR="00082D5A" w:rsidRDefault="00000000">
      <w:pPr>
        <w:ind w:left="8" w:right="13" w:firstLine="720"/>
      </w:pPr>
      <w:r>
        <w:lastRenderedPageBreak/>
        <w:t xml:space="preserve">Because of these deficiencies, inaccuracies, and misstatements, this Disclosure Statement does not come close to allowing creditors to make an informed decision regarding this Plan.  </w:t>
      </w:r>
    </w:p>
    <w:p w14:paraId="5355C8A3" w14:textId="77777777" w:rsidR="00082D5A" w:rsidRDefault="00000000">
      <w:pPr>
        <w:tabs>
          <w:tab w:val="center" w:pos="830"/>
          <w:tab w:val="center" w:pos="3911"/>
        </w:tabs>
        <w:spacing w:after="10" w:line="249" w:lineRule="auto"/>
        <w:ind w:left="0" w:firstLine="0"/>
      </w:pPr>
      <w:r>
        <w:rPr>
          <w:rFonts w:ascii="Calibri" w:eastAsia="Calibri" w:hAnsi="Calibri" w:cs="Calibri"/>
          <w:sz w:val="22"/>
        </w:rPr>
        <w:tab/>
      </w:r>
      <w:r>
        <w:rPr>
          <w:b/>
        </w:rPr>
        <w:t>B</w:t>
      </w:r>
      <w:proofErr w:type="gramStart"/>
      <w:r>
        <w:rPr>
          <w:b/>
        </w:rPr>
        <w:t>.</w:t>
      </w:r>
      <w:r>
        <w:rPr>
          <w:rFonts w:ascii="Arial" w:eastAsia="Arial" w:hAnsi="Arial" w:cs="Arial"/>
          <w:b/>
        </w:rPr>
        <w:t xml:space="preserve"> </w:t>
      </w:r>
      <w:r>
        <w:rPr>
          <w:rFonts w:ascii="Arial" w:eastAsia="Arial" w:hAnsi="Arial" w:cs="Arial"/>
          <w:b/>
        </w:rPr>
        <w:tab/>
      </w:r>
      <w:r>
        <w:rPr>
          <w:b/>
        </w:rPr>
        <w:t>There</w:t>
      </w:r>
      <w:proofErr w:type="gramEnd"/>
      <w:r>
        <w:rPr>
          <w:b/>
        </w:rPr>
        <w:t xml:space="preserve"> Is Insufficient Disclosure Concerning The </w:t>
      </w:r>
    </w:p>
    <w:p w14:paraId="1CFEEB76" w14:textId="77777777" w:rsidR="00082D5A" w:rsidRDefault="00000000">
      <w:pPr>
        <w:spacing w:after="10" w:line="249" w:lineRule="auto"/>
        <w:ind w:left="1435" w:right="2736"/>
      </w:pPr>
      <w:r>
        <w:rPr>
          <w:b/>
        </w:rPr>
        <w:t xml:space="preserve">Pre-Petition Settlements, Eviscerating Any </w:t>
      </w:r>
    </w:p>
    <w:p w14:paraId="7A9BC3F6" w14:textId="77777777" w:rsidR="00082D5A" w:rsidRDefault="00000000">
      <w:pPr>
        <w:spacing w:after="10" w:line="249" w:lineRule="auto"/>
        <w:ind w:left="1435" w:right="2736"/>
      </w:pPr>
      <w:r>
        <w:rPr>
          <w:b/>
        </w:rPr>
        <w:t xml:space="preserve">Ability To Assess </w:t>
      </w:r>
      <w:proofErr w:type="gramStart"/>
      <w:r>
        <w:rPr>
          <w:b/>
        </w:rPr>
        <w:t>The</w:t>
      </w:r>
      <w:proofErr w:type="gramEnd"/>
      <w:r>
        <w:rPr>
          <w:b/>
        </w:rPr>
        <w:t xml:space="preserve"> Extent </w:t>
      </w:r>
      <w:proofErr w:type="gramStart"/>
      <w:r>
        <w:rPr>
          <w:b/>
        </w:rPr>
        <w:t>To</w:t>
      </w:r>
      <w:proofErr w:type="gramEnd"/>
      <w:r>
        <w:rPr>
          <w:b/>
        </w:rPr>
        <w:t xml:space="preserve"> Which Votes </w:t>
      </w:r>
    </w:p>
    <w:p w14:paraId="44B9BA1D" w14:textId="77777777" w:rsidR="00082D5A" w:rsidRDefault="00000000">
      <w:pPr>
        <w:spacing w:after="224" w:line="249" w:lineRule="auto"/>
        <w:ind w:left="1435" w:right="2736"/>
      </w:pPr>
      <w:r>
        <w:rPr>
          <w:b/>
        </w:rPr>
        <w:t xml:space="preserve">Have Been Improperly “Bought” </w:t>
      </w:r>
    </w:p>
    <w:p w14:paraId="2425CD38" w14:textId="77777777" w:rsidR="00082D5A" w:rsidRDefault="00000000">
      <w:pPr>
        <w:ind w:left="8" w:right="13" w:firstLine="720"/>
      </w:pPr>
      <w:proofErr w:type="gramStart"/>
      <w:r>
        <w:t>Despite the fact that</w:t>
      </w:r>
      <w:proofErr w:type="gramEnd"/>
      <w:r>
        <w:t xml:space="preserve"> the pre-petition settlements are the skeleton upon which the entire proposed Plan is built, the Debtor has provided almost no details about them.  This eliminates any ability on the part of claimants, or the Court, to assess whether the votes were solicited in good faith or whether the proposed Plan, </w:t>
      </w:r>
      <w:proofErr w:type="gramStart"/>
      <w:r>
        <w:t>on the whole</w:t>
      </w:r>
      <w:proofErr w:type="gramEnd"/>
      <w:r>
        <w:t xml:space="preserve">, is “fair.” </w:t>
      </w:r>
    </w:p>
    <w:p w14:paraId="593E9949" w14:textId="77777777" w:rsidR="00082D5A" w:rsidRDefault="00000000">
      <w:pPr>
        <w:ind w:left="8" w:right="13" w:firstLine="720"/>
      </w:pPr>
      <w:r>
        <w:t xml:space="preserve">Aside from the aggregate settlement amount of $430 million, there is only the </w:t>
      </w:r>
      <w:proofErr w:type="gramStart"/>
      <w:r>
        <w:t>barest</w:t>
      </w:r>
      <w:proofErr w:type="gramEnd"/>
      <w:r>
        <w:t xml:space="preserve"> of descriptions concerning the terms of those settlements.  </w:t>
      </w:r>
      <w:r>
        <w:rPr>
          <w:u w:val="single" w:color="000000"/>
        </w:rPr>
        <w:t>See</w:t>
      </w:r>
      <w:r>
        <w:t xml:space="preserve"> Amended Disclosure Statement, p. </w:t>
      </w:r>
    </w:p>
    <w:p w14:paraId="518B6B59" w14:textId="77777777" w:rsidR="00082D5A" w:rsidRDefault="00000000">
      <w:pPr>
        <w:ind w:left="18" w:right="13"/>
      </w:pPr>
      <w:r>
        <w:t>15</w:t>
      </w:r>
      <w:proofErr w:type="gramStart"/>
      <w:r>
        <w:t>.  However</w:t>
      </w:r>
      <w:proofErr w:type="gramEnd"/>
      <w:r>
        <w:t xml:space="preserve">, what few details are provided give cause for concern.  The pre-petition settlements all but guaranteed the success of Debtor’s motion for preliminary injunction by prohibiting any </w:t>
      </w:r>
    </w:p>
    <w:p w14:paraId="6CA20966" w14:textId="77777777" w:rsidR="00082D5A" w:rsidRDefault="00000000">
      <w:pPr>
        <w:ind w:left="18" w:right="13"/>
      </w:pPr>
      <w:r>
        <w:t xml:space="preserve">Settling Plaintiff from objecting.  </w:t>
      </w:r>
      <w:r>
        <w:rPr>
          <w:u w:val="single" w:color="000000"/>
        </w:rPr>
        <w:t>Id</w:t>
      </w:r>
      <w:r>
        <w:t>.</w:t>
      </w:r>
      <w:r>
        <w:rPr>
          <w:vertAlign w:val="superscript"/>
        </w:rPr>
        <w:footnoteReference w:id="17"/>
      </w:r>
      <w:r>
        <w:t xml:space="preserve">  Additionally, Pfizer’s obligation to pay any portion of the Settlement Amount appears to depend upon whether Quigley solicits </w:t>
      </w:r>
      <w:proofErr w:type="gramStart"/>
      <w:r>
        <w:t>acceptances</w:t>
      </w:r>
      <w:proofErr w:type="gramEnd"/>
      <w:r>
        <w:t xml:space="preserve"> of the Plan prior to December 1, </w:t>
      </w:r>
      <w:proofErr w:type="gramStart"/>
      <w:r>
        <w:t>2005</w:t>
      </w:r>
      <w:proofErr w:type="gramEnd"/>
      <w:r>
        <w:t xml:space="preserve"> from at least 75% of the holders of Asbestos PI Claims who vote.  </w:t>
      </w:r>
      <w:r>
        <w:rPr>
          <w:u w:val="single" w:color="000000"/>
        </w:rPr>
        <w:t>See</w:t>
      </w:r>
      <w:r>
        <w:t xml:space="preserve"> Amended Disclosure Statement, p. 15.  Perhaps most </w:t>
      </w:r>
      <w:proofErr w:type="gramStart"/>
      <w:r>
        <w:t>importantly,  as</w:t>
      </w:r>
      <w:proofErr w:type="gramEnd"/>
      <w:r>
        <w:t xml:space="preserve"> a condition of payment of the Settlement Amount, each Settling Plaintiff must release all asbestos claims against Pfizer while retaining a very small portion of any asbestos claims against Quigley – in effect creating a </w:t>
      </w:r>
    </w:p>
    <w:p w14:paraId="1F4F869E" w14:textId="77777777" w:rsidR="00082D5A" w:rsidRDefault="00000000">
      <w:pPr>
        <w:ind w:left="18" w:right="13"/>
      </w:pPr>
      <w:r>
        <w:lastRenderedPageBreak/>
        <w:t>“</w:t>
      </w:r>
      <w:proofErr w:type="gramStart"/>
      <w:r>
        <w:t>stub</w:t>
      </w:r>
      <w:proofErr w:type="gramEnd"/>
      <w:r>
        <w:t xml:space="preserve"> claim” that is to be treated under the Plan in accordance with the Asbestos PI Trust Distribution Procedures (the “TDP”).  </w:t>
      </w:r>
      <w:r>
        <w:rPr>
          <w:u w:val="single" w:color="000000"/>
        </w:rPr>
        <w:t>Id</w:t>
      </w:r>
      <w:r>
        <w:t xml:space="preserve">.   </w:t>
      </w:r>
    </w:p>
    <w:p w14:paraId="48EC18EA" w14:textId="77777777" w:rsidR="00082D5A" w:rsidRDefault="00000000">
      <w:pPr>
        <w:ind w:left="8" w:right="13" w:firstLine="720"/>
      </w:pPr>
      <w:proofErr w:type="gramStart"/>
      <w:r>
        <w:t>Debtor itself</w:t>
      </w:r>
      <w:proofErr w:type="gramEnd"/>
      <w:r>
        <w:t xml:space="preserve"> admits that the assets from the TDP will be insufficient to pay 100% of claims.  </w:t>
      </w:r>
      <w:r>
        <w:rPr>
          <w:u w:val="single" w:color="000000"/>
        </w:rPr>
        <w:t>See</w:t>
      </w:r>
      <w:r>
        <w:t xml:space="preserve"> Amended Disclosure Statement, p. 16.  Thus, each Settling Plaintiff has ‘retained’ a claim against Quigley for 10% of that which it may be entitled to under the TDP structure.  </w:t>
      </w:r>
      <w:r>
        <w:rPr>
          <w:u w:val="single" w:color="000000"/>
        </w:rPr>
        <w:t>Id.</w:t>
      </w:r>
      <w:r>
        <w:t xml:space="preserve">  Put another way, each Settling Plaintiffs remaining claims against Quigley have been reduced in value by 90%.  </w:t>
      </w:r>
      <w:r>
        <w:rPr>
          <w:u w:val="single" w:color="000000"/>
        </w:rPr>
        <w:t>Id.</w:t>
      </w:r>
      <w:r>
        <w:t xml:space="preserve">   </w:t>
      </w:r>
    </w:p>
    <w:p w14:paraId="2484A7B8" w14:textId="77777777" w:rsidR="00082D5A" w:rsidRDefault="00000000">
      <w:pPr>
        <w:ind w:left="8" w:right="13" w:firstLine="720"/>
      </w:pPr>
      <w:r>
        <w:t xml:space="preserve">Although the Debtor has provided only a few tidbits of information concerning the prepetition settlements, one thing is clear: All along the Debtor’s goal has been to purchase the votes of low-value claimants and then lump them together with non-settling high-value claimants for voting purposes.  Without sufficient details about the specific claimants who settled, it is impossible to determine the extent to which the Debtor (and Pfizer) may have improperly bought votes and/or created “artificially impaired” claims, which is precisely the type of conduct that the </w:t>
      </w:r>
    </w:p>
    <w:p w14:paraId="1023081A" w14:textId="77777777" w:rsidR="00082D5A" w:rsidRDefault="00000000">
      <w:pPr>
        <w:ind w:left="18" w:right="13"/>
      </w:pPr>
      <w:r>
        <w:t xml:space="preserve">Third Circuit </w:t>
      </w:r>
      <w:proofErr w:type="gramStart"/>
      <w:r>
        <w:t>found</w:t>
      </w:r>
      <w:proofErr w:type="gramEnd"/>
      <w:r>
        <w:t xml:space="preserve"> so troubling in rejecting the proposed plan in </w:t>
      </w:r>
      <w:proofErr w:type="gramStart"/>
      <w:r>
        <w:t>In</w:t>
      </w:r>
      <w:proofErr w:type="gramEnd"/>
      <w:r>
        <w:t xml:space="preserve"> re </w:t>
      </w:r>
      <w:r>
        <w:rPr>
          <w:u w:val="single" w:color="000000"/>
        </w:rPr>
        <w:t>Combustion Engineering,</w:t>
      </w:r>
      <w:r>
        <w:t xml:space="preserve"> 391 F.3d 190 (3d Cir.2004).   </w:t>
      </w:r>
    </w:p>
    <w:p w14:paraId="2AFA8126" w14:textId="77777777" w:rsidR="00082D5A" w:rsidRDefault="00000000">
      <w:pPr>
        <w:ind w:left="8" w:right="13" w:firstLine="720"/>
      </w:pPr>
      <w:r>
        <w:t xml:space="preserve">In </w:t>
      </w:r>
      <w:r>
        <w:rPr>
          <w:u w:val="single" w:color="000000"/>
        </w:rPr>
        <w:t>Combustion Engineering</w:t>
      </w:r>
      <w:r>
        <w:t xml:space="preserve">, the debtor put forth a pre-packaged plan involving the use of “stub claims.”  In essence, a pre-petition trust was established which paid many asbestos claimants a substantial portion of their claim (up to 95%), although no claimant received 100%.  </w:t>
      </w:r>
      <w:r>
        <w:rPr>
          <w:u w:val="single" w:color="000000"/>
        </w:rPr>
        <w:t>Combustion Engineering</w:t>
      </w:r>
      <w:r>
        <w:t xml:space="preserve">, 391 F.3d at 204-209.  Thus, even those claimants who had received 95 cents on the dollar retained a “stub claim” allowing them to vote on the plan in the same manner </w:t>
      </w:r>
    </w:p>
    <w:p w14:paraId="67394F04" w14:textId="77777777" w:rsidR="00082D5A" w:rsidRDefault="00000000">
      <w:pPr>
        <w:ind w:left="18" w:right="13"/>
      </w:pPr>
      <w:r>
        <w:t xml:space="preserve">(and in the same proportion) as a claimant who had received nothing pre-petition.  </w:t>
      </w:r>
      <w:r>
        <w:rPr>
          <w:u w:val="single" w:color="000000"/>
        </w:rPr>
        <w:t>Id.</w:t>
      </w:r>
      <w:r>
        <w:t xml:space="preserve"> at 239245.  The creation of this “artificially impaired class” was troubling to the Third Circuit.  </w:t>
      </w:r>
      <w:r>
        <w:rPr>
          <w:u w:val="single" w:color="000000"/>
        </w:rPr>
        <w:t>Id</w:t>
      </w:r>
      <w:r>
        <w:t xml:space="preserve">. at 243 (“[T]he use of stub claims in this case may constitute “artificial impairment” under </w:t>
      </w:r>
    </w:p>
    <w:p w14:paraId="1C993FD8" w14:textId="77777777" w:rsidR="00082D5A" w:rsidRDefault="00000000">
      <w:pPr>
        <w:spacing w:after="252" w:line="259" w:lineRule="auto"/>
        <w:ind w:left="18" w:right="13"/>
      </w:pPr>
      <w:r>
        <w:lastRenderedPageBreak/>
        <w:t xml:space="preserve">§ 1129(a)(10).”).   </w:t>
      </w:r>
    </w:p>
    <w:p w14:paraId="3E3310D1" w14:textId="77777777" w:rsidR="00082D5A" w:rsidRDefault="00000000">
      <w:pPr>
        <w:spacing w:after="0" w:line="238" w:lineRule="auto"/>
        <w:ind w:left="1435" w:right="1427"/>
        <w:jc w:val="both"/>
      </w:pPr>
      <w:r>
        <w:t xml:space="preserve">Combustion Engineering made a pre-petition side-arrangement with a privileged group of asbestos claimants, who </w:t>
      </w:r>
      <w:proofErr w:type="gramStart"/>
      <w:r>
        <w:t>as a consequence</w:t>
      </w:r>
      <w:proofErr w:type="gramEnd"/>
      <w:r>
        <w:t xml:space="preserve"> represented a voting majority despite holding, in </w:t>
      </w:r>
      <w:proofErr w:type="spellStart"/>
      <w:proofErr w:type="gramStart"/>
      <w:r>
        <w:t>may</w:t>
      </w:r>
      <w:proofErr w:type="spellEnd"/>
      <w:proofErr w:type="gramEnd"/>
      <w:r>
        <w:t xml:space="preserve"> cases, only slightly impaired “stub claims.”  On the facts here, the monitoring function of § 1129(a)(10) may have been significantly weakened….  This type of manipulation is especially problematic in the asbestos context, where a voting majority can be made to consist of non-malignant claimants whose interests may be </w:t>
      </w:r>
      <w:proofErr w:type="gramStart"/>
      <w:r>
        <w:t>adverse</w:t>
      </w:r>
      <w:proofErr w:type="gramEnd"/>
      <w:r>
        <w:t xml:space="preserve"> to those claimants with more severe injuries. </w:t>
      </w:r>
    </w:p>
    <w:p w14:paraId="4819097A" w14:textId="77777777" w:rsidR="00082D5A" w:rsidRDefault="00000000">
      <w:pPr>
        <w:spacing w:after="0" w:line="259" w:lineRule="auto"/>
        <w:ind w:left="1440" w:firstLine="0"/>
      </w:pPr>
      <w:r>
        <w:t xml:space="preserve"> </w:t>
      </w:r>
    </w:p>
    <w:p w14:paraId="038D6836" w14:textId="77777777" w:rsidR="00082D5A" w:rsidRDefault="00000000">
      <w:pPr>
        <w:spacing w:after="428"/>
        <w:ind w:left="18" w:right="13"/>
      </w:pPr>
      <w:r>
        <w:rPr>
          <w:u w:val="single" w:color="000000"/>
        </w:rPr>
        <w:t>Combustion Engineering</w:t>
      </w:r>
      <w:r>
        <w:t xml:space="preserve">, 391 F.3d at 244 (citations omitted).  The manipulation of nonmalignant claimants to eviscerate the rights of the more severely injured is precisely what the Debtor is attempting here. </w:t>
      </w:r>
    </w:p>
    <w:p w14:paraId="62E39FC1" w14:textId="77777777" w:rsidR="00082D5A" w:rsidRDefault="00000000">
      <w:pPr>
        <w:spacing w:line="259" w:lineRule="auto"/>
        <w:ind w:left="1927" w:right="1200"/>
        <w:jc w:val="center"/>
      </w:pPr>
      <w:r>
        <w:t xml:space="preserve">- 25 - </w:t>
      </w:r>
    </w:p>
    <w:p w14:paraId="51749B89" w14:textId="77777777" w:rsidR="00082D5A" w:rsidRDefault="00000000">
      <w:pPr>
        <w:ind w:left="8" w:right="13" w:firstLine="720"/>
      </w:pPr>
      <w:r>
        <w:t xml:space="preserve">Another factor noted by the Third Circuit as being particularly problematic was the lower court’s failure to consider disease disparities among claimants: </w:t>
      </w:r>
    </w:p>
    <w:p w14:paraId="017FAA3E" w14:textId="77777777" w:rsidR="00082D5A" w:rsidRDefault="00000000">
      <w:pPr>
        <w:spacing w:after="0" w:line="238" w:lineRule="auto"/>
        <w:ind w:left="1435" w:right="1427"/>
        <w:jc w:val="both"/>
      </w:pPr>
      <w:r>
        <w:t xml:space="preserve">Additionally, there are two considerations here that are absent in the ordinary commercial bankruptcy: the Plan’s treatment of current asbestos claimants relative to future asbestos claimants, and its treatment of malignant asbestos claimants relative to nonmalignant asbestos claimants….  Neither the Bankruptcy Court nor the District Court evaluated the [pre-petition settlement’s] treatment of current, future, malignant or non-malignant asbestos claimants, or evaluated </w:t>
      </w:r>
      <w:proofErr w:type="gramStart"/>
      <w:r>
        <w:t>the overall Plan</w:t>
      </w:r>
      <w:proofErr w:type="gramEnd"/>
      <w:r>
        <w:t xml:space="preserve"> from the perspective of settlement participants versus non-participants and malignant versus non-malignant asbestos claimants.  Even absent the Plan’s other defects, the two-trust structure requires a remand for further findings on these issues. </w:t>
      </w:r>
    </w:p>
    <w:p w14:paraId="19B2CD57" w14:textId="77777777" w:rsidR="00082D5A" w:rsidRDefault="00000000">
      <w:pPr>
        <w:spacing w:after="0" w:line="259" w:lineRule="auto"/>
        <w:ind w:left="1440" w:firstLine="0"/>
      </w:pPr>
      <w:r>
        <w:t xml:space="preserve"> </w:t>
      </w:r>
    </w:p>
    <w:p w14:paraId="7B7C3AA6" w14:textId="77777777" w:rsidR="00082D5A" w:rsidRDefault="00000000">
      <w:pPr>
        <w:spacing w:after="252" w:line="259" w:lineRule="auto"/>
        <w:ind w:left="18" w:right="13"/>
      </w:pPr>
      <w:r>
        <w:rPr>
          <w:u w:val="single" w:color="000000"/>
        </w:rPr>
        <w:t>Combustion Engineering</w:t>
      </w:r>
      <w:r>
        <w:t xml:space="preserve">, 391 F.3d at 242 (internal footnote omitted). </w:t>
      </w:r>
    </w:p>
    <w:p w14:paraId="67E2F8E9" w14:textId="77777777" w:rsidR="00082D5A" w:rsidRDefault="00000000">
      <w:pPr>
        <w:ind w:left="8" w:right="13" w:firstLine="720"/>
      </w:pPr>
      <w:r>
        <w:t xml:space="preserve">Here, the Disclosure Statement is devoid of any substantive discussion of the Plan negotiation process, aside from a brief claim that approximately 80% of all the asbestos claimants against Quigley were bought off by Pfizer with an aggregate payment of $430 million.  </w:t>
      </w:r>
      <w:r>
        <w:rPr>
          <w:u w:val="single" w:color="000000"/>
        </w:rPr>
        <w:lastRenderedPageBreak/>
        <w:t>See</w:t>
      </w:r>
      <w:r>
        <w:t xml:space="preserve"> Amended Disclosure Statement, pp. 15-16.</w:t>
      </w:r>
      <w:r>
        <w:rPr>
          <w:vertAlign w:val="superscript"/>
        </w:rPr>
        <w:footnoteReference w:id="18"/>
      </w:r>
      <w:r>
        <w:t xml:space="preserve">  There is almost no description as to what types of claims (i.e., direct or derivative) these were, or what disease each claimant was suffering from.  While some assumptions can be made (based on the location of the law firm representing them), there is no explanation of where any of the Settling Plaintiffs reside or whether, and to what extent, their claims may have been adversely impacted by recent tort reform efforts.  In the absence of this information, it is impossible for the parties, and the Court, to determine if the </w:t>
      </w:r>
    </w:p>
    <w:p w14:paraId="0973FBF5" w14:textId="77777777" w:rsidR="00082D5A" w:rsidRDefault="00000000">
      <w:pPr>
        <w:spacing w:after="62"/>
        <w:ind w:left="18" w:right="13"/>
      </w:pPr>
      <w:r>
        <w:t xml:space="preserve">same problems that were inherent in the plan proposed in </w:t>
      </w:r>
      <w:r>
        <w:rPr>
          <w:u w:val="single" w:color="000000"/>
        </w:rPr>
        <w:t>Combustion Engineering</w:t>
      </w:r>
      <w:r>
        <w:t xml:space="preserve"> are present here.</w:t>
      </w:r>
      <w:r>
        <w:rPr>
          <w:vertAlign w:val="superscript"/>
        </w:rPr>
        <w:footnoteReference w:id="19"/>
      </w:r>
      <w:r>
        <w:t xml:space="preserve"> </w:t>
      </w:r>
    </w:p>
    <w:p w14:paraId="41959C67" w14:textId="77777777" w:rsidR="00082D5A" w:rsidRDefault="00000000">
      <w:pPr>
        <w:ind w:left="8" w:right="13" w:firstLine="720"/>
      </w:pPr>
      <w:r>
        <w:t xml:space="preserve">For example, if the Debtor is to be believed, </w:t>
      </w:r>
      <w:proofErr w:type="gramStart"/>
      <w:r>
        <w:t>the majority of</w:t>
      </w:r>
      <w:proofErr w:type="gramEnd"/>
      <w:r>
        <w:t xml:space="preserve"> the claims settled by Pfizer were, in fact, derivative claims based on Quigley products.  </w:t>
      </w:r>
      <w:r>
        <w:rPr>
          <w:u w:val="single" w:color="000000"/>
        </w:rPr>
        <w:t>See</w:t>
      </w:r>
      <w:r>
        <w:t xml:space="preserve"> Debtor’s Motion, p.6, ¶¶ 14-15 (indicating that 109,200 of the 149,000, more than 73%, pending claims against Quigley also name Pfizer).  In arguing for the broad </w:t>
      </w:r>
      <w:proofErr w:type="gramStart"/>
      <w:r>
        <w:t>injunction</w:t>
      </w:r>
      <w:proofErr w:type="gramEnd"/>
      <w:r>
        <w:t xml:space="preserve"> it sought when it initiated this case, the Debtor emphatically stated, time and time again, that Pfizer was being sued simply because of derivative claims based on Quigley products: </w:t>
      </w:r>
    </w:p>
    <w:p w14:paraId="239DF050" w14:textId="77777777" w:rsidR="00082D5A" w:rsidRDefault="00000000">
      <w:pPr>
        <w:spacing w:after="0" w:line="238" w:lineRule="auto"/>
        <w:ind w:left="1435" w:right="1427"/>
        <w:jc w:val="both"/>
      </w:pPr>
      <w:r>
        <w:t xml:space="preserve">Almost </w:t>
      </w:r>
      <w:proofErr w:type="gramStart"/>
      <w:r>
        <w:t>all of</w:t>
      </w:r>
      <w:proofErr w:type="gramEnd"/>
      <w:r>
        <w:t xml:space="preserve"> the claims against Pfizer are based on exposure to asbestos allegedly contained in Quigley’s products and the purported liability of Pfizer is premised on the … claim that Pfizer is the “alter ego” or successor to </w:t>
      </w:r>
      <w:proofErr w:type="gramStart"/>
      <w:r>
        <w:t>Quigley, or</w:t>
      </w:r>
      <w:proofErr w:type="gramEnd"/>
      <w:r>
        <w:t xml:space="preserve"> otherwise purporting to “pierce the corporation veil” between Pfizer and Quigley.  Any liability that Pfizer may face for personal injury or wrongful death based on exposure to asbestos-related products will be tantamount to a finding </w:t>
      </w:r>
      <w:r>
        <w:lastRenderedPageBreak/>
        <w:t xml:space="preserve">or judgment against Quigley.  Under these circumstances, the continued litigation of the claims against Pfizer is tantamount to litigation against Quigley. </w:t>
      </w:r>
    </w:p>
    <w:p w14:paraId="7D18FF2E" w14:textId="77777777" w:rsidR="00082D5A" w:rsidRDefault="00000000">
      <w:pPr>
        <w:spacing w:after="0" w:line="259" w:lineRule="auto"/>
        <w:ind w:left="1440" w:firstLine="0"/>
      </w:pPr>
      <w:r>
        <w:t xml:space="preserve"> </w:t>
      </w:r>
    </w:p>
    <w:p w14:paraId="43028AE9" w14:textId="77777777" w:rsidR="00082D5A" w:rsidRDefault="00000000">
      <w:pPr>
        <w:spacing w:after="252" w:line="259" w:lineRule="auto"/>
        <w:ind w:left="18" w:right="13"/>
      </w:pPr>
      <w:r>
        <w:rPr>
          <w:u w:val="single" w:color="000000"/>
        </w:rPr>
        <w:t>See</w:t>
      </w:r>
      <w:r>
        <w:t xml:space="preserve"> Motion of Quigley Company, Inc. for an Order Pursuant to Sections 105(a) and 362(a) of the </w:t>
      </w:r>
    </w:p>
    <w:p w14:paraId="5397E895" w14:textId="77777777" w:rsidR="00082D5A" w:rsidRDefault="00000000">
      <w:pPr>
        <w:ind w:left="18" w:right="13"/>
      </w:pPr>
      <w:r>
        <w:t xml:space="preserve">Bankruptcy Code and Bankruptcy Rule 7065 Confirming Application of the Automatic Stay and Granting </w:t>
      </w:r>
      <w:proofErr w:type="gramStart"/>
      <w:r>
        <w:t>A</w:t>
      </w:r>
      <w:proofErr w:type="gramEnd"/>
      <w:r>
        <w:t xml:space="preserve"> Preliminary Injunction and a Temporary Restraining Order, p. 24, ¶ 62; </w:t>
      </w:r>
      <w:r>
        <w:rPr>
          <w:u w:val="single" w:color="000000"/>
        </w:rPr>
        <w:t>see</w:t>
      </w:r>
      <w:r>
        <w:t xml:space="preserve"> </w:t>
      </w:r>
      <w:r>
        <w:rPr>
          <w:u w:val="single" w:color="000000"/>
        </w:rPr>
        <w:t>also</w:t>
      </w:r>
      <w:r>
        <w:t xml:space="preserve"> </w:t>
      </w:r>
      <w:r>
        <w:rPr>
          <w:u w:val="single" w:color="000000"/>
        </w:rPr>
        <w:t>id</w:t>
      </w:r>
      <w:r>
        <w:t xml:space="preserve">. </w:t>
      </w:r>
    </w:p>
    <w:p w14:paraId="05C2711A" w14:textId="77777777" w:rsidR="00082D5A" w:rsidRDefault="00000000">
      <w:pPr>
        <w:ind w:left="18" w:right="13"/>
      </w:pPr>
      <w:r>
        <w:t xml:space="preserve">p.4, ¶ 7 (“To the best of Quigley’s knowledge, information and belief, in most of these cases, any allegations of liability of Pfizer are derivative of claims against Quigley.”); p. 24, ¶ 61 (“Based on past experience, it appears that Pfizer is named as a defendant in almost all of these actions because Quigley is a wholly-owned subsidiary of Pfizer, and Pfizer has ‘deep-pockets.’”).   </w:t>
      </w:r>
    </w:p>
    <w:p w14:paraId="0F79A52D" w14:textId="77777777" w:rsidR="00082D5A" w:rsidRDefault="00000000">
      <w:pPr>
        <w:spacing w:after="252" w:line="259" w:lineRule="auto"/>
        <w:ind w:left="730" w:right="13"/>
      </w:pPr>
      <w:r>
        <w:t xml:space="preserve">If, as the Debtor claimed, any litigation against Pfizer equals litigation of claims against </w:t>
      </w:r>
    </w:p>
    <w:p w14:paraId="48C261B3" w14:textId="77777777" w:rsidR="00082D5A" w:rsidRDefault="00000000">
      <w:pPr>
        <w:ind w:left="18" w:right="13"/>
      </w:pPr>
      <w:r>
        <w:t xml:space="preserve">Quigley and any judgment against Pfizer </w:t>
      </w:r>
      <w:proofErr w:type="gramStart"/>
      <w:r>
        <w:t>as a result of</w:t>
      </w:r>
      <w:proofErr w:type="gramEnd"/>
      <w:r>
        <w:t xml:space="preserve"> those claims is a judgment against Quigley, there must now be some explanation in the Disclosure Statement as to why a settlement of those very same claims with Pfizer is not equal to a settlement with Quigley.  Of course, if the pre-petition settlements are viewed in this manner (i.e., settlements, even partial settlements, of claims against Quigley), then the same issues concerning the “stub claims” that the Third Circuit found so troubling in </w:t>
      </w:r>
      <w:r>
        <w:rPr>
          <w:u w:val="single" w:color="000000"/>
        </w:rPr>
        <w:t>Combustion Engineering</w:t>
      </w:r>
      <w:r>
        <w:t xml:space="preserve"> are present here as well.  There is simply insufficient information in the Amended Disclosure Statement to allow creditors, or this Court, to assess whether Debtor has improperly created an artificially impaired class. </w:t>
      </w:r>
    </w:p>
    <w:p w14:paraId="642AEC43" w14:textId="77777777" w:rsidR="00082D5A" w:rsidRDefault="00000000">
      <w:pPr>
        <w:ind w:left="8" w:right="13" w:firstLine="720"/>
      </w:pPr>
      <w:r>
        <w:t xml:space="preserve">Moreover, the Disclosure Statement provides no information by which non-settling claimants can compare the treatment of Settling Plaintiffs with the treatment of claims contemplated by </w:t>
      </w:r>
      <w:proofErr w:type="gramStart"/>
      <w:r>
        <w:t>the TDP</w:t>
      </w:r>
      <w:proofErr w:type="gramEnd"/>
      <w:r>
        <w:t xml:space="preserve">. </w:t>
      </w:r>
    </w:p>
    <w:p w14:paraId="5DB6B72E" w14:textId="77777777" w:rsidR="00082D5A" w:rsidRDefault="00000000">
      <w:pPr>
        <w:spacing w:after="273" w:line="259" w:lineRule="auto"/>
        <w:ind w:right="17"/>
        <w:jc w:val="center"/>
      </w:pPr>
      <w:proofErr w:type="gramStart"/>
      <w:r>
        <w:t>In order for</w:t>
      </w:r>
      <w:proofErr w:type="gramEnd"/>
      <w:r>
        <w:t xml:space="preserve"> creditors to make an informed decision on the Plan, they must be told:  </w:t>
      </w:r>
    </w:p>
    <w:p w14:paraId="459E4EAE" w14:textId="77777777" w:rsidR="00082D5A" w:rsidRDefault="00000000">
      <w:pPr>
        <w:numPr>
          <w:ilvl w:val="0"/>
          <w:numId w:val="3"/>
        </w:numPr>
        <w:spacing w:after="262" w:line="239" w:lineRule="auto"/>
        <w:ind w:right="497" w:hanging="360"/>
      </w:pPr>
      <w:r>
        <w:t xml:space="preserve">more about the Plan negotiation process, including the specific criteria used for valuing claims and the reasons for targeting certain law firms and claimants for settlement; </w:t>
      </w:r>
    </w:p>
    <w:p w14:paraId="653D436C" w14:textId="77777777" w:rsidR="00082D5A" w:rsidRDefault="00000000">
      <w:pPr>
        <w:numPr>
          <w:ilvl w:val="0"/>
          <w:numId w:val="3"/>
        </w:numPr>
        <w:spacing w:after="262" w:line="238" w:lineRule="auto"/>
        <w:ind w:right="497" w:hanging="360"/>
      </w:pPr>
      <w:r>
        <w:lastRenderedPageBreak/>
        <w:t xml:space="preserve">information concerning the historical settlement history between Pfizer/Quigley and the law firms with whom it reached pre-petition settlements; </w:t>
      </w:r>
    </w:p>
    <w:p w14:paraId="7A507ABF" w14:textId="77777777" w:rsidR="00082D5A" w:rsidRDefault="00000000">
      <w:pPr>
        <w:numPr>
          <w:ilvl w:val="0"/>
          <w:numId w:val="3"/>
        </w:numPr>
        <w:spacing w:after="262" w:line="238" w:lineRule="auto"/>
        <w:ind w:right="497" w:hanging="360"/>
      </w:pPr>
      <w:r>
        <w:t xml:space="preserve">specific information relating to the settlements, including identification of how many settled claims involved Quigley products, how many involved Pfizer products and how many of the settled claims against Pfizer were based on theories of derivative liability from Quigley products;  </w:t>
      </w:r>
    </w:p>
    <w:p w14:paraId="7C81DC88" w14:textId="77777777" w:rsidR="00082D5A" w:rsidRDefault="00000000">
      <w:pPr>
        <w:numPr>
          <w:ilvl w:val="0"/>
          <w:numId w:val="3"/>
        </w:numPr>
        <w:spacing w:after="261" w:line="239" w:lineRule="auto"/>
        <w:ind w:right="497" w:hanging="360"/>
      </w:pPr>
      <w:r>
        <w:t xml:space="preserve">more about the role and the self-interests of the principal plan negotiators; and </w:t>
      </w:r>
    </w:p>
    <w:p w14:paraId="1CF64405" w14:textId="77777777" w:rsidR="00082D5A" w:rsidRDefault="00000000">
      <w:pPr>
        <w:numPr>
          <w:ilvl w:val="0"/>
          <w:numId w:val="3"/>
        </w:numPr>
        <w:spacing w:after="767" w:line="238" w:lineRule="auto"/>
        <w:ind w:right="497" w:hanging="360"/>
      </w:pPr>
      <w:r>
        <w:t xml:space="preserve">more about the specific conditions that may have been incorporated into the settlement agreements concerning the settling parties’ voting position on the Plan. </w:t>
      </w:r>
    </w:p>
    <w:p w14:paraId="2E9C3BF9" w14:textId="77777777" w:rsidR="00082D5A" w:rsidRDefault="00000000">
      <w:pPr>
        <w:spacing w:line="259" w:lineRule="auto"/>
        <w:ind w:left="1927" w:right="1200"/>
        <w:jc w:val="center"/>
      </w:pPr>
      <w:r>
        <w:t xml:space="preserve">- 28 - </w:t>
      </w:r>
    </w:p>
    <w:p w14:paraId="3AB5963A" w14:textId="77777777" w:rsidR="00082D5A" w:rsidRDefault="00000000">
      <w:pPr>
        <w:ind w:left="8" w:right="13" w:firstLine="720"/>
      </w:pPr>
      <w:r>
        <w:t xml:space="preserve">Given the dearth of meaningful information about the pre-petition settlements in the Disclosure Statement, there is simply no way for this Court or creditors to “reach an informed, independent judgment” on them.  The Ad Hoc Committee submits that the omitted details </w:t>
      </w:r>
      <w:proofErr w:type="gramStart"/>
      <w:r>
        <w:t>is</w:t>
      </w:r>
      <w:proofErr w:type="gramEnd"/>
      <w:r>
        <w:t xml:space="preserve"> likely to reveal a highly tainted process. </w:t>
      </w:r>
    </w:p>
    <w:p w14:paraId="6350EF95" w14:textId="77777777" w:rsidR="00082D5A" w:rsidRDefault="00000000">
      <w:pPr>
        <w:tabs>
          <w:tab w:val="center" w:pos="836"/>
          <w:tab w:val="center" w:pos="3876"/>
        </w:tabs>
        <w:spacing w:after="10" w:line="249" w:lineRule="auto"/>
        <w:ind w:left="0" w:firstLine="0"/>
      </w:pPr>
      <w:r>
        <w:rPr>
          <w:rFonts w:ascii="Calibri" w:eastAsia="Calibri" w:hAnsi="Calibri" w:cs="Calibri"/>
          <w:sz w:val="22"/>
        </w:rPr>
        <w:tab/>
      </w:r>
      <w:r>
        <w:rPr>
          <w:b/>
        </w:rPr>
        <w:t>C</w:t>
      </w:r>
      <w:proofErr w:type="gramStart"/>
      <w:r>
        <w:rPr>
          <w:b/>
        </w:rPr>
        <w:t>.</w:t>
      </w:r>
      <w:r>
        <w:rPr>
          <w:rFonts w:ascii="Arial" w:eastAsia="Arial" w:hAnsi="Arial" w:cs="Arial"/>
          <w:b/>
        </w:rPr>
        <w:t xml:space="preserve"> </w:t>
      </w:r>
      <w:r>
        <w:rPr>
          <w:rFonts w:ascii="Arial" w:eastAsia="Arial" w:hAnsi="Arial" w:cs="Arial"/>
          <w:b/>
        </w:rPr>
        <w:tab/>
      </w:r>
      <w:r>
        <w:rPr>
          <w:b/>
        </w:rPr>
        <w:t>Failure</w:t>
      </w:r>
      <w:proofErr w:type="gramEnd"/>
      <w:r>
        <w:rPr>
          <w:b/>
        </w:rPr>
        <w:t xml:space="preserve"> To Identify </w:t>
      </w:r>
      <w:proofErr w:type="gramStart"/>
      <w:r>
        <w:rPr>
          <w:b/>
        </w:rPr>
        <w:t>The</w:t>
      </w:r>
      <w:proofErr w:type="gramEnd"/>
      <w:r>
        <w:rPr>
          <w:b/>
        </w:rPr>
        <w:t xml:space="preserve"> Source </w:t>
      </w:r>
      <w:proofErr w:type="gramStart"/>
      <w:r>
        <w:rPr>
          <w:b/>
        </w:rPr>
        <w:t>Of</w:t>
      </w:r>
      <w:proofErr w:type="gramEnd"/>
      <w:r>
        <w:rPr>
          <w:b/>
        </w:rPr>
        <w:t xml:space="preserve"> Funding For </w:t>
      </w:r>
    </w:p>
    <w:p w14:paraId="33041008" w14:textId="77777777" w:rsidR="00082D5A" w:rsidRDefault="00000000">
      <w:pPr>
        <w:spacing w:after="10" w:line="249" w:lineRule="auto"/>
        <w:ind w:left="1435" w:right="2736"/>
      </w:pPr>
      <w:r>
        <w:rPr>
          <w:b/>
        </w:rPr>
        <w:t xml:space="preserve">The Pre-Petition Settlements, Or Otherwise </w:t>
      </w:r>
    </w:p>
    <w:p w14:paraId="3DE7C1C6" w14:textId="77777777" w:rsidR="00082D5A" w:rsidRDefault="00000000">
      <w:pPr>
        <w:spacing w:after="10" w:line="249" w:lineRule="auto"/>
        <w:ind w:left="1435" w:right="2736"/>
      </w:pPr>
      <w:r>
        <w:rPr>
          <w:b/>
        </w:rPr>
        <w:t xml:space="preserve">Adequately Disclose </w:t>
      </w:r>
      <w:proofErr w:type="gramStart"/>
      <w:r>
        <w:rPr>
          <w:b/>
        </w:rPr>
        <w:t>The</w:t>
      </w:r>
      <w:proofErr w:type="gramEnd"/>
      <w:r>
        <w:rPr>
          <w:b/>
        </w:rPr>
        <w:t xml:space="preserve"> Details </w:t>
      </w:r>
      <w:proofErr w:type="gramStart"/>
      <w:r>
        <w:rPr>
          <w:b/>
        </w:rPr>
        <w:t>Of</w:t>
      </w:r>
      <w:proofErr w:type="gramEnd"/>
      <w:r>
        <w:rPr>
          <w:b/>
        </w:rPr>
        <w:t xml:space="preserve"> Such </w:t>
      </w:r>
    </w:p>
    <w:p w14:paraId="7F018B9D" w14:textId="77777777" w:rsidR="00082D5A" w:rsidRDefault="00000000">
      <w:pPr>
        <w:spacing w:after="10" w:line="249" w:lineRule="auto"/>
        <w:ind w:left="1435" w:right="2736"/>
      </w:pPr>
      <w:r>
        <w:rPr>
          <w:b/>
        </w:rPr>
        <w:t xml:space="preserve">Settlements, Renders Claimants Unable To </w:t>
      </w:r>
    </w:p>
    <w:p w14:paraId="7955F932" w14:textId="77777777" w:rsidR="00082D5A" w:rsidRDefault="00000000">
      <w:pPr>
        <w:spacing w:after="10" w:line="249" w:lineRule="auto"/>
        <w:ind w:left="1435" w:right="2736"/>
      </w:pPr>
      <w:r>
        <w:rPr>
          <w:b/>
        </w:rPr>
        <w:t xml:space="preserve">Assess The Extent </w:t>
      </w:r>
      <w:proofErr w:type="gramStart"/>
      <w:r>
        <w:rPr>
          <w:b/>
        </w:rPr>
        <w:t>To</w:t>
      </w:r>
      <w:proofErr w:type="gramEnd"/>
      <w:r>
        <w:rPr>
          <w:b/>
        </w:rPr>
        <w:t xml:space="preserve"> Which Such Payments </w:t>
      </w:r>
    </w:p>
    <w:p w14:paraId="7245FA68" w14:textId="77777777" w:rsidR="00082D5A" w:rsidRDefault="00000000">
      <w:pPr>
        <w:spacing w:after="224" w:line="249" w:lineRule="auto"/>
        <w:ind w:left="1435" w:right="2736"/>
      </w:pPr>
      <w:r>
        <w:rPr>
          <w:b/>
        </w:rPr>
        <w:t xml:space="preserve">May Impact Equality </w:t>
      </w:r>
      <w:proofErr w:type="gramStart"/>
      <w:r>
        <w:rPr>
          <w:b/>
        </w:rPr>
        <w:t>Of</w:t>
      </w:r>
      <w:proofErr w:type="gramEnd"/>
      <w:r>
        <w:rPr>
          <w:b/>
        </w:rPr>
        <w:t xml:space="preserve"> Distribution </w:t>
      </w:r>
    </w:p>
    <w:p w14:paraId="01A462BE" w14:textId="77777777" w:rsidR="00082D5A" w:rsidRDefault="00000000">
      <w:pPr>
        <w:ind w:left="8" w:right="13" w:firstLine="720"/>
      </w:pPr>
      <w:r>
        <w:t xml:space="preserve">As with the failure to disclose sufficient details on the type of claims and claimants covered by the pre-petition settlements, there is no real explanation as to the source of funding being tapped by Pfizer to satisfy its obligations under such agreements or the manner in which such payment source may have been secured.  Such information is critical to an assessment of whether any settlement monies paid by Pfizer for the ultimate benefit of the Settling Plaintiffs (and which payments were made, in large part, to effectuate Debtor’s proposed Plan) are subject </w:t>
      </w:r>
      <w:r>
        <w:lastRenderedPageBreak/>
        <w:t xml:space="preserve">to avoidance under Section 547(b) of the Bankruptcy Code.  This is precisely the point made by the Third Circuit in </w:t>
      </w:r>
      <w:r>
        <w:rPr>
          <w:u w:val="single" w:color="000000"/>
        </w:rPr>
        <w:t>Combustion Engineering</w:t>
      </w:r>
      <w:r>
        <w:t xml:space="preserve">, when it discussed the “central policy” of the </w:t>
      </w:r>
    </w:p>
    <w:p w14:paraId="1A6CC959" w14:textId="77777777" w:rsidR="00082D5A" w:rsidRDefault="00000000">
      <w:pPr>
        <w:spacing w:after="252" w:line="259" w:lineRule="auto"/>
        <w:ind w:left="18" w:right="13"/>
      </w:pPr>
      <w:r>
        <w:t xml:space="preserve">Bankruptcy Code embodying “equality of distribution among creditors.”  </w:t>
      </w:r>
      <w:proofErr w:type="gramStart"/>
      <w:r>
        <w:rPr>
          <w:u w:val="single" w:color="000000"/>
        </w:rPr>
        <w:t>See</w:t>
      </w:r>
      <w:proofErr w:type="gramEnd"/>
      <w:r>
        <w:t xml:space="preserve"> </w:t>
      </w:r>
      <w:r>
        <w:rPr>
          <w:u w:val="single" w:color="000000"/>
        </w:rPr>
        <w:t>generally</w:t>
      </w:r>
      <w:r>
        <w:t xml:space="preserve"> </w:t>
      </w:r>
    </w:p>
    <w:p w14:paraId="5A752942" w14:textId="77777777" w:rsidR="00082D5A" w:rsidRDefault="00000000">
      <w:pPr>
        <w:spacing w:after="252" w:line="259" w:lineRule="auto"/>
        <w:ind w:left="18" w:right="13"/>
      </w:pPr>
      <w:r>
        <w:rPr>
          <w:u w:val="single" w:color="000000"/>
        </w:rPr>
        <w:t>Combustion Engineering</w:t>
      </w:r>
      <w:r>
        <w:t xml:space="preserve">, 391 F.3d at 239-42 (quoting </w:t>
      </w:r>
      <w:r>
        <w:rPr>
          <w:u w:val="single" w:color="000000"/>
        </w:rPr>
        <w:t>Bieger v. I.R.S.</w:t>
      </w:r>
      <w:r>
        <w:t xml:space="preserve">, 496 U.S. 53, 58 (1990)). </w:t>
      </w:r>
    </w:p>
    <w:p w14:paraId="5BBCAAB8" w14:textId="77777777" w:rsidR="00082D5A" w:rsidRDefault="00000000">
      <w:pPr>
        <w:ind w:left="8" w:right="13" w:firstLine="720"/>
      </w:pPr>
      <w:r>
        <w:t xml:space="preserve">Among the provisions of the Bankruptcy Code cited by the Third Circuit was Section 547, which provides for the avoidance of transfers made to or for the benefit of a creditor in the days preceding a bankruptcy filing.  </w:t>
      </w:r>
      <w:r>
        <w:rPr>
          <w:u w:val="single" w:color="000000"/>
        </w:rPr>
        <w:t>Combustion Engineering</w:t>
      </w:r>
      <w:r>
        <w:t xml:space="preserve">, 391 F.3d at 239-40.  There is simply insufficient disclosure about the </w:t>
      </w:r>
      <w:proofErr w:type="gramStart"/>
      <w:r>
        <w:t>manner in which</w:t>
      </w:r>
      <w:proofErr w:type="gramEnd"/>
      <w:r>
        <w:t xml:space="preserve"> (and the source from which) the prepetition settlement agreements are to be funded and distributed and whether the Settling </w:t>
      </w:r>
    </w:p>
    <w:p w14:paraId="6FEE3FFD" w14:textId="77777777" w:rsidR="00082D5A" w:rsidRDefault="00000000">
      <w:pPr>
        <w:spacing w:after="445" w:line="259" w:lineRule="auto"/>
        <w:ind w:left="18" w:right="13"/>
      </w:pPr>
      <w:r>
        <w:t xml:space="preserve">Plaintiffs effectively obtained any rights to the settlement proceeds prior to the filing of the </w:t>
      </w:r>
    </w:p>
    <w:p w14:paraId="2219C360" w14:textId="77777777" w:rsidR="00082D5A" w:rsidRDefault="00000000">
      <w:pPr>
        <w:spacing w:line="259" w:lineRule="auto"/>
        <w:ind w:left="1927" w:right="1200"/>
        <w:jc w:val="center"/>
      </w:pPr>
      <w:r>
        <w:t xml:space="preserve">- 29 - </w:t>
      </w:r>
    </w:p>
    <w:p w14:paraId="5168F418" w14:textId="77777777" w:rsidR="00082D5A" w:rsidRDefault="00000000">
      <w:pPr>
        <w:spacing w:after="50"/>
        <w:ind w:left="18" w:right="13"/>
      </w:pPr>
      <w:r>
        <w:t>petition (i.e., whether any transfers were made for their benefit within the meaning of Section 547(b)).</w:t>
      </w:r>
      <w:r>
        <w:rPr>
          <w:vertAlign w:val="superscript"/>
        </w:rPr>
        <w:footnoteReference w:id="20"/>
      </w:r>
      <w:r>
        <w:t xml:space="preserve">   </w:t>
      </w:r>
    </w:p>
    <w:p w14:paraId="42691BBA" w14:textId="77777777" w:rsidR="00082D5A" w:rsidRDefault="00000000">
      <w:pPr>
        <w:ind w:left="8" w:right="13" w:firstLine="720"/>
      </w:pPr>
      <w:r>
        <w:t xml:space="preserve">Although the pre-petition settlement/proposed trust scheme in this case differs somewhat from that which was present in </w:t>
      </w:r>
      <w:r>
        <w:rPr>
          <w:u w:val="single" w:color="000000"/>
        </w:rPr>
        <w:t>Combustion Engineering</w:t>
      </w:r>
      <w:r>
        <w:t xml:space="preserve">, the concerns of the Third Circuit ring true here as well.  Where, as here, the record is insufficient to conclude that no discriminatory treatment of claimants is occurring, a proposed plan cannot be approved.  </w:t>
      </w:r>
      <w:r>
        <w:rPr>
          <w:u w:val="single" w:color="000000"/>
        </w:rPr>
        <w:t>Combustion</w:t>
      </w:r>
      <w:r>
        <w:t xml:space="preserve"> </w:t>
      </w:r>
      <w:r>
        <w:rPr>
          <w:u w:val="single" w:color="000000"/>
        </w:rPr>
        <w:t>Engineering</w:t>
      </w:r>
      <w:r>
        <w:t xml:space="preserve">, 391 F.3d at 239.  Moreover, the failure to disclose potential preference actions against the Settling Plaintiffs is sufficient to defeat approval of the Amended Disclosure </w:t>
      </w:r>
    </w:p>
    <w:p w14:paraId="555994B2" w14:textId="77777777" w:rsidR="00082D5A" w:rsidRDefault="00000000">
      <w:pPr>
        <w:ind w:left="18" w:right="13"/>
      </w:pPr>
      <w:r>
        <w:t xml:space="preserve">Statement.  </w:t>
      </w:r>
      <w:r>
        <w:rPr>
          <w:u w:val="single" w:color="000000"/>
        </w:rPr>
        <w:t>See</w:t>
      </w:r>
      <w:r>
        <w:t xml:space="preserve">, </w:t>
      </w:r>
      <w:r>
        <w:rPr>
          <w:u w:val="single" w:color="000000"/>
        </w:rPr>
        <w:t>e.g.</w:t>
      </w:r>
      <w:r>
        <w:t xml:space="preserve">, </w:t>
      </w:r>
      <w:r>
        <w:rPr>
          <w:u w:val="single" w:color="000000"/>
        </w:rPr>
        <w:t xml:space="preserve">Construction </w:t>
      </w:r>
      <w:proofErr w:type="spellStart"/>
      <w:r>
        <w:rPr>
          <w:u w:val="single" w:color="000000"/>
        </w:rPr>
        <w:t>Mgmt</w:t>
      </w:r>
      <w:proofErr w:type="spellEnd"/>
      <w:r>
        <w:rPr>
          <w:u w:val="single" w:color="000000"/>
        </w:rPr>
        <w:t xml:space="preserve"> </w:t>
      </w:r>
      <w:proofErr w:type="spellStart"/>
      <w:r>
        <w:rPr>
          <w:u w:val="single" w:color="000000"/>
        </w:rPr>
        <w:t>Servcs</w:t>
      </w:r>
      <w:proofErr w:type="spellEnd"/>
      <w:r>
        <w:rPr>
          <w:u w:val="single" w:color="000000"/>
        </w:rPr>
        <w:t>., v. Manufacturers Hanover Trust Co. (In re</w:t>
      </w:r>
      <w:r>
        <w:t xml:space="preserve"> </w:t>
      </w:r>
      <w:r>
        <w:rPr>
          <w:u w:val="single" w:color="000000"/>
        </w:rPr>
        <w:t>Coastal Group)</w:t>
      </w:r>
      <w:r>
        <w:t xml:space="preserve">, 13 F.3d 81, 86 (3d Cir. 1994) (‘[A] debtor-in-possession has a duty to disclose </w:t>
      </w:r>
      <w:r>
        <w:lastRenderedPageBreak/>
        <w:t xml:space="preserve">adversary proceedings against creditors before they vote on a plan.”); </w:t>
      </w:r>
      <w:r>
        <w:rPr>
          <w:u w:val="single" w:color="000000"/>
        </w:rPr>
        <w:t>see</w:t>
      </w:r>
      <w:r>
        <w:t xml:space="preserve"> </w:t>
      </w:r>
      <w:r>
        <w:rPr>
          <w:u w:val="single" w:color="000000"/>
        </w:rPr>
        <w:t>also</w:t>
      </w:r>
      <w:r>
        <w:t xml:space="preserve"> </w:t>
      </w:r>
      <w:r>
        <w:rPr>
          <w:u w:val="single" w:color="000000"/>
        </w:rPr>
        <w:t>Rosenshein v.</w:t>
      </w:r>
      <w:r>
        <w:t xml:space="preserve"> </w:t>
      </w:r>
      <w:r>
        <w:rPr>
          <w:u w:val="single" w:color="000000"/>
        </w:rPr>
        <w:t>Kleban</w:t>
      </w:r>
      <w:r>
        <w:t xml:space="preserve">, 918 F. Supp. 98, 104 (S.D.N.Y. 1996) (noting that integrity of the bankruptcy system depends upon a debtor’s full and honest disclosure of all potential claims against assets).  </w:t>
      </w:r>
    </w:p>
    <w:p w14:paraId="68AA609B" w14:textId="77777777" w:rsidR="00082D5A" w:rsidRDefault="00000000">
      <w:pPr>
        <w:tabs>
          <w:tab w:val="center" w:pos="836"/>
          <w:tab w:val="center" w:pos="3879"/>
        </w:tabs>
        <w:spacing w:after="10" w:line="249" w:lineRule="auto"/>
        <w:ind w:left="0" w:firstLine="0"/>
      </w:pPr>
      <w:r>
        <w:rPr>
          <w:rFonts w:ascii="Calibri" w:eastAsia="Calibri" w:hAnsi="Calibri" w:cs="Calibri"/>
          <w:sz w:val="22"/>
        </w:rPr>
        <w:tab/>
      </w:r>
      <w:r>
        <w:rPr>
          <w:b/>
        </w:rPr>
        <w:t>D</w:t>
      </w:r>
      <w:proofErr w:type="gramStart"/>
      <w:r>
        <w:rPr>
          <w:b/>
        </w:rPr>
        <w:t>.</w:t>
      </w:r>
      <w:r>
        <w:rPr>
          <w:rFonts w:ascii="Arial" w:eastAsia="Arial" w:hAnsi="Arial" w:cs="Arial"/>
          <w:b/>
        </w:rPr>
        <w:t xml:space="preserve"> </w:t>
      </w:r>
      <w:r>
        <w:rPr>
          <w:rFonts w:ascii="Arial" w:eastAsia="Arial" w:hAnsi="Arial" w:cs="Arial"/>
          <w:b/>
        </w:rPr>
        <w:tab/>
      </w:r>
      <w:r>
        <w:rPr>
          <w:b/>
        </w:rPr>
        <w:t>Failure</w:t>
      </w:r>
      <w:proofErr w:type="gramEnd"/>
      <w:r>
        <w:rPr>
          <w:b/>
        </w:rPr>
        <w:t xml:space="preserve"> To Make Clear That Non-Debtor Pfizer </w:t>
      </w:r>
    </w:p>
    <w:p w14:paraId="6B490262" w14:textId="77777777" w:rsidR="00082D5A" w:rsidRDefault="00000000">
      <w:pPr>
        <w:spacing w:after="227" w:line="249" w:lineRule="auto"/>
        <w:ind w:left="1435" w:right="2736"/>
      </w:pPr>
      <w:r>
        <w:rPr>
          <w:b/>
        </w:rPr>
        <w:t xml:space="preserve">Remains Liable </w:t>
      </w:r>
      <w:proofErr w:type="gramStart"/>
      <w:r>
        <w:rPr>
          <w:b/>
        </w:rPr>
        <w:t>For</w:t>
      </w:r>
      <w:proofErr w:type="gramEnd"/>
      <w:r>
        <w:rPr>
          <w:b/>
        </w:rPr>
        <w:t xml:space="preserve"> Its Own, Direct Asbestos Liability </w:t>
      </w:r>
    </w:p>
    <w:p w14:paraId="6AED4EE7" w14:textId="77777777" w:rsidR="00082D5A" w:rsidRDefault="00000000">
      <w:pPr>
        <w:ind w:left="8" w:right="13" w:firstLine="720"/>
      </w:pPr>
      <w:r>
        <w:t xml:space="preserve">Regardless of the Court’s ultimate determination on the appropriateness of a 524(g) injunction, it is clear that Quigley’s non-debtor parent company, Pfizer, is not entitled to the protections of a 524(g) injunction with respect to direct claims against it, for products that it, and not Quigley, produced, manufactured, marketed or sold.  The Third Circuit recently made this point crystal clear.  </w:t>
      </w:r>
      <w:r>
        <w:rPr>
          <w:u w:val="single" w:color="000000"/>
        </w:rPr>
        <w:t>See</w:t>
      </w:r>
      <w:r>
        <w:t xml:space="preserve"> </w:t>
      </w:r>
      <w:r>
        <w:rPr>
          <w:u w:val="single" w:color="000000"/>
        </w:rPr>
        <w:t>generally</w:t>
      </w:r>
      <w:r>
        <w:t xml:space="preserve">, </w:t>
      </w:r>
      <w:r>
        <w:rPr>
          <w:u w:val="single" w:color="000000"/>
        </w:rPr>
        <w:t>Combustion Engineering</w:t>
      </w:r>
      <w:r>
        <w:t xml:space="preserve">, 391 F.3d at 224-37. </w:t>
      </w:r>
    </w:p>
    <w:p w14:paraId="2CF8E3F0" w14:textId="77777777" w:rsidR="00082D5A" w:rsidRDefault="00000000">
      <w:pPr>
        <w:ind w:left="8" w:right="13" w:firstLine="720"/>
      </w:pPr>
      <w:r>
        <w:t xml:space="preserve">In </w:t>
      </w:r>
      <w:r>
        <w:rPr>
          <w:u w:val="single" w:color="000000"/>
        </w:rPr>
        <w:t>Combustion Engineering</w:t>
      </w:r>
      <w:r>
        <w:t xml:space="preserve">, the Third Circuit analyzed, and rejected, the district court’s decision to use Section 105(a) to extend a channeling injunction to non-derivative claims against non-debtors.   The Third Circuit began by noting that the district court was correct in finding that Section 524(g) itself cannot be used to issue a channeling injunction over such claims.  </w:t>
      </w:r>
      <w:r>
        <w:rPr>
          <w:u w:val="single" w:color="000000"/>
        </w:rPr>
        <w:t>Id</w:t>
      </w:r>
      <w:r>
        <w:t xml:space="preserve">. at 233.  The Third Circuit went on to note that Section 524(g) expressly limits the situations where a channeling injunction can be used to enjoin actions against non-debtors to only those situations where the non-debtor has derivative liability for the claims against the debtors.  </w:t>
      </w:r>
      <w:r>
        <w:rPr>
          <w:u w:val="single" w:color="000000"/>
        </w:rPr>
        <w:t>Id</w:t>
      </w:r>
      <w:r>
        <w:t xml:space="preserve">. at 234.  “As the plain language of the statute makes clear, § 524(g)(4)(A) does not permit the extension of a channeling injunction to include … non-derivative third-party claims.”  </w:t>
      </w:r>
      <w:r>
        <w:rPr>
          <w:u w:val="single" w:color="000000"/>
        </w:rPr>
        <w:t>Id</w:t>
      </w:r>
      <w:r>
        <w:t xml:space="preserve">. at 235.  As to any attempt to use Section 105(a) to afford such relief, the Third Circuit reiterated the long-standing rule that “[t]he general grant of equitable power contained in § 105(a) cannot trump specific provisions of the Bankruptcy </w:t>
      </w:r>
      <w:proofErr w:type="gramStart"/>
      <w:r>
        <w:t>Code, and</w:t>
      </w:r>
      <w:proofErr w:type="gramEnd"/>
      <w:r>
        <w:t xml:space="preserve"> must be exercised within the parameters of the Code itself.”  </w:t>
      </w:r>
      <w:r>
        <w:rPr>
          <w:u w:val="single" w:color="000000"/>
        </w:rPr>
        <w:t>Id</w:t>
      </w:r>
      <w:r>
        <w:t xml:space="preserve">. at 236 (citing </w:t>
      </w:r>
      <w:r>
        <w:rPr>
          <w:u w:val="single" w:color="000000"/>
        </w:rPr>
        <w:t>Norwest Bank Worthington v. Ahlers</w:t>
      </w:r>
      <w:r>
        <w:t xml:space="preserve">, 485 U.S. 197, 206 (1988)). </w:t>
      </w:r>
    </w:p>
    <w:p w14:paraId="634D36F1" w14:textId="77777777" w:rsidR="00082D5A" w:rsidRDefault="00000000">
      <w:pPr>
        <w:spacing w:after="0" w:line="238" w:lineRule="auto"/>
        <w:ind w:left="1435" w:right="1427"/>
        <w:jc w:val="both"/>
      </w:pPr>
      <w:r>
        <w:t xml:space="preserve">Although the Bankruptcy Court has </w:t>
      </w:r>
      <w:proofErr w:type="gramStart"/>
      <w:r>
        <w:t>broad</w:t>
      </w:r>
      <w:proofErr w:type="gramEnd"/>
      <w:r>
        <w:t xml:space="preserve"> equitable authority to craft remedies necessary to facilitate the reorganization of a debtor, this </w:t>
      </w:r>
      <w:r>
        <w:lastRenderedPageBreak/>
        <w:t xml:space="preserve">power is cabined by the Code.  </w:t>
      </w:r>
      <w:r>
        <w:rPr>
          <w:u w:val="single" w:color="000000"/>
        </w:rPr>
        <w:t>Ahlers</w:t>
      </w:r>
      <w:r>
        <w:t xml:space="preserve">, 485 U.S. at 206, 108 </w:t>
      </w:r>
      <w:proofErr w:type="spellStart"/>
      <w:r>
        <w:t>S.Ct</w:t>
      </w:r>
      <w:proofErr w:type="spellEnd"/>
      <w:r>
        <w:t xml:space="preserve">. 963.  As both the plain language of the statute and its legislative history make clear, § 524(g) provides no specific authority to extend a channeling injunction to include third-party actions against non-debtors where the liability alleged is not derivative of the debtor.  Because § 524(g) expressly contemplates the inclusion of third parties’ liability within the scope of a channeling injunction – and sets out the specific requirements that must be met </w:t>
      </w:r>
      <w:proofErr w:type="gramStart"/>
      <w:r>
        <w:t>in order to</w:t>
      </w:r>
      <w:proofErr w:type="gramEnd"/>
      <w:r>
        <w:t xml:space="preserve"> permit inclusion – the general powers of § 105(a) cannot be used to achieve a result not contemplated by the more specific provisions of § 524(g). </w:t>
      </w:r>
    </w:p>
    <w:p w14:paraId="2441A3B4" w14:textId="77777777" w:rsidR="00082D5A" w:rsidRDefault="00000000">
      <w:pPr>
        <w:spacing w:after="0" w:line="259" w:lineRule="auto"/>
        <w:ind w:left="1440" w:firstLine="0"/>
      </w:pPr>
      <w:r>
        <w:t xml:space="preserve"> </w:t>
      </w:r>
    </w:p>
    <w:p w14:paraId="0531F64D" w14:textId="77777777" w:rsidR="00082D5A" w:rsidRDefault="00000000">
      <w:pPr>
        <w:spacing w:after="428"/>
        <w:ind w:left="18" w:right="13"/>
      </w:pPr>
      <w:r>
        <w:rPr>
          <w:u w:val="single" w:color="000000"/>
        </w:rPr>
        <w:t>Combustion Engineering</w:t>
      </w:r>
      <w:r>
        <w:t xml:space="preserve">, 391 F.3d at 236-27.  The Third Circuit concluded that “§ 105(a) cannot be used to achieve a result not contemplated by the more specific provisions of § 524(g), which is the means Congress prescribed for channeling the asbestos liability of a non-debtor.”  </w:t>
      </w:r>
    </w:p>
    <w:p w14:paraId="68C2AD81" w14:textId="77777777" w:rsidR="00082D5A" w:rsidRDefault="00000000">
      <w:pPr>
        <w:spacing w:line="259" w:lineRule="auto"/>
        <w:ind w:left="1927" w:right="1200"/>
        <w:jc w:val="center"/>
      </w:pPr>
      <w:r>
        <w:t xml:space="preserve">- 31 - </w:t>
      </w:r>
    </w:p>
    <w:p w14:paraId="0F871D49" w14:textId="77777777" w:rsidR="00082D5A" w:rsidRDefault="00000000">
      <w:pPr>
        <w:spacing w:after="0" w:line="476" w:lineRule="auto"/>
        <w:ind w:right="224"/>
        <w:jc w:val="both"/>
      </w:pPr>
      <w:r>
        <w:rPr>
          <w:u w:val="single" w:color="000000"/>
        </w:rPr>
        <w:t>Id</w:t>
      </w:r>
      <w:r>
        <w:t xml:space="preserve">. at 237 n.50.  Such a result would allow non-debtors to cleanse themselves of direct asbestos liability without enduring the rigors of bankruptcy.  </w:t>
      </w:r>
      <w:r>
        <w:rPr>
          <w:u w:val="single" w:color="000000"/>
        </w:rPr>
        <w:t>Id</w:t>
      </w:r>
      <w:r>
        <w:t>.  “[E]</w:t>
      </w:r>
      <w:proofErr w:type="spellStart"/>
      <w:r>
        <w:t>quity</w:t>
      </w:r>
      <w:proofErr w:type="spellEnd"/>
      <w:r>
        <w:t xml:space="preserve"> does not permit non-debtor affiliated entities to secure the benefits of Chapter 11 in contravention of the plain language of § 524(g).”  </w:t>
      </w:r>
      <w:r>
        <w:rPr>
          <w:u w:val="single" w:color="000000"/>
        </w:rPr>
        <w:t>Id</w:t>
      </w:r>
      <w:r>
        <w:t>.</w:t>
      </w:r>
      <w:r>
        <w:rPr>
          <w:b/>
        </w:rPr>
        <w:t xml:space="preserve"> </w:t>
      </w:r>
    </w:p>
    <w:p w14:paraId="4D7B30D1" w14:textId="77777777" w:rsidR="00082D5A" w:rsidRDefault="00000000">
      <w:pPr>
        <w:ind w:left="8" w:right="13" w:firstLine="720"/>
      </w:pPr>
      <w:r>
        <w:t xml:space="preserve">However, nowhere in the Amended Disclosure Statement is it clearly spelled out that Pfizer will, in fact, remain subject to claims arising from its own manufacture, production, marketing, sale or use of asbestos products such as </w:t>
      </w:r>
      <w:proofErr w:type="spellStart"/>
      <w:r>
        <w:t>Kilnoise</w:t>
      </w:r>
      <w:proofErr w:type="spellEnd"/>
      <w:r>
        <w:t xml:space="preserve">.  Indeed, the convoluted </w:t>
      </w:r>
      <w:proofErr w:type="gramStart"/>
      <w:r>
        <w:t>manner in which</w:t>
      </w:r>
      <w:proofErr w:type="gramEnd"/>
      <w:r>
        <w:t xml:space="preserve"> Pfizer’s own, direct asbestos exposure is discussed raises the specter of an attempt to muddy the waters sufficiently in the Disclosure Statement to later argue that Pfizer is no longer responsible for its own, direct wrongdoing.  The lack of clarity on this point renders the </w:t>
      </w:r>
    </w:p>
    <w:p w14:paraId="0A0C9DB7" w14:textId="77777777" w:rsidR="00082D5A" w:rsidRDefault="00000000">
      <w:pPr>
        <w:spacing w:after="252" w:line="259" w:lineRule="auto"/>
        <w:ind w:left="18" w:right="13"/>
      </w:pPr>
      <w:r>
        <w:t xml:space="preserve">Amended Disclosure Statement </w:t>
      </w:r>
      <w:proofErr w:type="gramStart"/>
      <w:r>
        <w:t>insufficiently</w:t>
      </w:r>
      <w:proofErr w:type="gramEnd"/>
      <w:r>
        <w:t xml:space="preserve"> vague and uncertain.   </w:t>
      </w:r>
    </w:p>
    <w:p w14:paraId="210B3C84" w14:textId="77777777" w:rsidR="00082D5A" w:rsidRDefault="00000000">
      <w:pPr>
        <w:spacing w:after="5396"/>
        <w:ind w:left="8" w:right="13" w:firstLine="720"/>
      </w:pPr>
      <w:r>
        <w:t xml:space="preserve">There is no legal basis for excluding claims against Pfizer for its own, direct asbestos liability, from the ordinary tort system.  The Amended Disclosure Statement and Plan should acknowledge this </w:t>
      </w:r>
      <w:proofErr w:type="gramStart"/>
      <w:r>
        <w:t>fact, and</w:t>
      </w:r>
      <w:proofErr w:type="gramEnd"/>
      <w:r>
        <w:t xml:space="preserve"> expressly confirm it.  If not, it simply cannot be approved. </w:t>
      </w:r>
    </w:p>
    <w:p w14:paraId="471D4EEC" w14:textId="77777777" w:rsidR="00082D5A" w:rsidRDefault="00000000">
      <w:pPr>
        <w:spacing w:line="259" w:lineRule="auto"/>
        <w:ind w:left="1927" w:right="1200"/>
        <w:jc w:val="center"/>
      </w:pPr>
      <w:r>
        <w:lastRenderedPageBreak/>
        <w:t xml:space="preserve">- 32 - </w:t>
      </w:r>
    </w:p>
    <w:p w14:paraId="4A698BB3" w14:textId="77777777" w:rsidR="00082D5A" w:rsidRDefault="00000000">
      <w:pPr>
        <w:pStyle w:val="Heading1"/>
        <w:numPr>
          <w:ilvl w:val="0"/>
          <w:numId w:val="0"/>
        </w:numPr>
        <w:ind w:left="727" w:right="0"/>
      </w:pPr>
      <w:r>
        <w:t>CONCLUSION</w:t>
      </w:r>
      <w:r>
        <w:rPr>
          <w:u w:val="none"/>
        </w:rPr>
        <w:t xml:space="preserve"> </w:t>
      </w:r>
    </w:p>
    <w:p w14:paraId="4E21354F" w14:textId="77777777" w:rsidR="00082D5A" w:rsidRDefault="00000000">
      <w:pPr>
        <w:spacing w:after="0" w:line="476" w:lineRule="auto"/>
        <w:ind w:left="0" w:right="1" w:firstLine="720"/>
        <w:jc w:val="both"/>
      </w:pPr>
      <w:r>
        <w:t xml:space="preserve">WHEREFORE, for all the foregoing reasons, the Ad Hoc Committee respectfully requests that this Court deny approval of the proposed Amended Disclosure </w:t>
      </w:r>
      <w:proofErr w:type="gramStart"/>
      <w:r>
        <w:t>Statement, and</w:t>
      </w:r>
      <w:proofErr w:type="gramEnd"/>
      <w:r>
        <w:t xml:space="preserve"> grant such other and further relief as the Court deems just and proper. </w:t>
      </w:r>
    </w:p>
    <w:p w14:paraId="6B06E506" w14:textId="77777777" w:rsidR="00082D5A" w:rsidRDefault="00000000">
      <w:pPr>
        <w:spacing w:line="244" w:lineRule="auto"/>
        <w:ind w:left="728" w:right="5871" w:hanging="720"/>
      </w:pPr>
      <w:r>
        <w:t>Dated</w:t>
      </w:r>
      <w:proofErr w:type="gramStart"/>
      <w:r>
        <w:t xml:space="preserve">: </w:t>
      </w:r>
      <w:r>
        <w:tab/>
        <w:t>New</w:t>
      </w:r>
      <w:proofErr w:type="gramEnd"/>
      <w:r>
        <w:t xml:space="preserve"> York, </w:t>
      </w:r>
      <w:proofErr w:type="gramStart"/>
      <w:r>
        <w:t>NY  September</w:t>
      </w:r>
      <w:proofErr w:type="gramEnd"/>
      <w:r>
        <w:t xml:space="preserve"> 15, 2005 </w:t>
      </w:r>
    </w:p>
    <w:p w14:paraId="028D0268" w14:textId="77777777" w:rsidR="00082D5A" w:rsidRDefault="00000000">
      <w:pPr>
        <w:spacing w:after="0" w:line="259" w:lineRule="auto"/>
        <w:ind w:left="720" w:firstLine="0"/>
      </w:pPr>
      <w:r>
        <w:t xml:space="preserve"> </w:t>
      </w:r>
    </w:p>
    <w:p w14:paraId="76A2008E" w14:textId="77777777" w:rsidR="00082D5A" w:rsidRDefault="00000000">
      <w:pPr>
        <w:tabs>
          <w:tab w:val="center" w:pos="720"/>
          <w:tab w:val="center" w:pos="5441"/>
        </w:tabs>
        <w:spacing w:line="259" w:lineRule="auto"/>
        <w:ind w:left="0" w:firstLine="0"/>
      </w:pPr>
      <w:r>
        <w:rPr>
          <w:rFonts w:ascii="Calibri" w:eastAsia="Calibri" w:hAnsi="Calibri" w:cs="Calibri"/>
          <w:sz w:val="22"/>
        </w:rPr>
        <w:tab/>
      </w:r>
      <w:r>
        <w:t xml:space="preserve">  </w:t>
      </w:r>
      <w:r>
        <w:tab/>
        <w:t xml:space="preserve">Respectfully submitted, </w:t>
      </w:r>
    </w:p>
    <w:p w14:paraId="3FFC514F" w14:textId="77777777" w:rsidR="00082D5A" w:rsidRDefault="00000000">
      <w:pPr>
        <w:spacing w:after="0" w:line="259" w:lineRule="auto"/>
        <w:ind w:left="720" w:firstLine="0"/>
      </w:pPr>
      <w:r>
        <w:t xml:space="preserve"> </w:t>
      </w:r>
    </w:p>
    <w:p w14:paraId="4DC808B5" w14:textId="77777777" w:rsidR="00082D5A" w:rsidRDefault="00000000">
      <w:pPr>
        <w:tabs>
          <w:tab w:val="center" w:pos="720"/>
          <w:tab w:val="right" w:pos="9363"/>
        </w:tabs>
        <w:spacing w:after="10" w:line="249" w:lineRule="auto"/>
        <w:ind w:left="0" w:firstLine="0"/>
      </w:pPr>
      <w:r>
        <w:rPr>
          <w:rFonts w:ascii="Calibri" w:eastAsia="Calibri" w:hAnsi="Calibri" w:cs="Calibri"/>
          <w:sz w:val="22"/>
        </w:rPr>
        <w:tab/>
      </w:r>
      <w:r>
        <w:t xml:space="preserve">  </w:t>
      </w:r>
      <w:r>
        <w:tab/>
      </w:r>
      <w:r>
        <w:rPr>
          <w:b/>
        </w:rPr>
        <w:t xml:space="preserve">BROWN RUDNICK BERLACK ISRAELS LLP </w:t>
      </w:r>
    </w:p>
    <w:p w14:paraId="0E02ECC3" w14:textId="77777777" w:rsidR="00082D5A" w:rsidRDefault="00000000">
      <w:pPr>
        <w:spacing w:after="0" w:line="259" w:lineRule="auto"/>
        <w:ind w:left="720" w:firstLine="0"/>
      </w:pPr>
      <w:r>
        <w:t xml:space="preserve"> </w:t>
      </w:r>
    </w:p>
    <w:p w14:paraId="2141A2A0" w14:textId="77777777" w:rsidR="00082D5A" w:rsidRDefault="00000000">
      <w:pPr>
        <w:spacing w:after="0" w:line="259" w:lineRule="auto"/>
        <w:ind w:left="720" w:firstLine="0"/>
      </w:pPr>
      <w:r>
        <w:t xml:space="preserve"> </w:t>
      </w:r>
    </w:p>
    <w:p w14:paraId="6E0886ED" w14:textId="77777777" w:rsidR="00082D5A" w:rsidRDefault="00000000">
      <w:pPr>
        <w:tabs>
          <w:tab w:val="center" w:pos="5420"/>
          <w:tab w:val="center" w:pos="7201"/>
          <w:tab w:val="center" w:pos="7921"/>
          <w:tab w:val="center" w:pos="8641"/>
          <w:tab w:val="center" w:pos="9360"/>
        </w:tabs>
        <w:spacing w:after="0" w:line="265" w:lineRule="auto"/>
        <w:ind w:left="0" w:firstLine="0"/>
      </w:pPr>
      <w:r>
        <w:rPr>
          <w:rFonts w:ascii="Calibri" w:eastAsia="Calibri" w:hAnsi="Calibri" w:cs="Calibri"/>
          <w:sz w:val="22"/>
        </w:rPr>
        <w:tab/>
      </w:r>
      <w:proofErr w:type="gramStart"/>
      <w:r>
        <w:t>By</w:t>
      </w:r>
      <w:proofErr w:type="gramEnd"/>
      <w:r>
        <w:t xml:space="preserve">: </w:t>
      </w:r>
      <w:r>
        <w:rPr>
          <w:u w:val="single" w:color="000000"/>
        </w:rPr>
        <w:t xml:space="preserve">/s/Steven B. Smith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582D11C8" w14:textId="77777777" w:rsidR="00082D5A" w:rsidRDefault="00000000">
      <w:pPr>
        <w:tabs>
          <w:tab w:val="center" w:pos="720"/>
          <w:tab w:val="center" w:pos="6573"/>
        </w:tabs>
        <w:spacing w:line="259" w:lineRule="auto"/>
        <w:ind w:left="0" w:firstLine="0"/>
      </w:pPr>
      <w:r>
        <w:rPr>
          <w:rFonts w:ascii="Calibri" w:eastAsia="Calibri" w:hAnsi="Calibri" w:cs="Calibri"/>
          <w:sz w:val="22"/>
        </w:rPr>
        <w:tab/>
      </w:r>
      <w:r>
        <w:t xml:space="preserve"> </w:t>
      </w:r>
      <w:r>
        <w:tab/>
        <w:t xml:space="preserve">Edward S. Weisfelner, Esq. (EW 5581) </w:t>
      </w:r>
    </w:p>
    <w:p w14:paraId="540FFDD9" w14:textId="77777777" w:rsidR="00082D5A" w:rsidRDefault="00000000">
      <w:pPr>
        <w:spacing w:line="259" w:lineRule="auto"/>
        <w:ind w:left="4690" w:right="13"/>
      </w:pPr>
      <w:r>
        <w:t xml:space="preserve">Steven B. Smith, Esq. (SS 5960) </w:t>
      </w:r>
    </w:p>
    <w:p w14:paraId="048A3FA8" w14:textId="77777777" w:rsidR="00082D5A" w:rsidRDefault="00000000">
      <w:pPr>
        <w:spacing w:line="259" w:lineRule="auto"/>
        <w:ind w:left="1927" w:right="413"/>
        <w:jc w:val="center"/>
      </w:pPr>
      <w:r>
        <w:t xml:space="preserve">7 Times Square </w:t>
      </w:r>
    </w:p>
    <w:p w14:paraId="46B8D0FE" w14:textId="77777777" w:rsidR="00082D5A" w:rsidRDefault="00000000">
      <w:pPr>
        <w:tabs>
          <w:tab w:val="center" w:pos="720"/>
          <w:tab w:val="center" w:pos="5776"/>
        </w:tabs>
        <w:spacing w:line="259" w:lineRule="auto"/>
        <w:ind w:left="0" w:firstLine="0"/>
      </w:pPr>
      <w:r>
        <w:rPr>
          <w:rFonts w:ascii="Calibri" w:eastAsia="Calibri" w:hAnsi="Calibri" w:cs="Calibri"/>
          <w:sz w:val="22"/>
        </w:rPr>
        <w:tab/>
      </w:r>
      <w:r>
        <w:t xml:space="preserve"> </w:t>
      </w:r>
      <w:r>
        <w:tab/>
        <w:t xml:space="preserve">New York, NY  10036 </w:t>
      </w:r>
    </w:p>
    <w:p w14:paraId="3B368C9F" w14:textId="77777777" w:rsidR="00082D5A" w:rsidRDefault="00000000">
      <w:pPr>
        <w:tabs>
          <w:tab w:val="center" w:pos="720"/>
          <w:tab w:val="center" w:pos="5430"/>
        </w:tabs>
        <w:spacing w:line="259" w:lineRule="auto"/>
        <w:ind w:left="0" w:firstLine="0"/>
      </w:pPr>
      <w:r>
        <w:rPr>
          <w:rFonts w:ascii="Calibri" w:eastAsia="Calibri" w:hAnsi="Calibri" w:cs="Calibri"/>
          <w:sz w:val="22"/>
        </w:rPr>
        <w:tab/>
      </w:r>
      <w:r>
        <w:t xml:space="preserve"> </w:t>
      </w:r>
      <w:r>
        <w:tab/>
        <w:t xml:space="preserve">(212) 704-0100 </w:t>
      </w:r>
    </w:p>
    <w:p w14:paraId="36BD7C44" w14:textId="77777777" w:rsidR="00082D5A" w:rsidRDefault="00000000">
      <w:pPr>
        <w:spacing w:after="0" w:line="259" w:lineRule="auto"/>
        <w:ind w:left="777" w:firstLine="0"/>
        <w:jc w:val="center"/>
      </w:pPr>
      <w:r>
        <w:t xml:space="preserve"> </w:t>
      </w:r>
    </w:p>
    <w:p w14:paraId="1E5501A4" w14:textId="77777777" w:rsidR="00082D5A" w:rsidRDefault="00000000">
      <w:pPr>
        <w:tabs>
          <w:tab w:val="center" w:pos="4320"/>
          <w:tab w:val="center" w:pos="6406"/>
        </w:tabs>
        <w:spacing w:line="259" w:lineRule="auto"/>
        <w:ind w:left="0" w:firstLine="0"/>
      </w:pPr>
      <w:r>
        <w:rPr>
          <w:rFonts w:ascii="Calibri" w:eastAsia="Calibri" w:hAnsi="Calibri" w:cs="Calibri"/>
          <w:sz w:val="22"/>
        </w:rPr>
        <w:tab/>
      </w:r>
      <w:r>
        <w:t xml:space="preserve"> </w:t>
      </w:r>
      <w:r>
        <w:tab/>
        <w:t xml:space="preserve">Gregory T. Arnold, Esq. (GA 2147) </w:t>
      </w:r>
    </w:p>
    <w:p w14:paraId="3E2CA840" w14:textId="77777777" w:rsidR="00082D5A" w:rsidRDefault="00000000">
      <w:pPr>
        <w:tabs>
          <w:tab w:val="center" w:pos="4320"/>
          <w:tab w:val="center" w:pos="5707"/>
        </w:tabs>
        <w:spacing w:line="259" w:lineRule="auto"/>
        <w:ind w:left="0" w:firstLine="0"/>
      </w:pPr>
      <w:r>
        <w:rPr>
          <w:rFonts w:ascii="Calibri" w:eastAsia="Calibri" w:hAnsi="Calibri" w:cs="Calibri"/>
          <w:sz w:val="22"/>
        </w:rPr>
        <w:tab/>
      </w:r>
      <w:r>
        <w:t xml:space="preserve"> </w:t>
      </w:r>
      <w:r>
        <w:tab/>
        <w:t xml:space="preserve">One Financial Center </w:t>
      </w:r>
    </w:p>
    <w:p w14:paraId="523F7784" w14:textId="77777777" w:rsidR="00082D5A" w:rsidRDefault="00000000">
      <w:pPr>
        <w:tabs>
          <w:tab w:val="center" w:pos="4320"/>
          <w:tab w:val="center" w:pos="5603"/>
        </w:tabs>
        <w:spacing w:line="259" w:lineRule="auto"/>
        <w:ind w:left="0" w:firstLine="0"/>
      </w:pPr>
      <w:r>
        <w:rPr>
          <w:rFonts w:ascii="Calibri" w:eastAsia="Calibri" w:hAnsi="Calibri" w:cs="Calibri"/>
          <w:sz w:val="22"/>
        </w:rPr>
        <w:tab/>
      </w:r>
      <w:r>
        <w:t xml:space="preserve"> </w:t>
      </w:r>
      <w:r>
        <w:tab/>
        <w:t xml:space="preserve">Boston, MA 02111 </w:t>
      </w:r>
    </w:p>
    <w:p w14:paraId="67D8DBBE" w14:textId="77777777" w:rsidR="00082D5A" w:rsidRDefault="00000000">
      <w:pPr>
        <w:tabs>
          <w:tab w:val="center" w:pos="4320"/>
          <w:tab w:val="center" w:pos="5430"/>
        </w:tabs>
        <w:spacing w:line="259" w:lineRule="auto"/>
        <w:ind w:left="0" w:firstLine="0"/>
      </w:pPr>
      <w:r>
        <w:rPr>
          <w:rFonts w:ascii="Calibri" w:eastAsia="Calibri" w:hAnsi="Calibri" w:cs="Calibri"/>
          <w:sz w:val="22"/>
        </w:rPr>
        <w:tab/>
      </w:r>
      <w:r>
        <w:t xml:space="preserve"> </w:t>
      </w:r>
      <w:r>
        <w:tab/>
        <w:t xml:space="preserve">(617) 856-8200 </w:t>
      </w:r>
    </w:p>
    <w:p w14:paraId="0572EB3B" w14:textId="77777777" w:rsidR="00082D5A" w:rsidRDefault="00000000">
      <w:pPr>
        <w:spacing w:after="0" w:line="259" w:lineRule="auto"/>
        <w:ind w:left="720" w:firstLine="0"/>
      </w:pPr>
      <w:r>
        <w:t xml:space="preserve"> </w:t>
      </w:r>
    </w:p>
    <w:p w14:paraId="24B6FCCB" w14:textId="77777777" w:rsidR="00082D5A" w:rsidRDefault="00000000">
      <w:pPr>
        <w:spacing w:line="259" w:lineRule="auto"/>
        <w:ind w:left="4330" w:right="13"/>
      </w:pPr>
      <w:r>
        <w:t xml:space="preserve">COUNSEL TO THE AD-HOC COMMITTEE OF </w:t>
      </w:r>
    </w:p>
    <w:p w14:paraId="1B0CC0BB" w14:textId="77777777" w:rsidR="00082D5A" w:rsidRDefault="00000000">
      <w:pPr>
        <w:spacing w:line="259" w:lineRule="auto"/>
        <w:ind w:left="1927"/>
        <w:jc w:val="center"/>
      </w:pPr>
      <w:r>
        <w:t xml:space="preserve">TORT CLAIMS VICTIMS </w:t>
      </w:r>
    </w:p>
    <w:p w14:paraId="534A7643" w14:textId="77777777" w:rsidR="00082D5A" w:rsidRDefault="00000000">
      <w:pPr>
        <w:spacing w:after="244" w:line="259" w:lineRule="auto"/>
        <w:ind w:left="0" w:firstLine="0"/>
      </w:pPr>
      <w:r>
        <w:t xml:space="preserve"> </w:t>
      </w:r>
    </w:p>
    <w:p w14:paraId="6AA7C83F" w14:textId="77777777" w:rsidR="00082D5A" w:rsidRDefault="00000000">
      <w:pPr>
        <w:spacing w:after="4130" w:line="259" w:lineRule="auto"/>
        <w:ind w:left="0" w:firstLine="0"/>
      </w:pPr>
      <w:r>
        <w:rPr>
          <w:rFonts w:ascii="Arial" w:eastAsia="Arial" w:hAnsi="Arial" w:cs="Arial"/>
          <w:sz w:val="14"/>
        </w:rPr>
        <w:t xml:space="preserve"> </w:t>
      </w:r>
    </w:p>
    <w:p w14:paraId="41BA05E8" w14:textId="77777777" w:rsidR="00082D5A" w:rsidRDefault="00000000">
      <w:pPr>
        <w:spacing w:line="259" w:lineRule="auto"/>
        <w:ind w:left="1927" w:right="1200"/>
        <w:jc w:val="center"/>
      </w:pPr>
      <w:r>
        <w:lastRenderedPageBreak/>
        <w:t xml:space="preserve">- 33 - </w:t>
      </w:r>
    </w:p>
    <w:p w14:paraId="18817A23" w14:textId="77777777" w:rsidR="00082D5A" w:rsidRDefault="00082D5A">
      <w:pPr>
        <w:sectPr w:rsidR="00082D5A">
          <w:headerReference w:type="even" r:id="rId7"/>
          <w:headerReference w:type="default" r:id="rId8"/>
          <w:footerReference w:type="even" r:id="rId9"/>
          <w:footerReference w:type="default" r:id="rId10"/>
          <w:headerReference w:type="first" r:id="rId11"/>
          <w:footerReference w:type="first" r:id="rId12"/>
          <w:pgSz w:w="12240" w:h="15840"/>
          <w:pgMar w:top="1447" w:right="1437" w:bottom="999" w:left="1440" w:header="275" w:footer="720" w:gutter="0"/>
          <w:cols w:space="720"/>
        </w:sectPr>
      </w:pPr>
    </w:p>
    <w:p w14:paraId="3A3756EC" w14:textId="77777777" w:rsidR="00082D5A" w:rsidRDefault="00000000">
      <w:pPr>
        <w:spacing w:after="0" w:line="216" w:lineRule="auto"/>
        <w:ind w:left="697" w:right="416" w:firstLine="0"/>
        <w:jc w:val="center"/>
      </w:pPr>
      <w:r>
        <w:rPr>
          <w:rFonts w:ascii="Calibri" w:eastAsia="Calibri" w:hAnsi="Calibri" w:cs="Calibri"/>
        </w:rPr>
        <w:lastRenderedPageBreak/>
        <w:t>04-15739-dsj    Doc 450-1    Filed 09/15/05    Entered 09/15/05 16:15:44    Exhibit 1 Pg 1 of 1</w:t>
      </w:r>
    </w:p>
    <w:p w14:paraId="780E7D23" w14:textId="77777777" w:rsidR="00082D5A" w:rsidRDefault="00000000">
      <w:pPr>
        <w:pStyle w:val="Heading1"/>
        <w:numPr>
          <w:ilvl w:val="0"/>
          <w:numId w:val="0"/>
        </w:numPr>
        <w:spacing w:after="16"/>
        <w:ind w:left="371" w:right="0"/>
      </w:pPr>
      <w:r>
        <w:rPr>
          <w:b w:val="0"/>
          <w:sz w:val="28"/>
        </w:rPr>
        <w:t>EXHIBIT 1</w:t>
      </w:r>
    </w:p>
    <w:p w14:paraId="5EE3AD03" w14:textId="77777777" w:rsidR="00082D5A" w:rsidRDefault="00000000">
      <w:pPr>
        <w:spacing w:after="2" w:line="261" w:lineRule="auto"/>
        <w:jc w:val="center"/>
      </w:pPr>
      <w:r>
        <w:rPr>
          <w:b/>
          <w:sz w:val="20"/>
        </w:rPr>
        <w:t xml:space="preserve">Objection of the Ad-Hoc Committee of Tort Victims to the Debtor's First Amended Disclosure Statement and Motion for an Order: (I) Approving Quigley's Disclosure Statement; (II) Approving Solicitation Procedures, Forms of Ballots, and </w:t>
      </w:r>
    </w:p>
    <w:p w14:paraId="5F712B52" w14:textId="77777777" w:rsidR="00082D5A" w:rsidRDefault="00000000">
      <w:pPr>
        <w:spacing w:after="124" w:line="261" w:lineRule="auto"/>
        <w:jc w:val="center"/>
      </w:pPr>
      <w:r>
        <w:rPr>
          <w:b/>
          <w:sz w:val="20"/>
        </w:rPr>
        <w:t xml:space="preserve">Manner of Notice; (III) Estimating Each Asbestos PI </w:t>
      </w:r>
      <w:proofErr w:type="spellStart"/>
      <w:r>
        <w:rPr>
          <w:b/>
          <w:sz w:val="20"/>
        </w:rPr>
        <w:t>CLaim</w:t>
      </w:r>
      <w:proofErr w:type="spellEnd"/>
      <w:r>
        <w:rPr>
          <w:b/>
          <w:sz w:val="20"/>
        </w:rPr>
        <w:t xml:space="preserve"> at $1.00 Solely for Voting Purposes; and (IV) Fixing Date, Time and Place for Confirmation Hearing and Deadline for Filing Objections Thereto</w:t>
      </w:r>
    </w:p>
    <w:tbl>
      <w:tblPr>
        <w:tblStyle w:val="TableGrid"/>
        <w:tblW w:w="10280" w:type="dxa"/>
        <w:tblInd w:w="2" w:type="dxa"/>
        <w:tblCellMar>
          <w:top w:w="0" w:type="dxa"/>
          <w:left w:w="0" w:type="dxa"/>
          <w:bottom w:w="0" w:type="dxa"/>
          <w:right w:w="0" w:type="dxa"/>
        </w:tblCellMar>
        <w:tblLook w:val="04A0" w:firstRow="1" w:lastRow="0" w:firstColumn="1" w:lastColumn="0" w:noHBand="0" w:noVBand="1"/>
      </w:tblPr>
      <w:tblGrid>
        <w:gridCol w:w="266"/>
        <w:gridCol w:w="8248"/>
        <w:gridCol w:w="1766"/>
      </w:tblGrid>
      <w:tr w:rsidR="00082D5A" w14:paraId="73F39A91" w14:textId="77777777">
        <w:trPr>
          <w:trHeight w:val="287"/>
        </w:trPr>
        <w:tc>
          <w:tcPr>
            <w:tcW w:w="266" w:type="dxa"/>
            <w:tcBorders>
              <w:top w:val="nil"/>
              <w:left w:val="nil"/>
              <w:bottom w:val="nil"/>
              <w:right w:val="nil"/>
            </w:tcBorders>
          </w:tcPr>
          <w:p w14:paraId="1397E3D3" w14:textId="77777777" w:rsidR="00082D5A" w:rsidRDefault="00082D5A">
            <w:pPr>
              <w:spacing w:after="160" w:line="259" w:lineRule="auto"/>
              <w:ind w:left="0" w:firstLine="0"/>
            </w:pPr>
          </w:p>
        </w:tc>
        <w:tc>
          <w:tcPr>
            <w:tcW w:w="8248" w:type="dxa"/>
            <w:tcBorders>
              <w:top w:val="nil"/>
              <w:left w:val="nil"/>
              <w:bottom w:val="nil"/>
              <w:right w:val="nil"/>
            </w:tcBorders>
          </w:tcPr>
          <w:p w14:paraId="450BD2DE" w14:textId="77777777" w:rsidR="00082D5A" w:rsidRDefault="00000000">
            <w:pPr>
              <w:spacing w:after="0" w:line="259" w:lineRule="auto"/>
              <w:ind w:left="2142" w:firstLine="0"/>
            </w:pPr>
            <w:r>
              <w:rPr>
                <w:u w:val="single" w:color="000000"/>
              </w:rPr>
              <w:t>"Original" figures from United States Trustee's Objection</w:t>
            </w:r>
          </w:p>
        </w:tc>
        <w:tc>
          <w:tcPr>
            <w:tcW w:w="1766" w:type="dxa"/>
            <w:tcBorders>
              <w:top w:val="nil"/>
              <w:left w:val="nil"/>
              <w:bottom w:val="nil"/>
              <w:right w:val="nil"/>
            </w:tcBorders>
          </w:tcPr>
          <w:p w14:paraId="71A577D8" w14:textId="77777777" w:rsidR="00082D5A" w:rsidRDefault="00082D5A">
            <w:pPr>
              <w:spacing w:after="160" w:line="259" w:lineRule="auto"/>
              <w:ind w:left="0" w:firstLine="0"/>
            </w:pPr>
          </w:p>
        </w:tc>
      </w:tr>
      <w:tr w:rsidR="00082D5A" w14:paraId="39A5CAA4" w14:textId="77777777">
        <w:trPr>
          <w:trHeight w:val="308"/>
        </w:trPr>
        <w:tc>
          <w:tcPr>
            <w:tcW w:w="266" w:type="dxa"/>
            <w:tcBorders>
              <w:top w:val="nil"/>
              <w:left w:val="nil"/>
              <w:bottom w:val="nil"/>
              <w:right w:val="nil"/>
            </w:tcBorders>
          </w:tcPr>
          <w:p w14:paraId="637DABAD" w14:textId="77777777" w:rsidR="00082D5A" w:rsidRDefault="00000000">
            <w:pPr>
              <w:spacing w:after="0" w:line="259" w:lineRule="auto"/>
              <w:ind w:left="25" w:firstLine="0"/>
            </w:pPr>
            <w:r>
              <w:rPr>
                <w:sz w:val="16"/>
              </w:rPr>
              <w:t>a</w:t>
            </w:r>
          </w:p>
        </w:tc>
        <w:tc>
          <w:tcPr>
            <w:tcW w:w="8248" w:type="dxa"/>
            <w:tcBorders>
              <w:top w:val="nil"/>
              <w:left w:val="nil"/>
              <w:bottom w:val="nil"/>
              <w:right w:val="nil"/>
            </w:tcBorders>
          </w:tcPr>
          <w:p w14:paraId="6730078D" w14:textId="77777777" w:rsidR="00082D5A" w:rsidRDefault="00000000">
            <w:pPr>
              <w:tabs>
                <w:tab w:val="center" w:pos="7406"/>
              </w:tabs>
              <w:spacing w:after="0" w:line="259" w:lineRule="auto"/>
              <w:ind w:left="0" w:firstLine="0"/>
            </w:pPr>
            <w:r>
              <w:t>Total estimated claimants</w:t>
            </w:r>
            <w:r>
              <w:tab/>
              <w:t>181,591</w:t>
            </w:r>
          </w:p>
        </w:tc>
        <w:tc>
          <w:tcPr>
            <w:tcW w:w="1766" w:type="dxa"/>
            <w:tcBorders>
              <w:top w:val="nil"/>
              <w:left w:val="nil"/>
              <w:bottom w:val="nil"/>
              <w:right w:val="nil"/>
            </w:tcBorders>
          </w:tcPr>
          <w:p w14:paraId="389EA828" w14:textId="77777777" w:rsidR="00082D5A" w:rsidRDefault="00000000">
            <w:pPr>
              <w:spacing w:after="0" w:line="259" w:lineRule="auto"/>
              <w:ind w:left="0" w:firstLine="0"/>
            </w:pPr>
            <w:r>
              <w:rPr>
                <w:sz w:val="16"/>
              </w:rPr>
              <w:t>Percentage of total</w:t>
            </w:r>
          </w:p>
        </w:tc>
      </w:tr>
      <w:tr w:rsidR="00082D5A" w14:paraId="0F32BC40" w14:textId="77777777">
        <w:trPr>
          <w:trHeight w:val="308"/>
        </w:trPr>
        <w:tc>
          <w:tcPr>
            <w:tcW w:w="266" w:type="dxa"/>
            <w:tcBorders>
              <w:top w:val="nil"/>
              <w:left w:val="nil"/>
              <w:bottom w:val="nil"/>
              <w:right w:val="nil"/>
            </w:tcBorders>
          </w:tcPr>
          <w:p w14:paraId="285BD3B1" w14:textId="77777777" w:rsidR="00082D5A" w:rsidRDefault="00000000">
            <w:pPr>
              <w:spacing w:after="0" w:line="259" w:lineRule="auto"/>
              <w:ind w:left="20" w:firstLine="0"/>
            </w:pPr>
            <w:r>
              <w:rPr>
                <w:sz w:val="16"/>
              </w:rPr>
              <w:t>b</w:t>
            </w:r>
          </w:p>
        </w:tc>
        <w:tc>
          <w:tcPr>
            <w:tcW w:w="8248" w:type="dxa"/>
            <w:tcBorders>
              <w:top w:val="nil"/>
              <w:left w:val="nil"/>
              <w:bottom w:val="nil"/>
              <w:right w:val="nil"/>
            </w:tcBorders>
          </w:tcPr>
          <w:p w14:paraId="65D4E62B" w14:textId="77777777" w:rsidR="00082D5A" w:rsidRDefault="00000000">
            <w:pPr>
              <w:tabs>
                <w:tab w:val="center" w:pos="7405"/>
              </w:tabs>
              <w:spacing w:after="0" w:line="259" w:lineRule="auto"/>
              <w:ind w:left="0" w:firstLine="0"/>
            </w:pPr>
            <w:r>
              <w:t>Settling Plaintiffs</w:t>
            </w:r>
            <w:r>
              <w:tab/>
              <w:t>141,686</w:t>
            </w:r>
          </w:p>
        </w:tc>
        <w:tc>
          <w:tcPr>
            <w:tcW w:w="1766" w:type="dxa"/>
            <w:tcBorders>
              <w:top w:val="nil"/>
              <w:left w:val="nil"/>
              <w:bottom w:val="nil"/>
              <w:right w:val="nil"/>
            </w:tcBorders>
          </w:tcPr>
          <w:p w14:paraId="338EFAA8" w14:textId="77777777" w:rsidR="00082D5A" w:rsidRDefault="00000000">
            <w:pPr>
              <w:spacing w:after="0" w:line="259" w:lineRule="auto"/>
              <w:ind w:firstLine="0"/>
            </w:pPr>
            <w:r>
              <w:t>78.025%</w:t>
            </w:r>
          </w:p>
        </w:tc>
      </w:tr>
      <w:tr w:rsidR="00082D5A" w14:paraId="44B268EF" w14:textId="77777777">
        <w:trPr>
          <w:trHeight w:val="925"/>
        </w:trPr>
        <w:tc>
          <w:tcPr>
            <w:tcW w:w="266" w:type="dxa"/>
            <w:tcBorders>
              <w:top w:val="nil"/>
              <w:left w:val="nil"/>
              <w:bottom w:val="nil"/>
              <w:right w:val="nil"/>
            </w:tcBorders>
          </w:tcPr>
          <w:p w14:paraId="286CA616" w14:textId="77777777" w:rsidR="00082D5A" w:rsidRDefault="00000000">
            <w:pPr>
              <w:spacing w:after="0" w:line="259" w:lineRule="auto"/>
              <w:ind w:left="25" w:firstLine="0"/>
            </w:pPr>
            <w:r>
              <w:rPr>
                <w:sz w:val="16"/>
              </w:rPr>
              <w:t>c</w:t>
            </w:r>
          </w:p>
        </w:tc>
        <w:tc>
          <w:tcPr>
            <w:tcW w:w="8248" w:type="dxa"/>
            <w:tcBorders>
              <w:top w:val="nil"/>
              <w:left w:val="nil"/>
              <w:bottom w:val="nil"/>
              <w:right w:val="nil"/>
            </w:tcBorders>
          </w:tcPr>
          <w:p w14:paraId="6B2C74BA" w14:textId="77777777" w:rsidR="00082D5A" w:rsidRDefault="00000000">
            <w:pPr>
              <w:tabs>
                <w:tab w:val="center" w:pos="7465"/>
              </w:tabs>
              <w:spacing w:after="323" w:line="259" w:lineRule="auto"/>
              <w:ind w:left="0" w:firstLine="0"/>
            </w:pPr>
            <w:r>
              <w:t>Non-settling claimants</w:t>
            </w:r>
            <w:r>
              <w:tab/>
              <w:t>39,905</w:t>
            </w:r>
          </w:p>
          <w:p w14:paraId="23870280" w14:textId="77777777" w:rsidR="00082D5A" w:rsidRDefault="00000000">
            <w:pPr>
              <w:spacing w:after="0" w:line="259" w:lineRule="auto"/>
              <w:ind w:left="2262" w:firstLine="0"/>
            </w:pPr>
            <w:r>
              <w:rPr>
                <w:u w:val="single" w:color="000000"/>
              </w:rPr>
              <w:t>"Current" figures from Amended Disclosure Statement</w:t>
            </w:r>
          </w:p>
        </w:tc>
        <w:tc>
          <w:tcPr>
            <w:tcW w:w="1766" w:type="dxa"/>
            <w:tcBorders>
              <w:top w:val="nil"/>
              <w:left w:val="nil"/>
              <w:bottom w:val="nil"/>
              <w:right w:val="nil"/>
            </w:tcBorders>
          </w:tcPr>
          <w:p w14:paraId="0D77B6F4" w14:textId="77777777" w:rsidR="00082D5A" w:rsidRDefault="00000000">
            <w:pPr>
              <w:spacing w:after="0" w:line="259" w:lineRule="auto"/>
              <w:ind w:firstLine="0"/>
            </w:pPr>
            <w:r>
              <w:t>21.975%</w:t>
            </w:r>
          </w:p>
        </w:tc>
      </w:tr>
      <w:tr w:rsidR="00082D5A" w14:paraId="795D09D7" w14:textId="77777777">
        <w:trPr>
          <w:trHeight w:val="308"/>
        </w:trPr>
        <w:tc>
          <w:tcPr>
            <w:tcW w:w="266" w:type="dxa"/>
            <w:tcBorders>
              <w:top w:val="nil"/>
              <w:left w:val="nil"/>
              <w:bottom w:val="nil"/>
              <w:right w:val="nil"/>
            </w:tcBorders>
          </w:tcPr>
          <w:p w14:paraId="0B707ECE" w14:textId="77777777" w:rsidR="00082D5A" w:rsidRDefault="00000000">
            <w:pPr>
              <w:spacing w:after="0" w:line="259" w:lineRule="auto"/>
              <w:ind w:left="20" w:firstLine="0"/>
            </w:pPr>
            <w:r>
              <w:rPr>
                <w:sz w:val="16"/>
              </w:rPr>
              <w:t>d</w:t>
            </w:r>
          </w:p>
        </w:tc>
        <w:tc>
          <w:tcPr>
            <w:tcW w:w="8248" w:type="dxa"/>
            <w:tcBorders>
              <w:top w:val="nil"/>
              <w:left w:val="nil"/>
              <w:bottom w:val="nil"/>
              <w:right w:val="nil"/>
            </w:tcBorders>
          </w:tcPr>
          <w:p w14:paraId="75BD607A" w14:textId="77777777" w:rsidR="00082D5A" w:rsidRDefault="00000000">
            <w:pPr>
              <w:tabs>
                <w:tab w:val="center" w:pos="7406"/>
              </w:tabs>
              <w:spacing w:after="0" w:line="259" w:lineRule="auto"/>
              <w:ind w:left="0" w:firstLine="0"/>
            </w:pPr>
            <w:r>
              <w:t>Total estimated claimants</w:t>
            </w:r>
            <w:r>
              <w:tab/>
              <w:t>149,000</w:t>
            </w:r>
          </w:p>
        </w:tc>
        <w:tc>
          <w:tcPr>
            <w:tcW w:w="1766" w:type="dxa"/>
            <w:tcBorders>
              <w:top w:val="nil"/>
              <w:left w:val="nil"/>
              <w:bottom w:val="nil"/>
              <w:right w:val="nil"/>
            </w:tcBorders>
          </w:tcPr>
          <w:p w14:paraId="7D2B18A2" w14:textId="77777777" w:rsidR="00082D5A" w:rsidRDefault="00082D5A">
            <w:pPr>
              <w:spacing w:after="160" w:line="259" w:lineRule="auto"/>
              <w:ind w:left="0" w:firstLine="0"/>
            </w:pPr>
          </w:p>
        </w:tc>
      </w:tr>
      <w:tr w:rsidR="00082D5A" w14:paraId="04AB15D3" w14:textId="77777777">
        <w:trPr>
          <w:trHeight w:val="308"/>
        </w:trPr>
        <w:tc>
          <w:tcPr>
            <w:tcW w:w="266" w:type="dxa"/>
            <w:tcBorders>
              <w:top w:val="nil"/>
              <w:left w:val="nil"/>
              <w:bottom w:val="nil"/>
              <w:right w:val="nil"/>
            </w:tcBorders>
          </w:tcPr>
          <w:p w14:paraId="014F7B37" w14:textId="77777777" w:rsidR="00082D5A" w:rsidRDefault="00000000">
            <w:pPr>
              <w:spacing w:after="0" w:line="259" w:lineRule="auto"/>
              <w:ind w:left="25" w:firstLine="0"/>
            </w:pPr>
            <w:r>
              <w:rPr>
                <w:sz w:val="16"/>
              </w:rPr>
              <w:t>e</w:t>
            </w:r>
          </w:p>
        </w:tc>
        <w:tc>
          <w:tcPr>
            <w:tcW w:w="8248" w:type="dxa"/>
            <w:tcBorders>
              <w:top w:val="nil"/>
              <w:left w:val="nil"/>
              <w:bottom w:val="nil"/>
              <w:right w:val="nil"/>
            </w:tcBorders>
          </w:tcPr>
          <w:p w14:paraId="61369511" w14:textId="77777777" w:rsidR="00082D5A" w:rsidRDefault="00000000">
            <w:pPr>
              <w:tabs>
                <w:tab w:val="center" w:pos="7465"/>
              </w:tabs>
              <w:spacing w:after="0" w:line="259" w:lineRule="auto"/>
              <w:ind w:left="0" w:firstLine="0"/>
            </w:pPr>
            <w:r>
              <w:t>"Eliminated" claimants</w:t>
            </w:r>
            <w:r>
              <w:tab/>
            </w:r>
            <w:r>
              <w:rPr>
                <w:color w:val="FF0000"/>
              </w:rPr>
              <w:t>(32,591)</w:t>
            </w:r>
          </w:p>
        </w:tc>
        <w:tc>
          <w:tcPr>
            <w:tcW w:w="1766" w:type="dxa"/>
            <w:tcBorders>
              <w:top w:val="nil"/>
              <w:left w:val="nil"/>
              <w:bottom w:val="nil"/>
              <w:right w:val="nil"/>
            </w:tcBorders>
          </w:tcPr>
          <w:p w14:paraId="06018DD7" w14:textId="77777777" w:rsidR="00082D5A" w:rsidRDefault="00082D5A">
            <w:pPr>
              <w:spacing w:after="160" w:line="259" w:lineRule="auto"/>
              <w:ind w:left="0" w:firstLine="0"/>
            </w:pPr>
          </w:p>
        </w:tc>
      </w:tr>
      <w:tr w:rsidR="00082D5A" w14:paraId="071F63A7" w14:textId="77777777">
        <w:trPr>
          <w:trHeight w:val="308"/>
        </w:trPr>
        <w:tc>
          <w:tcPr>
            <w:tcW w:w="266" w:type="dxa"/>
            <w:tcBorders>
              <w:top w:val="nil"/>
              <w:left w:val="nil"/>
              <w:bottom w:val="nil"/>
              <w:right w:val="nil"/>
            </w:tcBorders>
          </w:tcPr>
          <w:p w14:paraId="3270F347" w14:textId="77777777" w:rsidR="00082D5A" w:rsidRDefault="00000000">
            <w:pPr>
              <w:spacing w:after="0" w:line="259" w:lineRule="auto"/>
              <w:ind w:left="34" w:firstLine="0"/>
            </w:pPr>
            <w:r>
              <w:rPr>
                <w:sz w:val="16"/>
              </w:rPr>
              <w:t>f</w:t>
            </w:r>
          </w:p>
        </w:tc>
        <w:tc>
          <w:tcPr>
            <w:tcW w:w="8248" w:type="dxa"/>
            <w:tcBorders>
              <w:top w:val="nil"/>
              <w:left w:val="nil"/>
              <w:bottom w:val="nil"/>
              <w:right w:val="nil"/>
            </w:tcBorders>
          </w:tcPr>
          <w:p w14:paraId="3231CA67" w14:textId="77777777" w:rsidR="00082D5A" w:rsidRDefault="00000000">
            <w:pPr>
              <w:tabs>
                <w:tab w:val="center" w:pos="7430"/>
              </w:tabs>
              <w:spacing w:after="0" w:line="259" w:lineRule="auto"/>
              <w:ind w:left="0" w:firstLine="0"/>
            </w:pPr>
            <w:r>
              <w:t>Settling Plaintiffs</w:t>
            </w:r>
            <w:r>
              <w:tab/>
              <w:t>unknown</w:t>
            </w:r>
          </w:p>
        </w:tc>
        <w:tc>
          <w:tcPr>
            <w:tcW w:w="1766" w:type="dxa"/>
            <w:tcBorders>
              <w:top w:val="nil"/>
              <w:left w:val="nil"/>
              <w:bottom w:val="nil"/>
              <w:right w:val="nil"/>
            </w:tcBorders>
          </w:tcPr>
          <w:p w14:paraId="3B2EA291" w14:textId="77777777" w:rsidR="00082D5A" w:rsidRDefault="00082D5A">
            <w:pPr>
              <w:spacing w:after="160" w:line="259" w:lineRule="auto"/>
              <w:ind w:left="0" w:firstLine="0"/>
            </w:pPr>
          </w:p>
        </w:tc>
      </w:tr>
      <w:tr w:rsidR="00082D5A" w14:paraId="2A6A4FED" w14:textId="77777777">
        <w:trPr>
          <w:trHeight w:val="724"/>
        </w:trPr>
        <w:tc>
          <w:tcPr>
            <w:tcW w:w="266" w:type="dxa"/>
            <w:tcBorders>
              <w:top w:val="nil"/>
              <w:left w:val="nil"/>
              <w:bottom w:val="nil"/>
              <w:right w:val="nil"/>
            </w:tcBorders>
          </w:tcPr>
          <w:p w14:paraId="5A3EC260" w14:textId="77777777" w:rsidR="00082D5A" w:rsidRDefault="00000000">
            <w:pPr>
              <w:spacing w:after="0" w:line="259" w:lineRule="auto"/>
              <w:ind w:left="20" w:firstLine="0"/>
            </w:pPr>
            <w:r>
              <w:rPr>
                <w:sz w:val="16"/>
              </w:rPr>
              <w:t>g</w:t>
            </w:r>
          </w:p>
        </w:tc>
        <w:tc>
          <w:tcPr>
            <w:tcW w:w="8248" w:type="dxa"/>
            <w:tcBorders>
              <w:top w:val="nil"/>
              <w:left w:val="nil"/>
              <w:bottom w:val="nil"/>
              <w:right w:val="nil"/>
            </w:tcBorders>
          </w:tcPr>
          <w:p w14:paraId="34B3CC5F" w14:textId="77777777" w:rsidR="00082D5A" w:rsidRDefault="00000000">
            <w:pPr>
              <w:tabs>
                <w:tab w:val="center" w:pos="7430"/>
              </w:tabs>
              <w:spacing w:after="83" w:line="259" w:lineRule="auto"/>
              <w:ind w:left="0" w:firstLine="0"/>
            </w:pPr>
            <w:r>
              <w:t>Non-settling claimants</w:t>
            </w:r>
            <w:r>
              <w:tab/>
              <w:t>unknown</w:t>
            </w:r>
          </w:p>
          <w:p w14:paraId="70B416C6" w14:textId="77777777" w:rsidR="00082D5A" w:rsidRDefault="00000000">
            <w:pPr>
              <w:spacing w:after="0" w:line="259" w:lineRule="auto"/>
              <w:ind w:left="2838" w:firstLine="0"/>
            </w:pPr>
            <w:r>
              <w:rPr>
                <w:u w:val="single" w:color="000000"/>
              </w:rPr>
              <w:t>"Weighted" Two-Thirds of Value Analysis</w:t>
            </w:r>
          </w:p>
        </w:tc>
        <w:tc>
          <w:tcPr>
            <w:tcW w:w="1766" w:type="dxa"/>
            <w:tcBorders>
              <w:top w:val="nil"/>
              <w:left w:val="nil"/>
              <w:bottom w:val="nil"/>
              <w:right w:val="nil"/>
            </w:tcBorders>
          </w:tcPr>
          <w:p w14:paraId="47DAA7F5" w14:textId="77777777" w:rsidR="00082D5A" w:rsidRDefault="00082D5A">
            <w:pPr>
              <w:spacing w:after="160" w:line="259" w:lineRule="auto"/>
              <w:ind w:left="0" w:firstLine="0"/>
            </w:pPr>
          </w:p>
        </w:tc>
      </w:tr>
      <w:tr w:rsidR="00082D5A" w14:paraId="168488EF" w14:textId="77777777">
        <w:trPr>
          <w:trHeight w:val="347"/>
        </w:trPr>
        <w:tc>
          <w:tcPr>
            <w:tcW w:w="266" w:type="dxa"/>
            <w:tcBorders>
              <w:top w:val="nil"/>
              <w:left w:val="nil"/>
              <w:bottom w:val="nil"/>
              <w:right w:val="nil"/>
            </w:tcBorders>
          </w:tcPr>
          <w:p w14:paraId="4B88FC7B" w14:textId="77777777" w:rsidR="00082D5A" w:rsidRDefault="00082D5A">
            <w:pPr>
              <w:spacing w:after="160" w:line="259" w:lineRule="auto"/>
              <w:ind w:left="0" w:firstLine="0"/>
            </w:pPr>
          </w:p>
        </w:tc>
        <w:tc>
          <w:tcPr>
            <w:tcW w:w="8248" w:type="dxa"/>
            <w:tcBorders>
              <w:top w:val="nil"/>
              <w:left w:val="nil"/>
              <w:bottom w:val="nil"/>
              <w:right w:val="nil"/>
            </w:tcBorders>
          </w:tcPr>
          <w:p w14:paraId="614ADC2A" w14:textId="77777777" w:rsidR="00082D5A" w:rsidRDefault="00000000">
            <w:pPr>
              <w:spacing w:after="0" w:line="259" w:lineRule="auto"/>
              <w:ind w:left="0" w:right="243" w:firstLine="0"/>
              <w:jc w:val="right"/>
            </w:pPr>
            <w:r>
              <w:rPr>
                <w:u w:val="single" w:color="000000"/>
              </w:rPr>
              <w:t>"78%/22% split"</w:t>
            </w:r>
          </w:p>
        </w:tc>
        <w:tc>
          <w:tcPr>
            <w:tcW w:w="1766" w:type="dxa"/>
            <w:tcBorders>
              <w:top w:val="nil"/>
              <w:left w:val="nil"/>
              <w:bottom w:val="nil"/>
              <w:right w:val="nil"/>
            </w:tcBorders>
          </w:tcPr>
          <w:p w14:paraId="0FED1D2A" w14:textId="77777777" w:rsidR="00082D5A" w:rsidRDefault="00000000">
            <w:pPr>
              <w:spacing w:after="0" w:line="259" w:lineRule="auto"/>
              <w:ind w:left="150" w:firstLine="0"/>
            </w:pPr>
            <w:r>
              <w:rPr>
                <w:u w:val="single" w:color="000000"/>
              </w:rPr>
              <w:t>"50%/50% split"</w:t>
            </w:r>
          </w:p>
        </w:tc>
      </w:tr>
      <w:tr w:rsidR="00082D5A" w14:paraId="34B418F5" w14:textId="77777777">
        <w:trPr>
          <w:trHeight w:val="308"/>
        </w:trPr>
        <w:tc>
          <w:tcPr>
            <w:tcW w:w="266" w:type="dxa"/>
            <w:tcBorders>
              <w:top w:val="nil"/>
              <w:left w:val="nil"/>
              <w:bottom w:val="nil"/>
              <w:right w:val="nil"/>
            </w:tcBorders>
          </w:tcPr>
          <w:p w14:paraId="758606E6" w14:textId="77777777" w:rsidR="00082D5A" w:rsidRDefault="00000000">
            <w:pPr>
              <w:spacing w:after="0" w:line="259" w:lineRule="auto"/>
              <w:ind w:left="20" w:firstLine="0"/>
            </w:pPr>
            <w:r>
              <w:rPr>
                <w:sz w:val="16"/>
              </w:rPr>
              <w:t>h</w:t>
            </w:r>
          </w:p>
        </w:tc>
        <w:tc>
          <w:tcPr>
            <w:tcW w:w="8248" w:type="dxa"/>
            <w:tcBorders>
              <w:top w:val="nil"/>
              <w:left w:val="nil"/>
              <w:bottom w:val="nil"/>
              <w:right w:val="nil"/>
            </w:tcBorders>
          </w:tcPr>
          <w:p w14:paraId="31C389BC" w14:textId="77777777" w:rsidR="00082D5A" w:rsidRDefault="00000000">
            <w:pPr>
              <w:tabs>
                <w:tab w:val="center" w:pos="7534"/>
              </w:tabs>
              <w:spacing w:after="0" w:line="259" w:lineRule="auto"/>
              <w:ind w:left="0" w:firstLine="0"/>
            </w:pPr>
            <w:r>
              <w:t>Assumed eliminated Settling Plaintiffs</w:t>
            </w:r>
            <w:r>
              <w:tab/>
            </w:r>
            <w:r>
              <w:rPr>
                <w:color w:val="FF0000"/>
                <w:sz w:val="20"/>
              </w:rPr>
              <w:t>(25,429)</w:t>
            </w:r>
          </w:p>
        </w:tc>
        <w:tc>
          <w:tcPr>
            <w:tcW w:w="1766" w:type="dxa"/>
            <w:tcBorders>
              <w:top w:val="nil"/>
              <w:left w:val="nil"/>
              <w:bottom w:val="nil"/>
              <w:right w:val="nil"/>
            </w:tcBorders>
          </w:tcPr>
          <w:p w14:paraId="3587C598" w14:textId="77777777" w:rsidR="00082D5A" w:rsidRDefault="00000000">
            <w:pPr>
              <w:spacing w:after="0" w:line="259" w:lineRule="auto"/>
              <w:ind w:left="0" w:right="82" w:firstLine="0"/>
              <w:jc w:val="right"/>
            </w:pPr>
            <w:r>
              <w:rPr>
                <w:color w:val="FF0000"/>
                <w:sz w:val="20"/>
              </w:rPr>
              <w:t>(16,296)</w:t>
            </w:r>
          </w:p>
        </w:tc>
      </w:tr>
      <w:tr w:rsidR="00082D5A" w14:paraId="2C812113" w14:textId="77777777">
        <w:trPr>
          <w:trHeight w:val="326"/>
        </w:trPr>
        <w:tc>
          <w:tcPr>
            <w:tcW w:w="266" w:type="dxa"/>
            <w:tcBorders>
              <w:top w:val="nil"/>
              <w:left w:val="nil"/>
              <w:bottom w:val="nil"/>
              <w:right w:val="nil"/>
            </w:tcBorders>
          </w:tcPr>
          <w:p w14:paraId="7C2E4671" w14:textId="77777777" w:rsidR="00082D5A" w:rsidRDefault="00000000">
            <w:pPr>
              <w:spacing w:after="0" w:line="259" w:lineRule="auto"/>
              <w:ind w:left="38" w:firstLine="0"/>
            </w:pPr>
            <w:proofErr w:type="spellStart"/>
            <w:r>
              <w:rPr>
                <w:sz w:val="16"/>
              </w:rPr>
              <w:t>i</w:t>
            </w:r>
            <w:proofErr w:type="spellEnd"/>
          </w:p>
        </w:tc>
        <w:tc>
          <w:tcPr>
            <w:tcW w:w="8248" w:type="dxa"/>
            <w:tcBorders>
              <w:top w:val="nil"/>
              <w:left w:val="nil"/>
              <w:bottom w:val="nil"/>
              <w:right w:val="nil"/>
            </w:tcBorders>
          </w:tcPr>
          <w:p w14:paraId="16515C48" w14:textId="77777777" w:rsidR="00082D5A" w:rsidRDefault="00000000">
            <w:pPr>
              <w:tabs>
                <w:tab w:val="center" w:pos="7585"/>
              </w:tabs>
              <w:spacing w:after="0" w:line="259" w:lineRule="auto"/>
              <w:ind w:left="0" w:firstLine="0"/>
            </w:pPr>
            <w:r>
              <w:t>Assumed eliminated non-settling claimants</w:t>
            </w:r>
            <w:r>
              <w:tab/>
            </w:r>
            <w:r>
              <w:rPr>
                <w:color w:val="FF0000"/>
                <w:sz w:val="20"/>
                <w:u w:val="single" w:color="FF0000"/>
              </w:rPr>
              <w:t>(7,162)</w:t>
            </w:r>
          </w:p>
        </w:tc>
        <w:tc>
          <w:tcPr>
            <w:tcW w:w="1766" w:type="dxa"/>
            <w:tcBorders>
              <w:top w:val="nil"/>
              <w:left w:val="nil"/>
              <w:bottom w:val="nil"/>
              <w:right w:val="nil"/>
            </w:tcBorders>
          </w:tcPr>
          <w:p w14:paraId="4A4DFA1E" w14:textId="77777777" w:rsidR="00082D5A" w:rsidRDefault="00000000">
            <w:pPr>
              <w:spacing w:after="0" w:line="259" w:lineRule="auto"/>
              <w:ind w:left="0" w:right="82" w:firstLine="0"/>
              <w:jc w:val="right"/>
            </w:pPr>
            <w:r>
              <w:rPr>
                <w:color w:val="FF0000"/>
                <w:sz w:val="20"/>
              </w:rPr>
              <w:t>(16,296)</w:t>
            </w:r>
          </w:p>
        </w:tc>
      </w:tr>
      <w:tr w:rsidR="00082D5A" w14:paraId="7A419B0B" w14:textId="77777777">
        <w:trPr>
          <w:trHeight w:val="595"/>
        </w:trPr>
        <w:tc>
          <w:tcPr>
            <w:tcW w:w="266" w:type="dxa"/>
            <w:tcBorders>
              <w:top w:val="nil"/>
              <w:left w:val="nil"/>
              <w:bottom w:val="nil"/>
              <w:right w:val="nil"/>
            </w:tcBorders>
          </w:tcPr>
          <w:p w14:paraId="70DE9703" w14:textId="77777777" w:rsidR="00082D5A" w:rsidRDefault="00000000">
            <w:pPr>
              <w:spacing w:after="0" w:line="259" w:lineRule="auto"/>
              <w:ind w:left="38" w:firstLine="0"/>
            </w:pPr>
            <w:r>
              <w:rPr>
                <w:sz w:val="16"/>
              </w:rPr>
              <w:t>j</w:t>
            </w:r>
          </w:p>
        </w:tc>
        <w:tc>
          <w:tcPr>
            <w:tcW w:w="8248" w:type="dxa"/>
            <w:tcBorders>
              <w:top w:val="nil"/>
              <w:left w:val="nil"/>
              <w:bottom w:val="nil"/>
              <w:right w:val="nil"/>
            </w:tcBorders>
          </w:tcPr>
          <w:p w14:paraId="26544860" w14:textId="77777777" w:rsidR="00082D5A" w:rsidRDefault="00000000">
            <w:pPr>
              <w:tabs>
                <w:tab w:val="center" w:pos="5879"/>
                <w:tab w:val="center" w:pos="7534"/>
              </w:tabs>
              <w:spacing w:after="63" w:line="259" w:lineRule="auto"/>
              <w:ind w:left="0" w:firstLine="0"/>
            </w:pPr>
            <w:r>
              <w:rPr>
                <w:rFonts w:ascii="Calibri" w:eastAsia="Calibri" w:hAnsi="Calibri" w:cs="Calibri"/>
                <w:sz w:val="22"/>
              </w:rPr>
              <w:tab/>
            </w:r>
            <w:r>
              <w:rPr>
                <w:i/>
                <w:sz w:val="20"/>
              </w:rPr>
              <w:t>Total</w:t>
            </w:r>
            <w:r>
              <w:rPr>
                <w:i/>
                <w:sz w:val="20"/>
              </w:rPr>
              <w:tab/>
            </w:r>
            <w:r>
              <w:rPr>
                <w:color w:val="FF0000"/>
                <w:sz w:val="20"/>
              </w:rPr>
              <w:t>(32,591)</w:t>
            </w:r>
          </w:p>
          <w:p w14:paraId="0A694F23" w14:textId="77777777" w:rsidR="00082D5A" w:rsidRDefault="00000000">
            <w:pPr>
              <w:spacing w:after="0" w:line="259" w:lineRule="auto"/>
              <w:ind w:left="1878" w:firstLine="0"/>
            </w:pPr>
            <w:r>
              <w:rPr>
                <w:sz w:val="20"/>
                <w:u w:val="single" w:color="000000"/>
              </w:rPr>
              <w:t>NUMBER OF CLAIMANTS</w:t>
            </w:r>
          </w:p>
        </w:tc>
        <w:tc>
          <w:tcPr>
            <w:tcW w:w="1766" w:type="dxa"/>
            <w:tcBorders>
              <w:top w:val="nil"/>
              <w:left w:val="nil"/>
              <w:bottom w:val="nil"/>
              <w:right w:val="nil"/>
            </w:tcBorders>
          </w:tcPr>
          <w:p w14:paraId="050DB767" w14:textId="77777777" w:rsidR="00082D5A" w:rsidRDefault="00000000">
            <w:pPr>
              <w:spacing w:after="0" w:line="259" w:lineRule="auto"/>
              <w:ind w:left="0" w:right="82" w:firstLine="0"/>
              <w:jc w:val="right"/>
            </w:pPr>
            <w:r>
              <w:rPr>
                <w:color w:val="FF0000"/>
                <w:sz w:val="20"/>
              </w:rPr>
              <w:t>(32,591)</w:t>
            </w:r>
          </w:p>
        </w:tc>
      </w:tr>
      <w:tr w:rsidR="00082D5A" w14:paraId="01AD61A3" w14:textId="77777777">
        <w:trPr>
          <w:trHeight w:val="313"/>
        </w:trPr>
        <w:tc>
          <w:tcPr>
            <w:tcW w:w="266" w:type="dxa"/>
            <w:tcBorders>
              <w:top w:val="nil"/>
              <w:left w:val="nil"/>
              <w:bottom w:val="nil"/>
              <w:right w:val="nil"/>
            </w:tcBorders>
          </w:tcPr>
          <w:p w14:paraId="41E5F0C7" w14:textId="77777777" w:rsidR="00082D5A" w:rsidRDefault="00000000">
            <w:pPr>
              <w:spacing w:after="0" w:line="259" w:lineRule="auto"/>
              <w:ind w:left="20" w:firstLine="0"/>
            </w:pPr>
            <w:r>
              <w:rPr>
                <w:sz w:val="16"/>
              </w:rPr>
              <w:t>k</w:t>
            </w:r>
          </w:p>
        </w:tc>
        <w:tc>
          <w:tcPr>
            <w:tcW w:w="8248" w:type="dxa"/>
            <w:tcBorders>
              <w:top w:val="nil"/>
              <w:left w:val="nil"/>
              <w:bottom w:val="nil"/>
              <w:right w:val="nil"/>
            </w:tcBorders>
          </w:tcPr>
          <w:p w14:paraId="2D52DED5" w14:textId="77777777" w:rsidR="00082D5A" w:rsidRDefault="00000000">
            <w:pPr>
              <w:tabs>
                <w:tab w:val="center" w:pos="7484"/>
              </w:tabs>
              <w:spacing w:after="0" w:line="259" w:lineRule="auto"/>
              <w:ind w:left="0" w:firstLine="0"/>
            </w:pPr>
            <w:r>
              <w:t>Original Settling Plaintiffs</w:t>
            </w:r>
            <w:r>
              <w:tab/>
            </w:r>
            <w:r>
              <w:rPr>
                <w:sz w:val="20"/>
              </w:rPr>
              <w:t>141,686</w:t>
            </w:r>
          </w:p>
        </w:tc>
        <w:tc>
          <w:tcPr>
            <w:tcW w:w="1766" w:type="dxa"/>
            <w:tcBorders>
              <w:top w:val="nil"/>
              <w:left w:val="nil"/>
              <w:bottom w:val="nil"/>
              <w:right w:val="nil"/>
            </w:tcBorders>
          </w:tcPr>
          <w:p w14:paraId="5F3B515E" w14:textId="77777777" w:rsidR="00082D5A" w:rsidRDefault="00000000">
            <w:pPr>
              <w:spacing w:after="0" w:line="259" w:lineRule="auto"/>
              <w:ind w:left="0" w:right="149" w:firstLine="0"/>
              <w:jc w:val="right"/>
            </w:pPr>
            <w:r>
              <w:rPr>
                <w:sz w:val="20"/>
              </w:rPr>
              <w:t>141,686</w:t>
            </w:r>
          </w:p>
        </w:tc>
      </w:tr>
      <w:tr w:rsidR="00082D5A" w14:paraId="33CDA56D" w14:textId="77777777">
        <w:trPr>
          <w:trHeight w:val="308"/>
        </w:trPr>
        <w:tc>
          <w:tcPr>
            <w:tcW w:w="266" w:type="dxa"/>
            <w:tcBorders>
              <w:top w:val="nil"/>
              <w:left w:val="nil"/>
              <w:bottom w:val="nil"/>
              <w:right w:val="nil"/>
            </w:tcBorders>
          </w:tcPr>
          <w:p w14:paraId="73875F90" w14:textId="77777777" w:rsidR="00082D5A" w:rsidRDefault="00000000">
            <w:pPr>
              <w:spacing w:after="0" w:line="259" w:lineRule="auto"/>
              <w:ind w:left="38" w:firstLine="0"/>
            </w:pPr>
            <w:r>
              <w:rPr>
                <w:sz w:val="16"/>
              </w:rPr>
              <w:t>l</w:t>
            </w:r>
          </w:p>
        </w:tc>
        <w:tc>
          <w:tcPr>
            <w:tcW w:w="8248" w:type="dxa"/>
            <w:tcBorders>
              <w:top w:val="nil"/>
              <w:left w:val="nil"/>
              <w:bottom w:val="nil"/>
              <w:right w:val="nil"/>
            </w:tcBorders>
          </w:tcPr>
          <w:p w14:paraId="2B69FDBE" w14:textId="77777777" w:rsidR="00082D5A" w:rsidRDefault="00000000">
            <w:pPr>
              <w:tabs>
                <w:tab w:val="center" w:pos="7534"/>
              </w:tabs>
              <w:spacing w:after="0" w:line="259" w:lineRule="auto"/>
              <w:ind w:left="0" w:firstLine="0"/>
            </w:pPr>
            <w:r>
              <w:t>Assumed eliminated Settling Plaintiffs</w:t>
            </w:r>
            <w:r>
              <w:tab/>
            </w:r>
            <w:r>
              <w:rPr>
                <w:color w:val="FF0000"/>
                <w:sz w:val="20"/>
                <w:u w:val="single" w:color="FF0000"/>
              </w:rPr>
              <w:t>(25,429)</w:t>
            </w:r>
          </w:p>
        </w:tc>
        <w:tc>
          <w:tcPr>
            <w:tcW w:w="1766" w:type="dxa"/>
            <w:tcBorders>
              <w:top w:val="nil"/>
              <w:left w:val="nil"/>
              <w:bottom w:val="nil"/>
              <w:right w:val="nil"/>
            </w:tcBorders>
          </w:tcPr>
          <w:p w14:paraId="1C38381E" w14:textId="77777777" w:rsidR="00082D5A" w:rsidRDefault="00000000">
            <w:pPr>
              <w:spacing w:after="0" w:line="259" w:lineRule="auto"/>
              <w:ind w:left="0" w:right="82" w:firstLine="0"/>
              <w:jc w:val="right"/>
            </w:pPr>
            <w:r>
              <w:rPr>
                <w:color w:val="FF0000"/>
                <w:sz w:val="20"/>
                <w:u w:val="single" w:color="FF0000"/>
              </w:rPr>
              <w:t>(16,296)</w:t>
            </w:r>
          </w:p>
        </w:tc>
      </w:tr>
      <w:tr w:rsidR="00082D5A" w14:paraId="72A45B05" w14:textId="77777777">
        <w:trPr>
          <w:trHeight w:val="308"/>
        </w:trPr>
        <w:tc>
          <w:tcPr>
            <w:tcW w:w="266" w:type="dxa"/>
            <w:tcBorders>
              <w:top w:val="nil"/>
              <w:left w:val="nil"/>
              <w:bottom w:val="nil"/>
              <w:right w:val="nil"/>
            </w:tcBorders>
          </w:tcPr>
          <w:p w14:paraId="735007DB" w14:textId="77777777" w:rsidR="00082D5A" w:rsidRDefault="00000000">
            <w:pPr>
              <w:spacing w:after="0" w:line="259" w:lineRule="auto"/>
              <w:ind w:left="0" w:firstLine="0"/>
            </w:pPr>
            <w:r>
              <w:rPr>
                <w:sz w:val="16"/>
              </w:rPr>
              <w:t>m</w:t>
            </w:r>
          </w:p>
        </w:tc>
        <w:tc>
          <w:tcPr>
            <w:tcW w:w="8248" w:type="dxa"/>
            <w:tcBorders>
              <w:top w:val="nil"/>
              <w:left w:val="nil"/>
              <w:bottom w:val="nil"/>
              <w:right w:val="nil"/>
            </w:tcBorders>
          </w:tcPr>
          <w:p w14:paraId="604A64C7" w14:textId="77777777" w:rsidR="00082D5A" w:rsidRDefault="00000000">
            <w:pPr>
              <w:tabs>
                <w:tab w:val="center" w:pos="4812"/>
                <w:tab w:val="center" w:pos="7484"/>
              </w:tabs>
              <w:spacing w:after="0" w:line="259" w:lineRule="auto"/>
              <w:ind w:left="0" w:firstLine="0"/>
            </w:pPr>
            <w:r>
              <w:rPr>
                <w:rFonts w:ascii="Calibri" w:eastAsia="Calibri" w:hAnsi="Calibri" w:cs="Calibri"/>
                <w:sz w:val="22"/>
              </w:rPr>
              <w:tab/>
            </w:r>
            <w:r>
              <w:t>Adjusted Settling Plaintiffs</w:t>
            </w:r>
            <w:r>
              <w:tab/>
            </w:r>
            <w:r>
              <w:rPr>
                <w:sz w:val="20"/>
              </w:rPr>
              <w:t>116,257</w:t>
            </w:r>
          </w:p>
        </w:tc>
        <w:tc>
          <w:tcPr>
            <w:tcW w:w="1766" w:type="dxa"/>
            <w:tcBorders>
              <w:top w:val="nil"/>
              <w:left w:val="nil"/>
              <w:bottom w:val="nil"/>
              <w:right w:val="nil"/>
            </w:tcBorders>
          </w:tcPr>
          <w:p w14:paraId="210908D3" w14:textId="77777777" w:rsidR="00082D5A" w:rsidRDefault="00000000">
            <w:pPr>
              <w:spacing w:after="0" w:line="259" w:lineRule="auto"/>
              <w:ind w:left="0" w:right="149" w:firstLine="0"/>
              <w:jc w:val="right"/>
            </w:pPr>
            <w:r>
              <w:rPr>
                <w:sz w:val="20"/>
              </w:rPr>
              <w:t>125,391</w:t>
            </w:r>
          </w:p>
        </w:tc>
      </w:tr>
      <w:tr w:rsidR="00082D5A" w14:paraId="0482C786" w14:textId="77777777">
        <w:trPr>
          <w:trHeight w:val="287"/>
        </w:trPr>
        <w:tc>
          <w:tcPr>
            <w:tcW w:w="266" w:type="dxa"/>
            <w:tcBorders>
              <w:top w:val="nil"/>
              <w:left w:val="nil"/>
              <w:bottom w:val="nil"/>
              <w:right w:val="nil"/>
            </w:tcBorders>
          </w:tcPr>
          <w:p w14:paraId="2644BCE3" w14:textId="77777777" w:rsidR="00082D5A" w:rsidRDefault="00000000">
            <w:pPr>
              <w:spacing w:after="0" w:line="259" w:lineRule="auto"/>
              <w:ind w:left="20" w:firstLine="0"/>
            </w:pPr>
            <w:r>
              <w:rPr>
                <w:sz w:val="16"/>
              </w:rPr>
              <w:t>n</w:t>
            </w:r>
          </w:p>
        </w:tc>
        <w:tc>
          <w:tcPr>
            <w:tcW w:w="8248" w:type="dxa"/>
            <w:tcBorders>
              <w:top w:val="nil"/>
              <w:left w:val="nil"/>
              <w:bottom w:val="nil"/>
              <w:right w:val="nil"/>
            </w:tcBorders>
          </w:tcPr>
          <w:p w14:paraId="360F23DC" w14:textId="77777777" w:rsidR="00082D5A" w:rsidRDefault="00000000">
            <w:pPr>
              <w:tabs>
                <w:tab w:val="center" w:pos="7534"/>
              </w:tabs>
              <w:spacing w:after="0" w:line="259" w:lineRule="auto"/>
              <w:ind w:left="0" w:firstLine="0"/>
            </w:pPr>
            <w:r>
              <w:t>Original non-settling claimants</w:t>
            </w:r>
            <w:r>
              <w:tab/>
            </w:r>
            <w:r>
              <w:rPr>
                <w:sz w:val="20"/>
              </w:rPr>
              <w:t>39,905</w:t>
            </w:r>
          </w:p>
        </w:tc>
        <w:tc>
          <w:tcPr>
            <w:tcW w:w="1766" w:type="dxa"/>
            <w:tcBorders>
              <w:top w:val="nil"/>
              <w:left w:val="nil"/>
              <w:bottom w:val="nil"/>
              <w:right w:val="nil"/>
            </w:tcBorders>
          </w:tcPr>
          <w:p w14:paraId="7DDF8F20" w14:textId="77777777" w:rsidR="00082D5A" w:rsidRDefault="00000000">
            <w:pPr>
              <w:spacing w:after="0" w:line="259" w:lineRule="auto"/>
              <w:ind w:left="0" w:right="148" w:firstLine="0"/>
              <w:jc w:val="right"/>
            </w:pPr>
            <w:r>
              <w:rPr>
                <w:sz w:val="20"/>
              </w:rPr>
              <w:t>39,905</w:t>
            </w:r>
          </w:p>
        </w:tc>
      </w:tr>
    </w:tbl>
    <w:p w14:paraId="282D0DC3" w14:textId="77777777" w:rsidR="00082D5A" w:rsidRDefault="00000000">
      <w:pPr>
        <w:spacing w:line="259" w:lineRule="auto"/>
        <w:ind w:left="18" w:right="12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5A35BEE" wp14:editId="770A8EA7">
                <wp:simplePos x="0" y="0"/>
                <wp:positionH relativeFrom="column">
                  <wp:posOffset>4780026</wp:posOffset>
                </wp:positionH>
                <wp:positionV relativeFrom="paragraph">
                  <wp:posOffset>21548</wp:posOffset>
                </wp:positionV>
                <wp:extent cx="1700022" cy="336704"/>
                <wp:effectExtent l="0" t="0" r="0" b="0"/>
                <wp:wrapSquare wrapText="bothSides"/>
                <wp:docPr id="33128" name="Group 33128"/>
                <wp:cNvGraphicFramePr/>
                <a:graphic xmlns:a="http://schemas.openxmlformats.org/drawingml/2006/main">
                  <a:graphicData uri="http://schemas.microsoft.com/office/word/2010/wordprocessingGroup">
                    <wpg:wgp>
                      <wpg:cNvGrpSpPr/>
                      <wpg:grpSpPr>
                        <a:xfrm>
                          <a:off x="0" y="0"/>
                          <a:ext cx="1700022" cy="336704"/>
                          <a:chOff x="0" y="0"/>
                          <a:chExt cx="1700022" cy="336704"/>
                        </a:xfrm>
                      </wpg:grpSpPr>
                      <wps:wsp>
                        <wps:cNvPr id="2020" name="Rectangle 2020"/>
                        <wps:cNvSpPr/>
                        <wps:spPr>
                          <a:xfrm>
                            <a:off x="21336" y="0"/>
                            <a:ext cx="493528" cy="187357"/>
                          </a:xfrm>
                          <a:prstGeom prst="rect">
                            <a:avLst/>
                          </a:prstGeom>
                          <a:ln>
                            <a:noFill/>
                          </a:ln>
                        </wps:spPr>
                        <wps:txbx>
                          <w:txbxContent>
                            <w:p w14:paraId="51F3DA9A" w14:textId="77777777" w:rsidR="00082D5A" w:rsidRDefault="00000000">
                              <w:pPr>
                                <w:spacing w:after="160" w:line="259" w:lineRule="auto"/>
                                <w:ind w:left="0" w:firstLine="0"/>
                              </w:pPr>
                              <w:r>
                                <w:rPr>
                                  <w:color w:val="FF0000"/>
                                  <w:sz w:val="20"/>
                                </w:rPr>
                                <w:t>(7,162)</w:t>
                              </w:r>
                            </w:p>
                          </w:txbxContent>
                        </wps:txbx>
                        <wps:bodyPr horzOverflow="overflow" vert="horz" lIns="0" tIns="0" rIns="0" bIns="0" rtlCol="0">
                          <a:noAutofit/>
                        </wps:bodyPr>
                      </wps:wsp>
                      <wps:wsp>
                        <wps:cNvPr id="34434" name="Shape 34434"/>
                        <wps:cNvSpPr/>
                        <wps:spPr>
                          <a:xfrm>
                            <a:off x="21336" y="127099"/>
                            <a:ext cx="373380" cy="9144"/>
                          </a:xfrm>
                          <a:custGeom>
                            <a:avLst/>
                            <a:gdLst/>
                            <a:ahLst/>
                            <a:cxnLst/>
                            <a:rect l="0" t="0" r="0" b="0"/>
                            <a:pathLst>
                              <a:path w="373380" h="9144">
                                <a:moveTo>
                                  <a:pt x="0" y="0"/>
                                </a:moveTo>
                                <a:lnTo>
                                  <a:pt x="373380" y="0"/>
                                </a:lnTo>
                                <a:lnTo>
                                  <a:pt x="373380"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022" name="Rectangle 2022"/>
                        <wps:cNvSpPr/>
                        <wps:spPr>
                          <a:xfrm>
                            <a:off x="1262634" y="0"/>
                            <a:ext cx="578152" cy="187357"/>
                          </a:xfrm>
                          <a:prstGeom prst="rect">
                            <a:avLst/>
                          </a:prstGeom>
                          <a:ln>
                            <a:noFill/>
                          </a:ln>
                        </wps:spPr>
                        <wps:txbx>
                          <w:txbxContent>
                            <w:p w14:paraId="526C7816" w14:textId="77777777" w:rsidR="00082D5A" w:rsidRDefault="00000000">
                              <w:pPr>
                                <w:spacing w:after="160" w:line="259" w:lineRule="auto"/>
                                <w:ind w:left="0" w:firstLine="0"/>
                              </w:pPr>
                              <w:r>
                                <w:rPr>
                                  <w:color w:val="FF0000"/>
                                  <w:sz w:val="20"/>
                                </w:rPr>
                                <w:t>(16,296)</w:t>
                              </w:r>
                            </w:p>
                          </w:txbxContent>
                        </wps:txbx>
                        <wps:bodyPr horzOverflow="overflow" vert="horz" lIns="0" tIns="0" rIns="0" bIns="0" rtlCol="0">
                          <a:noAutofit/>
                        </wps:bodyPr>
                      </wps:wsp>
                      <wps:wsp>
                        <wps:cNvPr id="34435" name="Shape 34435"/>
                        <wps:cNvSpPr/>
                        <wps:spPr>
                          <a:xfrm>
                            <a:off x="1262634" y="127099"/>
                            <a:ext cx="437388" cy="9144"/>
                          </a:xfrm>
                          <a:custGeom>
                            <a:avLst/>
                            <a:gdLst/>
                            <a:ahLst/>
                            <a:cxnLst/>
                            <a:rect l="0" t="0" r="0" b="0"/>
                            <a:pathLst>
                              <a:path w="437388" h="9144">
                                <a:moveTo>
                                  <a:pt x="0" y="0"/>
                                </a:moveTo>
                                <a:lnTo>
                                  <a:pt x="437388" y="0"/>
                                </a:lnTo>
                                <a:lnTo>
                                  <a:pt x="437388" y="9144"/>
                                </a:lnTo>
                                <a:lnTo>
                                  <a:pt x="0" y="9144"/>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2026" name="Rectangle 2026"/>
                        <wps:cNvSpPr/>
                        <wps:spPr>
                          <a:xfrm>
                            <a:off x="0" y="195834"/>
                            <a:ext cx="465431" cy="187357"/>
                          </a:xfrm>
                          <a:prstGeom prst="rect">
                            <a:avLst/>
                          </a:prstGeom>
                          <a:ln>
                            <a:noFill/>
                          </a:ln>
                        </wps:spPr>
                        <wps:txbx>
                          <w:txbxContent>
                            <w:p w14:paraId="2CF93BA2" w14:textId="77777777" w:rsidR="00082D5A" w:rsidRDefault="00000000">
                              <w:pPr>
                                <w:spacing w:after="160" w:line="259" w:lineRule="auto"/>
                                <w:ind w:left="0" w:firstLine="0"/>
                              </w:pPr>
                              <w:r>
                                <w:rPr>
                                  <w:sz w:val="20"/>
                                </w:rPr>
                                <w:t>32,743</w:t>
                              </w:r>
                            </w:p>
                          </w:txbxContent>
                        </wps:txbx>
                        <wps:bodyPr horzOverflow="overflow" vert="horz" lIns="0" tIns="0" rIns="0" bIns="0" rtlCol="0">
                          <a:noAutofit/>
                        </wps:bodyPr>
                      </wps:wsp>
                      <wps:wsp>
                        <wps:cNvPr id="34436" name="Shape 34436"/>
                        <wps:cNvSpPr/>
                        <wps:spPr>
                          <a:xfrm>
                            <a:off x="0" y="322933"/>
                            <a:ext cx="352044" cy="9144"/>
                          </a:xfrm>
                          <a:custGeom>
                            <a:avLst/>
                            <a:gdLst/>
                            <a:ahLst/>
                            <a:cxnLst/>
                            <a:rect l="0" t="0" r="0" b="0"/>
                            <a:pathLst>
                              <a:path w="352044" h="9144">
                                <a:moveTo>
                                  <a:pt x="0" y="0"/>
                                </a:moveTo>
                                <a:lnTo>
                                  <a:pt x="352044" y="0"/>
                                </a:lnTo>
                                <a:lnTo>
                                  <a:pt x="3520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8" name="Rectangle 2028"/>
                        <wps:cNvSpPr/>
                        <wps:spPr>
                          <a:xfrm>
                            <a:off x="1305306" y="195834"/>
                            <a:ext cx="465431" cy="187357"/>
                          </a:xfrm>
                          <a:prstGeom prst="rect">
                            <a:avLst/>
                          </a:prstGeom>
                          <a:ln>
                            <a:noFill/>
                          </a:ln>
                        </wps:spPr>
                        <wps:txbx>
                          <w:txbxContent>
                            <w:p w14:paraId="4E381B44" w14:textId="77777777" w:rsidR="00082D5A" w:rsidRDefault="00000000">
                              <w:pPr>
                                <w:spacing w:after="160" w:line="259" w:lineRule="auto"/>
                                <w:ind w:left="0" w:firstLine="0"/>
                              </w:pPr>
                              <w:r>
                                <w:rPr>
                                  <w:sz w:val="20"/>
                                </w:rPr>
                                <w:t>23,610</w:t>
                              </w:r>
                            </w:p>
                          </w:txbxContent>
                        </wps:txbx>
                        <wps:bodyPr horzOverflow="overflow" vert="horz" lIns="0" tIns="0" rIns="0" bIns="0" rtlCol="0">
                          <a:noAutofit/>
                        </wps:bodyPr>
                      </wps:wsp>
                      <wps:wsp>
                        <wps:cNvPr id="34437" name="Shape 34437"/>
                        <wps:cNvSpPr/>
                        <wps:spPr>
                          <a:xfrm>
                            <a:off x="1305306" y="322933"/>
                            <a:ext cx="352044" cy="9144"/>
                          </a:xfrm>
                          <a:custGeom>
                            <a:avLst/>
                            <a:gdLst/>
                            <a:ahLst/>
                            <a:cxnLst/>
                            <a:rect l="0" t="0" r="0" b="0"/>
                            <a:pathLst>
                              <a:path w="352044" h="9144">
                                <a:moveTo>
                                  <a:pt x="0" y="0"/>
                                </a:moveTo>
                                <a:lnTo>
                                  <a:pt x="352044" y="0"/>
                                </a:lnTo>
                                <a:lnTo>
                                  <a:pt x="3520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33128" style="width:133.86pt;height:26.5121pt;position:absolute;mso-position-horizontal-relative:text;mso-position-horizontal:absolute;margin-left:376.38pt;mso-position-vertical-relative:text;margin-top:1.69666pt;" coordsize="17000,3367">
                <v:rect id="Rectangle 2020" style="position:absolute;width:4935;height:1873;left:213;top:0;" filled="f" stroked="f">
                  <v:textbox inset="0,0,0,0">
                    <w:txbxContent>
                      <w:p>
                        <w:pPr>
                          <w:spacing w:before="0" w:after="160" w:line="259" w:lineRule="auto"/>
                          <w:ind w:left="0" w:firstLine="0"/>
                        </w:pPr>
                        <w:r>
                          <w:rPr>
                            <w:color w:val="ff0000"/>
                            <w:sz w:val="20"/>
                          </w:rPr>
                          <w:t xml:space="preserve">(7,162)</w:t>
                        </w:r>
                      </w:p>
                    </w:txbxContent>
                  </v:textbox>
                </v:rect>
                <v:shape id="Shape 34438" style="position:absolute;width:3733;height:91;left:213;top:1270;" coordsize="373380,9144" path="m0,0l373380,0l373380,9144l0,9144l0,0">
                  <v:stroke weight="0pt" endcap="flat" joinstyle="miter" miterlimit="10" on="false" color="#000000" opacity="0"/>
                  <v:fill on="true" color="#ff0000"/>
                </v:shape>
                <v:rect id="Rectangle 2022" style="position:absolute;width:5781;height:1873;left:12626;top:0;" filled="f" stroked="f">
                  <v:textbox inset="0,0,0,0">
                    <w:txbxContent>
                      <w:p>
                        <w:pPr>
                          <w:spacing w:before="0" w:after="160" w:line="259" w:lineRule="auto"/>
                          <w:ind w:left="0" w:firstLine="0"/>
                        </w:pPr>
                        <w:r>
                          <w:rPr>
                            <w:color w:val="ff0000"/>
                            <w:sz w:val="20"/>
                          </w:rPr>
                          <w:t xml:space="preserve">(16,296)</w:t>
                        </w:r>
                      </w:p>
                    </w:txbxContent>
                  </v:textbox>
                </v:rect>
                <v:shape id="Shape 34439" style="position:absolute;width:4373;height:91;left:12626;top:1270;" coordsize="437388,9144" path="m0,0l437388,0l437388,9144l0,9144l0,0">
                  <v:stroke weight="0pt" endcap="flat" joinstyle="miter" miterlimit="10" on="false" color="#000000" opacity="0"/>
                  <v:fill on="true" color="#ff0000"/>
                </v:shape>
                <v:rect id="Rectangle 2026" style="position:absolute;width:4654;height:1873;left:0;top:1958;" filled="f" stroked="f">
                  <v:textbox inset="0,0,0,0">
                    <w:txbxContent>
                      <w:p>
                        <w:pPr>
                          <w:spacing w:before="0" w:after="160" w:line="259" w:lineRule="auto"/>
                          <w:ind w:left="0" w:firstLine="0"/>
                        </w:pPr>
                        <w:r>
                          <w:rPr>
                            <w:sz w:val="20"/>
                          </w:rPr>
                          <w:t xml:space="preserve">32,743</w:t>
                        </w:r>
                      </w:p>
                    </w:txbxContent>
                  </v:textbox>
                </v:rect>
                <v:shape id="Shape 34440" style="position:absolute;width:3520;height:91;left:0;top:3229;" coordsize="352044,9144" path="m0,0l352044,0l352044,9144l0,9144l0,0">
                  <v:stroke weight="0pt" endcap="flat" joinstyle="miter" miterlimit="10" on="false" color="#000000" opacity="0"/>
                  <v:fill on="true" color="#000000"/>
                </v:shape>
                <v:rect id="Rectangle 2028" style="position:absolute;width:4654;height:1873;left:13053;top:1958;" filled="f" stroked="f">
                  <v:textbox inset="0,0,0,0">
                    <w:txbxContent>
                      <w:p>
                        <w:pPr>
                          <w:spacing w:before="0" w:after="160" w:line="259" w:lineRule="auto"/>
                          <w:ind w:left="0" w:firstLine="0"/>
                        </w:pPr>
                        <w:r>
                          <w:rPr>
                            <w:sz w:val="20"/>
                          </w:rPr>
                          <w:t xml:space="preserve">23,610</w:t>
                        </w:r>
                      </w:p>
                    </w:txbxContent>
                  </v:textbox>
                </v:rect>
                <v:shape id="Shape 34441" style="position:absolute;width:3520;height:91;left:13053;top:3229;" coordsize="352044,9144" path="m0,0l352044,0l352044,9144l0,9144l0,0">
                  <v:stroke weight="0pt" endcap="flat" joinstyle="miter" miterlimit="10" on="false" color="#000000" opacity="0"/>
                  <v:fill on="true" color="#000000"/>
                </v:shape>
                <w10:wrap type="square"/>
              </v:group>
            </w:pict>
          </mc:Fallback>
        </mc:AlternateContent>
      </w:r>
      <w:r>
        <w:rPr>
          <w:sz w:val="16"/>
        </w:rPr>
        <w:t xml:space="preserve">o </w:t>
      </w:r>
      <w:r>
        <w:t>Assumed eliminated non-settling claimants</w:t>
      </w:r>
    </w:p>
    <w:p w14:paraId="6375C083" w14:textId="77777777" w:rsidR="00082D5A" w:rsidRDefault="00000000">
      <w:pPr>
        <w:tabs>
          <w:tab w:val="center" w:pos="4860"/>
        </w:tabs>
        <w:spacing w:line="259" w:lineRule="auto"/>
        <w:ind w:left="0" w:firstLine="0"/>
      </w:pPr>
      <w:r>
        <w:rPr>
          <w:sz w:val="16"/>
        </w:rPr>
        <w:t>p</w:t>
      </w:r>
      <w:r>
        <w:rPr>
          <w:sz w:val="16"/>
        </w:rPr>
        <w:tab/>
      </w:r>
      <w:r>
        <w:t>Adjusted non-settling claimants</w:t>
      </w:r>
    </w:p>
    <w:tbl>
      <w:tblPr>
        <w:tblStyle w:val="TableGrid"/>
        <w:tblW w:w="10240" w:type="dxa"/>
        <w:tblInd w:w="-37" w:type="dxa"/>
        <w:tblCellMar>
          <w:top w:w="0" w:type="dxa"/>
          <w:left w:w="0" w:type="dxa"/>
          <w:bottom w:w="0" w:type="dxa"/>
          <w:right w:w="0" w:type="dxa"/>
        </w:tblCellMar>
        <w:tblLook w:val="04A0" w:firstRow="1" w:lastRow="0" w:firstColumn="1" w:lastColumn="0" w:noHBand="0" w:noVBand="1"/>
      </w:tblPr>
      <w:tblGrid>
        <w:gridCol w:w="306"/>
        <w:gridCol w:w="6388"/>
        <w:gridCol w:w="1859"/>
        <w:gridCol w:w="1687"/>
      </w:tblGrid>
      <w:tr w:rsidR="00082D5A" w14:paraId="6E29350A" w14:textId="77777777">
        <w:trPr>
          <w:trHeight w:val="591"/>
        </w:trPr>
        <w:tc>
          <w:tcPr>
            <w:tcW w:w="306" w:type="dxa"/>
            <w:tcBorders>
              <w:top w:val="nil"/>
              <w:left w:val="nil"/>
              <w:bottom w:val="nil"/>
              <w:right w:val="nil"/>
            </w:tcBorders>
          </w:tcPr>
          <w:p w14:paraId="37675727" w14:textId="77777777" w:rsidR="00082D5A" w:rsidRDefault="00000000">
            <w:pPr>
              <w:spacing w:after="0" w:line="259" w:lineRule="auto"/>
              <w:ind w:left="60" w:firstLine="0"/>
            </w:pPr>
            <w:r>
              <w:rPr>
                <w:sz w:val="16"/>
              </w:rPr>
              <w:t>q</w:t>
            </w:r>
          </w:p>
        </w:tc>
        <w:tc>
          <w:tcPr>
            <w:tcW w:w="6389" w:type="dxa"/>
            <w:tcBorders>
              <w:top w:val="nil"/>
              <w:left w:val="nil"/>
              <w:bottom w:val="nil"/>
              <w:right w:val="nil"/>
            </w:tcBorders>
          </w:tcPr>
          <w:p w14:paraId="12874CC9" w14:textId="77777777" w:rsidR="00082D5A" w:rsidRDefault="00000000">
            <w:pPr>
              <w:spacing w:after="8" w:line="259" w:lineRule="auto"/>
              <w:ind w:left="0" w:right="312" w:firstLine="0"/>
              <w:jc w:val="right"/>
            </w:pPr>
            <w:r>
              <w:rPr>
                <w:i/>
              </w:rPr>
              <w:t>Total adjusted claimants</w:t>
            </w:r>
          </w:p>
          <w:p w14:paraId="6B9977C9" w14:textId="77777777" w:rsidR="00082D5A" w:rsidRDefault="00000000">
            <w:pPr>
              <w:spacing w:after="0" w:line="259" w:lineRule="auto"/>
              <w:ind w:left="0" w:right="252" w:firstLine="0"/>
              <w:jc w:val="center"/>
            </w:pPr>
            <w:r>
              <w:rPr>
                <w:sz w:val="20"/>
                <w:u w:val="single" w:color="000000"/>
              </w:rPr>
              <w:t>"VOTING VALUE" OF CLAIMS</w:t>
            </w:r>
          </w:p>
        </w:tc>
        <w:tc>
          <w:tcPr>
            <w:tcW w:w="1859" w:type="dxa"/>
            <w:tcBorders>
              <w:top w:val="nil"/>
              <w:left w:val="nil"/>
              <w:bottom w:val="nil"/>
              <w:right w:val="nil"/>
            </w:tcBorders>
          </w:tcPr>
          <w:p w14:paraId="79953FC5" w14:textId="77777777" w:rsidR="00082D5A" w:rsidRDefault="00000000">
            <w:pPr>
              <w:spacing w:after="0" w:line="259" w:lineRule="auto"/>
              <w:ind w:left="331" w:firstLine="0"/>
              <w:jc w:val="center"/>
            </w:pPr>
            <w:r>
              <w:rPr>
                <w:sz w:val="20"/>
              </w:rPr>
              <w:t>149,000</w:t>
            </w:r>
          </w:p>
        </w:tc>
        <w:tc>
          <w:tcPr>
            <w:tcW w:w="1687" w:type="dxa"/>
            <w:tcBorders>
              <w:top w:val="nil"/>
              <w:left w:val="nil"/>
              <w:bottom w:val="nil"/>
              <w:right w:val="nil"/>
            </w:tcBorders>
          </w:tcPr>
          <w:p w14:paraId="6DBC5C2E" w14:textId="77777777" w:rsidR="00082D5A" w:rsidRDefault="00000000">
            <w:pPr>
              <w:spacing w:after="0" w:line="259" w:lineRule="auto"/>
              <w:ind w:left="0" w:right="69" w:firstLine="0"/>
              <w:jc w:val="right"/>
            </w:pPr>
            <w:r>
              <w:rPr>
                <w:sz w:val="20"/>
              </w:rPr>
              <w:t>149,000</w:t>
            </w:r>
          </w:p>
        </w:tc>
      </w:tr>
      <w:tr w:rsidR="00082D5A" w14:paraId="6F67A403" w14:textId="77777777">
        <w:trPr>
          <w:trHeight w:val="313"/>
        </w:trPr>
        <w:tc>
          <w:tcPr>
            <w:tcW w:w="306" w:type="dxa"/>
            <w:tcBorders>
              <w:top w:val="nil"/>
              <w:left w:val="nil"/>
              <w:bottom w:val="nil"/>
              <w:right w:val="nil"/>
            </w:tcBorders>
          </w:tcPr>
          <w:p w14:paraId="3DE4A2DD" w14:textId="77777777" w:rsidR="00082D5A" w:rsidRDefault="00000000">
            <w:pPr>
              <w:spacing w:after="0" w:line="259" w:lineRule="auto"/>
              <w:ind w:left="74" w:firstLine="0"/>
            </w:pPr>
            <w:r>
              <w:rPr>
                <w:sz w:val="16"/>
              </w:rPr>
              <w:t>r</w:t>
            </w:r>
          </w:p>
        </w:tc>
        <w:tc>
          <w:tcPr>
            <w:tcW w:w="6389" w:type="dxa"/>
            <w:tcBorders>
              <w:top w:val="nil"/>
              <w:left w:val="nil"/>
              <w:bottom w:val="nil"/>
              <w:right w:val="nil"/>
            </w:tcBorders>
          </w:tcPr>
          <w:p w14:paraId="0748D739" w14:textId="77777777" w:rsidR="00082D5A" w:rsidRDefault="00000000">
            <w:pPr>
              <w:spacing w:after="0" w:line="259" w:lineRule="auto"/>
              <w:ind w:left="0" w:firstLine="0"/>
            </w:pPr>
            <w:r>
              <w:t>Adjusted Settling Plaintiffs</w:t>
            </w:r>
          </w:p>
        </w:tc>
        <w:tc>
          <w:tcPr>
            <w:tcW w:w="1859" w:type="dxa"/>
            <w:tcBorders>
              <w:top w:val="nil"/>
              <w:left w:val="nil"/>
              <w:bottom w:val="nil"/>
              <w:right w:val="nil"/>
            </w:tcBorders>
          </w:tcPr>
          <w:p w14:paraId="10755E82" w14:textId="77777777" w:rsidR="00082D5A" w:rsidRDefault="00000000">
            <w:pPr>
              <w:spacing w:after="0" w:line="259" w:lineRule="auto"/>
              <w:ind w:left="331" w:firstLine="0"/>
              <w:jc w:val="center"/>
            </w:pPr>
            <w:r>
              <w:rPr>
                <w:sz w:val="20"/>
              </w:rPr>
              <w:t>116,257</w:t>
            </w:r>
          </w:p>
        </w:tc>
        <w:tc>
          <w:tcPr>
            <w:tcW w:w="1687" w:type="dxa"/>
            <w:tcBorders>
              <w:top w:val="nil"/>
              <w:left w:val="nil"/>
              <w:bottom w:val="nil"/>
              <w:right w:val="nil"/>
            </w:tcBorders>
          </w:tcPr>
          <w:p w14:paraId="01B74891" w14:textId="77777777" w:rsidR="00082D5A" w:rsidRDefault="00000000">
            <w:pPr>
              <w:spacing w:after="0" w:line="259" w:lineRule="auto"/>
              <w:ind w:left="0" w:right="69" w:firstLine="0"/>
              <w:jc w:val="right"/>
            </w:pPr>
            <w:r>
              <w:rPr>
                <w:sz w:val="20"/>
              </w:rPr>
              <w:t>125,391</w:t>
            </w:r>
          </w:p>
        </w:tc>
      </w:tr>
      <w:tr w:rsidR="00082D5A" w14:paraId="3CB98CF1" w14:textId="77777777">
        <w:trPr>
          <w:trHeight w:val="326"/>
        </w:trPr>
        <w:tc>
          <w:tcPr>
            <w:tcW w:w="306" w:type="dxa"/>
            <w:tcBorders>
              <w:top w:val="nil"/>
              <w:left w:val="nil"/>
              <w:bottom w:val="nil"/>
              <w:right w:val="nil"/>
            </w:tcBorders>
          </w:tcPr>
          <w:p w14:paraId="760BEFEA" w14:textId="77777777" w:rsidR="00082D5A" w:rsidRDefault="00000000">
            <w:pPr>
              <w:spacing w:after="0" w:line="259" w:lineRule="auto"/>
              <w:ind w:left="70" w:firstLine="0"/>
            </w:pPr>
            <w:r>
              <w:rPr>
                <w:sz w:val="16"/>
              </w:rPr>
              <w:t>s</w:t>
            </w:r>
          </w:p>
        </w:tc>
        <w:tc>
          <w:tcPr>
            <w:tcW w:w="6389" w:type="dxa"/>
            <w:tcBorders>
              <w:top w:val="nil"/>
              <w:left w:val="nil"/>
              <w:bottom w:val="nil"/>
              <w:right w:val="nil"/>
            </w:tcBorders>
          </w:tcPr>
          <w:p w14:paraId="42FFD945" w14:textId="77777777" w:rsidR="00082D5A" w:rsidRDefault="00000000">
            <w:pPr>
              <w:spacing w:after="0" w:line="259" w:lineRule="auto"/>
              <w:ind w:left="0" w:firstLine="0"/>
            </w:pPr>
            <w:r>
              <w:t>Voting value per reduced, settled claim</w:t>
            </w:r>
          </w:p>
        </w:tc>
        <w:tc>
          <w:tcPr>
            <w:tcW w:w="1859" w:type="dxa"/>
            <w:tcBorders>
              <w:top w:val="nil"/>
              <w:left w:val="nil"/>
              <w:bottom w:val="nil"/>
              <w:right w:val="nil"/>
            </w:tcBorders>
          </w:tcPr>
          <w:p w14:paraId="6C3F103E" w14:textId="77777777" w:rsidR="00082D5A" w:rsidRDefault="00000000">
            <w:pPr>
              <w:spacing w:after="0" w:line="259" w:lineRule="auto"/>
              <w:ind w:left="1038" w:firstLine="0"/>
            </w:pPr>
            <w:r>
              <w:rPr>
                <w:sz w:val="20"/>
              </w:rPr>
              <w:t>$0.10</w:t>
            </w:r>
          </w:p>
        </w:tc>
        <w:tc>
          <w:tcPr>
            <w:tcW w:w="1687" w:type="dxa"/>
            <w:tcBorders>
              <w:top w:val="nil"/>
              <w:left w:val="nil"/>
              <w:bottom w:val="nil"/>
              <w:right w:val="nil"/>
            </w:tcBorders>
          </w:tcPr>
          <w:p w14:paraId="4A5F151B" w14:textId="77777777" w:rsidR="00082D5A" w:rsidRDefault="00000000">
            <w:pPr>
              <w:spacing w:after="0" w:line="259" w:lineRule="auto"/>
              <w:ind w:left="0" w:right="1" w:firstLine="0"/>
              <w:jc w:val="right"/>
            </w:pPr>
            <w:r>
              <w:rPr>
                <w:sz w:val="20"/>
              </w:rPr>
              <w:t>$0.10</w:t>
            </w:r>
          </w:p>
        </w:tc>
      </w:tr>
      <w:tr w:rsidR="00082D5A" w14:paraId="406178D3" w14:textId="77777777">
        <w:trPr>
          <w:trHeight w:val="286"/>
        </w:trPr>
        <w:tc>
          <w:tcPr>
            <w:tcW w:w="306" w:type="dxa"/>
            <w:tcBorders>
              <w:top w:val="nil"/>
              <w:left w:val="nil"/>
              <w:bottom w:val="nil"/>
              <w:right w:val="nil"/>
            </w:tcBorders>
          </w:tcPr>
          <w:p w14:paraId="3560D51D" w14:textId="77777777" w:rsidR="00082D5A" w:rsidRDefault="00000000">
            <w:pPr>
              <w:spacing w:after="0" w:line="259" w:lineRule="auto"/>
              <w:ind w:left="78" w:firstLine="0"/>
            </w:pPr>
            <w:r>
              <w:rPr>
                <w:sz w:val="16"/>
              </w:rPr>
              <w:t>t</w:t>
            </w:r>
          </w:p>
        </w:tc>
        <w:tc>
          <w:tcPr>
            <w:tcW w:w="6389" w:type="dxa"/>
            <w:tcBorders>
              <w:top w:val="nil"/>
              <w:left w:val="nil"/>
              <w:bottom w:val="nil"/>
              <w:right w:val="nil"/>
            </w:tcBorders>
          </w:tcPr>
          <w:p w14:paraId="5EDC9206" w14:textId="77777777" w:rsidR="00082D5A" w:rsidRDefault="00000000">
            <w:pPr>
              <w:spacing w:after="0" w:line="259" w:lineRule="auto"/>
              <w:ind w:left="0" w:right="267" w:firstLine="0"/>
              <w:jc w:val="right"/>
            </w:pPr>
            <w:r>
              <w:rPr>
                <w:sz w:val="20"/>
              </w:rPr>
              <w:t>Adjusted voting value of Settling Plaintiffs</w:t>
            </w:r>
          </w:p>
        </w:tc>
        <w:tc>
          <w:tcPr>
            <w:tcW w:w="1859" w:type="dxa"/>
            <w:tcBorders>
              <w:top w:val="nil"/>
              <w:left w:val="nil"/>
              <w:bottom w:val="nil"/>
              <w:right w:val="nil"/>
            </w:tcBorders>
          </w:tcPr>
          <w:p w14:paraId="4EDADDE0" w14:textId="77777777" w:rsidR="00082D5A" w:rsidRDefault="00000000">
            <w:pPr>
              <w:spacing w:after="0" w:line="259" w:lineRule="auto"/>
              <w:ind w:left="331" w:firstLine="0"/>
              <w:jc w:val="center"/>
            </w:pPr>
            <w:r>
              <w:rPr>
                <w:sz w:val="20"/>
              </w:rPr>
              <w:t>$11,626</w:t>
            </w:r>
          </w:p>
        </w:tc>
        <w:tc>
          <w:tcPr>
            <w:tcW w:w="1687" w:type="dxa"/>
            <w:tcBorders>
              <w:top w:val="nil"/>
              <w:left w:val="nil"/>
              <w:bottom w:val="nil"/>
              <w:right w:val="nil"/>
            </w:tcBorders>
          </w:tcPr>
          <w:p w14:paraId="3D7EB138" w14:textId="77777777" w:rsidR="00082D5A" w:rsidRDefault="00000000">
            <w:pPr>
              <w:spacing w:after="0" w:line="259" w:lineRule="auto"/>
              <w:ind w:left="0" w:right="69" w:firstLine="0"/>
              <w:jc w:val="right"/>
            </w:pPr>
            <w:r>
              <w:rPr>
                <w:sz w:val="20"/>
              </w:rPr>
              <w:t>$12,539</w:t>
            </w:r>
          </w:p>
        </w:tc>
      </w:tr>
      <w:tr w:rsidR="00082D5A" w14:paraId="58F44B70" w14:textId="77777777">
        <w:trPr>
          <w:trHeight w:val="313"/>
        </w:trPr>
        <w:tc>
          <w:tcPr>
            <w:tcW w:w="306" w:type="dxa"/>
            <w:tcBorders>
              <w:top w:val="nil"/>
              <w:left w:val="nil"/>
              <w:bottom w:val="nil"/>
              <w:right w:val="nil"/>
            </w:tcBorders>
          </w:tcPr>
          <w:p w14:paraId="76651B6E" w14:textId="77777777" w:rsidR="00082D5A" w:rsidRDefault="00000000">
            <w:pPr>
              <w:spacing w:after="0" w:line="259" w:lineRule="auto"/>
              <w:ind w:left="60" w:firstLine="0"/>
            </w:pPr>
            <w:r>
              <w:rPr>
                <w:sz w:val="16"/>
              </w:rPr>
              <w:t>u</w:t>
            </w:r>
          </w:p>
        </w:tc>
        <w:tc>
          <w:tcPr>
            <w:tcW w:w="6389" w:type="dxa"/>
            <w:tcBorders>
              <w:top w:val="nil"/>
              <w:left w:val="nil"/>
              <w:bottom w:val="nil"/>
              <w:right w:val="nil"/>
            </w:tcBorders>
          </w:tcPr>
          <w:p w14:paraId="1FDA3091" w14:textId="77777777" w:rsidR="00082D5A" w:rsidRDefault="00000000">
            <w:pPr>
              <w:spacing w:after="0" w:line="259" w:lineRule="auto"/>
              <w:ind w:left="0" w:firstLine="0"/>
            </w:pPr>
            <w:r>
              <w:t>Adjusted non-settling claimants</w:t>
            </w:r>
          </w:p>
        </w:tc>
        <w:tc>
          <w:tcPr>
            <w:tcW w:w="1859" w:type="dxa"/>
            <w:tcBorders>
              <w:top w:val="nil"/>
              <w:left w:val="nil"/>
              <w:bottom w:val="nil"/>
              <w:right w:val="nil"/>
            </w:tcBorders>
          </w:tcPr>
          <w:p w14:paraId="1085E9D8" w14:textId="77777777" w:rsidR="00082D5A" w:rsidRDefault="00000000">
            <w:pPr>
              <w:spacing w:after="0" w:line="259" w:lineRule="auto"/>
              <w:ind w:left="432" w:firstLine="0"/>
              <w:jc w:val="center"/>
            </w:pPr>
            <w:r>
              <w:rPr>
                <w:sz w:val="20"/>
              </w:rPr>
              <w:t>32,743</w:t>
            </w:r>
          </w:p>
        </w:tc>
        <w:tc>
          <w:tcPr>
            <w:tcW w:w="1687" w:type="dxa"/>
            <w:tcBorders>
              <w:top w:val="nil"/>
              <w:left w:val="nil"/>
              <w:bottom w:val="nil"/>
              <w:right w:val="nil"/>
            </w:tcBorders>
          </w:tcPr>
          <w:p w14:paraId="7C68BBA9" w14:textId="77777777" w:rsidR="00082D5A" w:rsidRDefault="00000000">
            <w:pPr>
              <w:spacing w:after="0" w:line="259" w:lineRule="auto"/>
              <w:ind w:left="0" w:right="69" w:firstLine="0"/>
              <w:jc w:val="right"/>
            </w:pPr>
            <w:r>
              <w:rPr>
                <w:sz w:val="20"/>
              </w:rPr>
              <w:t>23,610</w:t>
            </w:r>
          </w:p>
        </w:tc>
      </w:tr>
      <w:tr w:rsidR="00082D5A" w14:paraId="1B27A6FB" w14:textId="77777777">
        <w:trPr>
          <w:trHeight w:val="326"/>
        </w:trPr>
        <w:tc>
          <w:tcPr>
            <w:tcW w:w="306" w:type="dxa"/>
            <w:tcBorders>
              <w:top w:val="nil"/>
              <w:left w:val="nil"/>
              <w:bottom w:val="nil"/>
              <w:right w:val="nil"/>
            </w:tcBorders>
          </w:tcPr>
          <w:p w14:paraId="2EFEEA12" w14:textId="77777777" w:rsidR="00082D5A" w:rsidRDefault="00000000">
            <w:pPr>
              <w:spacing w:after="0" w:line="259" w:lineRule="auto"/>
              <w:ind w:left="60" w:firstLine="0"/>
            </w:pPr>
            <w:r>
              <w:rPr>
                <w:sz w:val="16"/>
              </w:rPr>
              <w:t>v</w:t>
            </w:r>
          </w:p>
        </w:tc>
        <w:tc>
          <w:tcPr>
            <w:tcW w:w="6389" w:type="dxa"/>
            <w:tcBorders>
              <w:top w:val="nil"/>
              <w:left w:val="nil"/>
              <w:bottom w:val="nil"/>
              <w:right w:val="nil"/>
            </w:tcBorders>
          </w:tcPr>
          <w:p w14:paraId="04667AFA" w14:textId="77777777" w:rsidR="00082D5A" w:rsidRDefault="00000000">
            <w:pPr>
              <w:spacing w:after="0" w:line="259" w:lineRule="auto"/>
              <w:ind w:left="0" w:firstLine="0"/>
            </w:pPr>
            <w:r>
              <w:t>Voting value per non-settled claim</w:t>
            </w:r>
          </w:p>
        </w:tc>
        <w:tc>
          <w:tcPr>
            <w:tcW w:w="1859" w:type="dxa"/>
            <w:tcBorders>
              <w:top w:val="nil"/>
              <w:left w:val="nil"/>
              <w:bottom w:val="nil"/>
              <w:right w:val="nil"/>
            </w:tcBorders>
          </w:tcPr>
          <w:p w14:paraId="6A887267" w14:textId="77777777" w:rsidR="00082D5A" w:rsidRDefault="00000000">
            <w:pPr>
              <w:spacing w:after="0" w:line="259" w:lineRule="auto"/>
              <w:ind w:left="1038" w:firstLine="0"/>
            </w:pPr>
            <w:r>
              <w:rPr>
                <w:sz w:val="20"/>
              </w:rPr>
              <w:t>$1.00</w:t>
            </w:r>
          </w:p>
        </w:tc>
        <w:tc>
          <w:tcPr>
            <w:tcW w:w="1687" w:type="dxa"/>
            <w:tcBorders>
              <w:top w:val="nil"/>
              <w:left w:val="nil"/>
              <w:bottom w:val="nil"/>
              <w:right w:val="nil"/>
            </w:tcBorders>
          </w:tcPr>
          <w:p w14:paraId="0F99D25B" w14:textId="77777777" w:rsidR="00082D5A" w:rsidRDefault="00000000">
            <w:pPr>
              <w:spacing w:after="0" w:line="259" w:lineRule="auto"/>
              <w:ind w:left="0" w:right="1" w:firstLine="0"/>
              <w:jc w:val="right"/>
            </w:pPr>
            <w:r>
              <w:rPr>
                <w:sz w:val="20"/>
              </w:rPr>
              <w:t>$1.00</w:t>
            </w:r>
          </w:p>
        </w:tc>
      </w:tr>
      <w:tr w:rsidR="00082D5A" w14:paraId="5368A9CA" w14:textId="77777777">
        <w:trPr>
          <w:trHeight w:val="286"/>
        </w:trPr>
        <w:tc>
          <w:tcPr>
            <w:tcW w:w="306" w:type="dxa"/>
            <w:tcBorders>
              <w:top w:val="nil"/>
              <w:left w:val="nil"/>
              <w:bottom w:val="nil"/>
              <w:right w:val="nil"/>
            </w:tcBorders>
          </w:tcPr>
          <w:p w14:paraId="5B3DAE51" w14:textId="77777777" w:rsidR="00082D5A" w:rsidRDefault="00000000">
            <w:pPr>
              <w:spacing w:after="0" w:line="259" w:lineRule="auto"/>
              <w:ind w:left="43" w:firstLine="0"/>
            </w:pPr>
            <w:r>
              <w:rPr>
                <w:sz w:val="16"/>
              </w:rPr>
              <w:t>w</w:t>
            </w:r>
          </w:p>
        </w:tc>
        <w:tc>
          <w:tcPr>
            <w:tcW w:w="6389" w:type="dxa"/>
            <w:tcBorders>
              <w:top w:val="nil"/>
              <w:left w:val="nil"/>
              <w:bottom w:val="nil"/>
              <w:right w:val="nil"/>
            </w:tcBorders>
          </w:tcPr>
          <w:p w14:paraId="68555009" w14:textId="77777777" w:rsidR="00082D5A" w:rsidRDefault="00000000">
            <w:pPr>
              <w:spacing w:after="0" w:line="259" w:lineRule="auto"/>
              <w:ind w:left="0" w:right="266" w:firstLine="0"/>
              <w:jc w:val="right"/>
            </w:pPr>
            <w:r>
              <w:rPr>
                <w:sz w:val="20"/>
              </w:rPr>
              <w:t>Adjusted Voting value of non-settling claimants</w:t>
            </w:r>
          </w:p>
        </w:tc>
        <w:tc>
          <w:tcPr>
            <w:tcW w:w="1859" w:type="dxa"/>
            <w:tcBorders>
              <w:top w:val="nil"/>
              <w:left w:val="nil"/>
              <w:bottom w:val="nil"/>
              <w:right w:val="nil"/>
            </w:tcBorders>
          </w:tcPr>
          <w:p w14:paraId="2BEC57B7" w14:textId="77777777" w:rsidR="00082D5A" w:rsidRDefault="00000000">
            <w:pPr>
              <w:spacing w:after="0" w:line="259" w:lineRule="auto"/>
              <w:ind w:left="332" w:firstLine="0"/>
              <w:jc w:val="center"/>
            </w:pPr>
            <w:r>
              <w:rPr>
                <w:sz w:val="20"/>
              </w:rPr>
              <w:t>$32,743</w:t>
            </w:r>
          </w:p>
        </w:tc>
        <w:tc>
          <w:tcPr>
            <w:tcW w:w="1687" w:type="dxa"/>
            <w:tcBorders>
              <w:top w:val="nil"/>
              <w:left w:val="nil"/>
              <w:bottom w:val="nil"/>
              <w:right w:val="nil"/>
            </w:tcBorders>
          </w:tcPr>
          <w:p w14:paraId="24EDD748" w14:textId="77777777" w:rsidR="00082D5A" w:rsidRDefault="00000000">
            <w:pPr>
              <w:spacing w:after="0" w:line="259" w:lineRule="auto"/>
              <w:ind w:left="0" w:right="69" w:firstLine="0"/>
              <w:jc w:val="right"/>
            </w:pPr>
            <w:r>
              <w:rPr>
                <w:sz w:val="20"/>
              </w:rPr>
              <w:t>$23,610</w:t>
            </w:r>
          </w:p>
        </w:tc>
      </w:tr>
      <w:tr w:rsidR="00082D5A" w14:paraId="656AE856" w14:textId="77777777">
        <w:trPr>
          <w:trHeight w:val="467"/>
        </w:trPr>
        <w:tc>
          <w:tcPr>
            <w:tcW w:w="306" w:type="dxa"/>
            <w:tcBorders>
              <w:top w:val="nil"/>
              <w:left w:val="nil"/>
              <w:bottom w:val="nil"/>
              <w:right w:val="nil"/>
            </w:tcBorders>
          </w:tcPr>
          <w:p w14:paraId="714692E8" w14:textId="77777777" w:rsidR="00082D5A" w:rsidRDefault="00000000">
            <w:pPr>
              <w:spacing w:after="0" w:line="259" w:lineRule="auto"/>
              <w:ind w:left="60" w:firstLine="0"/>
            </w:pPr>
            <w:r>
              <w:rPr>
                <w:sz w:val="16"/>
              </w:rPr>
              <w:t>x</w:t>
            </w:r>
          </w:p>
        </w:tc>
        <w:tc>
          <w:tcPr>
            <w:tcW w:w="6389" w:type="dxa"/>
            <w:tcBorders>
              <w:top w:val="nil"/>
              <w:left w:val="nil"/>
              <w:bottom w:val="nil"/>
              <w:right w:val="nil"/>
            </w:tcBorders>
          </w:tcPr>
          <w:p w14:paraId="3B7EB708" w14:textId="77777777" w:rsidR="00082D5A" w:rsidRDefault="00000000">
            <w:pPr>
              <w:spacing w:after="0" w:line="259" w:lineRule="auto"/>
              <w:ind w:left="0" w:right="271" w:firstLine="0"/>
              <w:jc w:val="right"/>
            </w:pPr>
            <w:r>
              <w:t>Total adjusted voting value</w:t>
            </w:r>
          </w:p>
        </w:tc>
        <w:tc>
          <w:tcPr>
            <w:tcW w:w="1859" w:type="dxa"/>
            <w:tcBorders>
              <w:top w:val="nil"/>
              <w:left w:val="nil"/>
              <w:bottom w:val="nil"/>
              <w:right w:val="nil"/>
            </w:tcBorders>
          </w:tcPr>
          <w:p w14:paraId="0740855A" w14:textId="77777777" w:rsidR="00082D5A" w:rsidRDefault="00000000">
            <w:pPr>
              <w:spacing w:after="0" w:line="259" w:lineRule="auto"/>
              <w:ind w:left="331" w:firstLine="0"/>
              <w:jc w:val="center"/>
            </w:pPr>
            <w:r>
              <w:rPr>
                <w:sz w:val="20"/>
              </w:rPr>
              <w:t>$44,369</w:t>
            </w:r>
          </w:p>
        </w:tc>
        <w:tc>
          <w:tcPr>
            <w:tcW w:w="1687" w:type="dxa"/>
            <w:tcBorders>
              <w:top w:val="nil"/>
              <w:left w:val="nil"/>
              <w:bottom w:val="nil"/>
              <w:right w:val="nil"/>
            </w:tcBorders>
          </w:tcPr>
          <w:p w14:paraId="51488032" w14:textId="77777777" w:rsidR="00082D5A" w:rsidRDefault="00000000">
            <w:pPr>
              <w:spacing w:after="0" w:line="259" w:lineRule="auto"/>
              <w:ind w:left="0" w:right="69" w:firstLine="0"/>
              <w:jc w:val="right"/>
            </w:pPr>
            <w:r>
              <w:rPr>
                <w:sz w:val="20"/>
              </w:rPr>
              <w:t>$36,149</w:t>
            </w:r>
          </w:p>
        </w:tc>
      </w:tr>
      <w:tr w:rsidR="00082D5A" w14:paraId="70AF6346" w14:textId="77777777">
        <w:trPr>
          <w:trHeight w:val="463"/>
        </w:trPr>
        <w:tc>
          <w:tcPr>
            <w:tcW w:w="306" w:type="dxa"/>
            <w:tcBorders>
              <w:top w:val="nil"/>
              <w:left w:val="nil"/>
              <w:bottom w:val="nil"/>
              <w:right w:val="nil"/>
            </w:tcBorders>
            <w:vAlign w:val="bottom"/>
          </w:tcPr>
          <w:p w14:paraId="516013D7" w14:textId="77777777" w:rsidR="00082D5A" w:rsidRDefault="00000000">
            <w:pPr>
              <w:spacing w:after="0" w:line="259" w:lineRule="auto"/>
              <w:ind w:left="50" w:firstLine="0"/>
            </w:pPr>
            <w:r>
              <w:rPr>
                <w:sz w:val="20"/>
              </w:rPr>
              <w:t>y</w:t>
            </w:r>
          </w:p>
        </w:tc>
        <w:tc>
          <w:tcPr>
            <w:tcW w:w="6389" w:type="dxa"/>
            <w:tcBorders>
              <w:top w:val="nil"/>
              <w:left w:val="nil"/>
              <w:bottom w:val="nil"/>
              <w:right w:val="nil"/>
            </w:tcBorders>
            <w:vAlign w:val="bottom"/>
          </w:tcPr>
          <w:p w14:paraId="6DE60ED2" w14:textId="77777777" w:rsidR="00082D5A" w:rsidRDefault="00000000">
            <w:pPr>
              <w:spacing w:after="0" w:line="259" w:lineRule="auto"/>
              <w:ind w:left="0" w:firstLine="0"/>
            </w:pPr>
            <w:r>
              <w:t>% of value of adjusted Settling Plaintiffs</w:t>
            </w:r>
          </w:p>
        </w:tc>
        <w:tc>
          <w:tcPr>
            <w:tcW w:w="1859" w:type="dxa"/>
            <w:tcBorders>
              <w:top w:val="nil"/>
              <w:left w:val="nil"/>
              <w:bottom w:val="nil"/>
              <w:right w:val="nil"/>
            </w:tcBorders>
            <w:vAlign w:val="bottom"/>
          </w:tcPr>
          <w:p w14:paraId="2DD387D3" w14:textId="77777777" w:rsidR="00082D5A" w:rsidRDefault="00000000">
            <w:pPr>
              <w:spacing w:after="0" w:line="259" w:lineRule="auto"/>
              <w:ind w:left="670" w:firstLine="0"/>
            </w:pPr>
            <w:r>
              <w:rPr>
                <w:sz w:val="20"/>
              </w:rPr>
              <w:t>26.2024%</w:t>
            </w:r>
          </w:p>
        </w:tc>
        <w:tc>
          <w:tcPr>
            <w:tcW w:w="1687" w:type="dxa"/>
            <w:tcBorders>
              <w:top w:val="nil"/>
              <w:left w:val="nil"/>
              <w:bottom w:val="nil"/>
              <w:right w:val="nil"/>
            </w:tcBorders>
            <w:vAlign w:val="bottom"/>
          </w:tcPr>
          <w:p w14:paraId="270E751B" w14:textId="77777777" w:rsidR="00082D5A" w:rsidRDefault="00000000">
            <w:pPr>
              <w:spacing w:after="0" w:line="259" w:lineRule="auto"/>
              <w:ind w:left="0" w:right="2" w:firstLine="0"/>
              <w:jc w:val="right"/>
            </w:pPr>
            <w:r>
              <w:rPr>
                <w:sz w:val="20"/>
              </w:rPr>
              <w:t>34.6876%</w:t>
            </w:r>
          </w:p>
        </w:tc>
      </w:tr>
      <w:tr w:rsidR="00082D5A" w14:paraId="33467219" w14:textId="77777777">
        <w:trPr>
          <w:trHeight w:val="459"/>
        </w:trPr>
        <w:tc>
          <w:tcPr>
            <w:tcW w:w="306" w:type="dxa"/>
            <w:tcBorders>
              <w:top w:val="nil"/>
              <w:left w:val="nil"/>
              <w:bottom w:val="nil"/>
              <w:right w:val="nil"/>
            </w:tcBorders>
          </w:tcPr>
          <w:p w14:paraId="138065CD" w14:textId="77777777" w:rsidR="00082D5A" w:rsidRDefault="00000000">
            <w:pPr>
              <w:spacing w:after="0" w:line="259" w:lineRule="auto"/>
              <w:ind w:left="56" w:firstLine="0"/>
            </w:pPr>
            <w:r>
              <w:rPr>
                <w:sz w:val="20"/>
              </w:rPr>
              <w:t>z</w:t>
            </w:r>
          </w:p>
        </w:tc>
        <w:tc>
          <w:tcPr>
            <w:tcW w:w="6389" w:type="dxa"/>
            <w:tcBorders>
              <w:top w:val="nil"/>
              <w:left w:val="nil"/>
              <w:bottom w:val="nil"/>
              <w:right w:val="nil"/>
            </w:tcBorders>
          </w:tcPr>
          <w:p w14:paraId="3FCE1635" w14:textId="77777777" w:rsidR="00082D5A" w:rsidRDefault="00000000">
            <w:pPr>
              <w:spacing w:after="0" w:line="259" w:lineRule="auto"/>
              <w:ind w:left="0" w:firstLine="0"/>
            </w:pPr>
            <w:r>
              <w:t>% of value of adjusted non-settling claimants</w:t>
            </w:r>
          </w:p>
        </w:tc>
        <w:tc>
          <w:tcPr>
            <w:tcW w:w="1859" w:type="dxa"/>
            <w:tcBorders>
              <w:top w:val="nil"/>
              <w:left w:val="nil"/>
              <w:bottom w:val="nil"/>
              <w:right w:val="nil"/>
            </w:tcBorders>
          </w:tcPr>
          <w:p w14:paraId="6036B396" w14:textId="77777777" w:rsidR="00082D5A" w:rsidRDefault="00000000">
            <w:pPr>
              <w:spacing w:after="0" w:line="259" w:lineRule="auto"/>
              <w:ind w:left="670" w:firstLine="0"/>
            </w:pPr>
            <w:r>
              <w:rPr>
                <w:sz w:val="20"/>
              </w:rPr>
              <w:t>73.7976%</w:t>
            </w:r>
          </w:p>
        </w:tc>
        <w:tc>
          <w:tcPr>
            <w:tcW w:w="1687" w:type="dxa"/>
            <w:tcBorders>
              <w:top w:val="nil"/>
              <w:left w:val="nil"/>
              <w:bottom w:val="nil"/>
              <w:right w:val="nil"/>
            </w:tcBorders>
          </w:tcPr>
          <w:p w14:paraId="2D947482" w14:textId="77777777" w:rsidR="00082D5A" w:rsidRDefault="00000000">
            <w:pPr>
              <w:spacing w:after="0" w:line="259" w:lineRule="auto"/>
              <w:ind w:left="0" w:right="2" w:firstLine="0"/>
              <w:jc w:val="right"/>
            </w:pPr>
            <w:r>
              <w:rPr>
                <w:sz w:val="20"/>
              </w:rPr>
              <w:t>65.3124%</w:t>
            </w:r>
          </w:p>
        </w:tc>
      </w:tr>
      <w:tr w:rsidR="00082D5A" w14:paraId="31C4BF43" w14:textId="77777777">
        <w:trPr>
          <w:trHeight w:val="407"/>
        </w:trPr>
        <w:tc>
          <w:tcPr>
            <w:tcW w:w="6695" w:type="dxa"/>
            <w:gridSpan w:val="2"/>
            <w:tcBorders>
              <w:top w:val="nil"/>
              <w:left w:val="nil"/>
              <w:bottom w:val="nil"/>
              <w:right w:val="nil"/>
            </w:tcBorders>
            <w:vAlign w:val="bottom"/>
          </w:tcPr>
          <w:p w14:paraId="3093FEE0" w14:textId="77777777" w:rsidR="00082D5A" w:rsidRDefault="00000000">
            <w:pPr>
              <w:spacing w:after="0" w:line="259" w:lineRule="auto"/>
              <w:ind w:left="12" w:firstLine="0"/>
            </w:pPr>
            <w:r>
              <w:rPr>
                <w:sz w:val="20"/>
              </w:rPr>
              <w:lastRenderedPageBreak/>
              <w:t>aa Total value needed for 2/3 of adjusted voting value</w:t>
            </w:r>
          </w:p>
        </w:tc>
        <w:tc>
          <w:tcPr>
            <w:tcW w:w="1859" w:type="dxa"/>
            <w:tcBorders>
              <w:top w:val="nil"/>
              <w:left w:val="nil"/>
              <w:bottom w:val="nil"/>
              <w:right w:val="nil"/>
            </w:tcBorders>
            <w:vAlign w:val="bottom"/>
          </w:tcPr>
          <w:p w14:paraId="38A5B064" w14:textId="77777777" w:rsidR="00082D5A" w:rsidRDefault="00000000">
            <w:pPr>
              <w:spacing w:after="0" w:line="259" w:lineRule="auto"/>
              <w:ind w:left="332" w:firstLine="0"/>
              <w:jc w:val="center"/>
            </w:pPr>
            <w:r>
              <w:rPr>
                <w:sz w:val="20"/>
              </w:rPr>
              <w:t>$29,581</w:t>
            </w:r>
          </w:p>
        </w:tc>
        <w:tc>
          <w:tcPr>
            <w:tcW w:w="1687" w:type="dxa"/>
            <w:tcBorders>
              <w:top w:val="nil"/>
              <w:left w:val="nil"/>
              <w:bottom w:val="nil"/>
              <w:right w:val="nil"/>
            </w:tcBorders>
            <w:vAlign w:val="bottom"/>
          </w:tcPr>
          <w:p w14:paraId="476CBE13" w14:textId="77777777" w:rsidR="00082D5A" w:rsidRDefault="00000000">
            <w:pPr>
              <w:spacing w:after="0" w:line="259" w:lineRule="auto"/>
              <w:ind w:left="0" w:right="69" w:firstLine="0"/>
              <w:jc w:val="right"/>
            </w:pPr>
            <w:r>
              <w:rPr>
                <w:sz w:val="20"/>
              </w:rPr>
              <w:t>$24,100</w:t>
            </w:r>
          </w:p>
        </w:tc>
      </w:tr>
      <w:tr w:rsidR="00082D5A" w14:paraId="6FACC4EA" w14:textId="77777777">
        <w:trPr>
          <w:trHeight w:val="250"/>
        </w:trPr>
        <w:tc>
          <w:tcPr>
            <w:tcW w:w="6695" w:type="dxa"/>
            <w:gridSpan w:val="2"/>
            <w:tcBorders>
              <w:top w:val="nil"/>
              <w:left w:val="nil"/>
              <w:bottom w:val="nil"/>
              <w:right w:val="nil"/>
            </w:tcBorders>
          </w:tcPr>
          <w:p w14:paraId="63EA3771" w14:textId="77777777" w:rsidR="00082D5A" w:rsidRDefault="00000000">
            <w:pPr>
              <w:spacing w:after="0" w:line="259" w:lineRule="auto"/>
              <w:ind w:left="0" w:firstLine="0"/>
            </w:pPr>
            <w:r>
              <w:rPr>
                <w:sz w:val="20"/>
              </w:rPr>
              <w:t>bb Adjusted voting value of Settling Plaintiffs</w:t>
            </w:r>
          </w:p>
        </w:tc>
        <w:tc>
          <w:tcPr>
            <w:tcW w:w="1859" w:type="dxa"/>
            <w:tcBorders>
              <w:top w:val="nil"/>
              <w:left w:val="nil"/>
              <w:bottom w:val="nil"/>
              <w:right w:val="nil"/>
            </w:tcBorders>
          </w:tcPr>
          <w:p w14:paraId="2B5DDC8B" w14:textId="77777777" w:rsidR="00082D5A" w:rsidRDefault="00000000">
            <w:pPr>
              <w:spacing w:after="0" w:line="259" w:lineRule="auto"/>
              <w:ind w:left="332" w:firstLine="0"/>
              <w:jc w:val="center"/>
            </w:pPr>
            <w:r>
              <w:rPr>
                <w:sz w:val="20"/>
              </w:rPr>
              <w:t>$11,626</w:t>
            </w:r>
          </w:p>
        </w:tc>
        <w:tc>
          <w:tcPr>
            <w:tcW w:w="1687" w:type="dxa"/>
            <w:tcBorders>
              <w:top w:val="nil"/>
              <w:left w:val="nil"/>
              <w:bottom w:val="nil"/>
              <w:right w:val="nil"/>
            </w:tcBorders>
          </w:tcPr>
          <w:p w14:paraId="4AE288F4" w14:textId="77777777" w:rsidR="00082D5A" w:rsidRDefault="00000000">
            <w:pPr>
              <w:spacing w:after="0" w:line="259" w:lineRule="auto"/>
              <w:ind w:left="0" w:right="69" w:firstLine="0"/>
              <w:jc w:val="right"/>
            </w:pPr>
            <w:r>
              <w:rPr>
                <w:sz w:val="20"/>
              </w:rPr>
              <w:t>$12,539</w:t>
            </w:r>
          </w:p>
        </w:tc>
      </w:tr>
      <w:tr w:rsidR="00082D5A" w14:paraId="2889C638" w14:textId="77777777">
        <w:trPr>
          <w:trHeight w:val="250"/>
        </w:trPr>
        <w:tc>
          <w:tcPr>
            <w:tcW w:w="6695" w:type="dxa"/>
            <w:gridSpan w:val="2"/>
            <w:tcBorders>
              <w:top w:val="nil"/>
              <w:left w:val="nil"/>
              <w:bottom w:val="nil"/>
              <w:right w:val="nil"/>
            </w:tcBorders>
          </w:tcPr>
          <w:p w14:paraId="520B41C3" w14:textId="77777777" w:rsidR="00082D5A" w:rsidRDefault="00000000">
            <w:pPr>
              <w:spacing w:after="0" w:line="259" w:lineRule="auto"/>
              <w:ind w:left="12" w:firstLine="0"/>
            </w:pPr>
            <w:r>
              <w:rPr>
                <w:sz w:val="20"/>
              </w:rPr>
              <w:t>cc Number of non-settling claimants needed to achieve</w:t>
            </w:r>
          </w:p>
        </w:tc>
        <w:tc>
          <w:tcPr>
            <w:tcW w:w="1859" w:type="dxa"/>
            <w:tcBorders>
              <w:top w:val="nil"/>
              <w:left w:val="nil"/>
              <w:bottom w:val="nil"/>
              <w:right w:val="nil"/>
            </w:tcBorders>
          </w:tcPr>
          <w:p w14:paraId="14E6C051" w14:textId="77777777" w:rsidR="00082D5A" w:rsidRDefault="00000000">
            <w:pPr>
              <w:spacing w:after="0" w:line="259" w:lineRule="auto"/>
              <w:ind w:left="938" w:firstLine="0"/>
            </w:pPr>
            <w:r>
              <w:rPr>
                <w:sz w:val="20"/>
              </w:rPr>
              <w:t>17,955</w:t>
            </w:r>
          </w:p>
        </w:tc>
        <w:tc>
          <w:tcPr>
            <w:tcW w:w="1687" w:type="dxa"/>
            <w:tcBorders>
              <w:top w:val="nil"/>
              <w:left w:val="nil"/>
              <w:bottom w:val="nil"/>
              <w:right w:val="nil"/>
            </w:tcBorders>
          </w:tcPr>
          <w:p w14:paraId="736C9B2B" w14:textId="77777777" w:rsidR="00082D5A" w:rsidRDefault="00000000">
            <w:pPr>
              <w:spacing w:after="0" w:line="259" w:lineRule="auto"/>
              <w:ind w:left="0" w:right="1" w:firstLine="0"/>
              <w:jc w:val="right"/>
            </w:pPr>
            <w:r>
              <w:rPr>
                <w:sz w:val="20"/>
              </w:rPr>
              <w:t>11,561</w:t>
            </w:r>
          </w:p>
        </w:tc>
      </w:tr>
      <w:tr w:rsidR="00082D5A" w14:paraId="51C882BB" w14:textId="77777777">
        <w:trPr>
          <w:trHeight w:val="250"/>
        </w:trPr>
        <w:tc>
          <w:tcPr>
            <w:tcW w:w="6695" w:type="dxa"/>
            <w:gridSpan w:val="2"/>
            <w:tcBorders>
              <w:top w:val="nil"/>
              <w:left w:val="nil"/>
              <w:bottom w:val="nil"/>
              <w:right w:val="nil"/>
            </w:tcBorders>
          </w:tcPr>
          <w:p w14:paraId="48862716" w14:textId="77777777" w:rsidR="00082D5A" w:rsidRDefault="00000000">
            <w:pPr>
              <w:spacing w:after="0" w:line="259" w:lineRule="auto"/>
              <w:ind w:left="0" w:firstLine="0"/>
            </w:pPr>
            <w:r>
              <w:rPr>
                <w:sz w:val="20"/>
              </w:rPr>
              <w:t>dd Percentage of non-settling claimants needed by Debtor</w:t>
            </w:r>
          </w:p>
        </w:tc>
        <w:tc>
          <w:tcPr>
            <w:tcW w:w="1859" w:type="dxa"/>
            <w:tcBorders>
              <w:top w:val="nil"/>
              <w:left w:val="nil"/>
              <w:bottom w:val="nil"/>
              <w:right w:val="nil"/>
            </w:tcBorders>
          </w:tcPr>
          <w:p w14:paraId="5D96618A" w14:textId="77777777" w:rsidR="00082D5A" w:rsidRDefault="00000000">
            <w:pPr>
              <w:spacing w:after="0" w:line="259" w:lineRule="auto"/>
              <w:ind w:left="872" w:firstLine="0"/>
            </w:pPr>
            <w:r>
              <w:rPr>
                <w:sz w:val="20"/>
              </w:rPr>
              <w:t>54.84%</w:t>
            </w:r>
          </w:p>
        </w:tc>
        <w:tc>
          <w:tcPr>
            <w:tcW w:w="1687" w:type="dxa"/>
            <w:tcBorders>
              <w:top w:val="nil"/>
              <w:left w:val="nil"/>
              <w:bottom w:val="nil"/>
              <w:right w:val="nil"/>
            </w:tcBorders>
          </w:tcPr>
          <w:p w14:paraId="6D28D035" w14:textId="77777777" w:rsidR="00082D5A" w:rsidRDefault="00000000">
            <w:pPr>
              <w:spacing w:after="0" w:line="259" w:lineRule="auto"/>
              <w:ind w:left="0" w:firstLine="0"/>
              <w:jc w:val="right"/>
            </w:pPr>
            <w:r>
              <w:rPr>
                <w:sz w:val="20"/>
              </w:rPr>
              <w:t>48.97%</w:t>
            </w:r>
          </w:p>
        </w:tc>
      </w:tr>
      <w:tr w:rsidR="00082D5A" w14:paraId="62EA5F7D" w14:textId="77777777">
        <w:trPr>
          <w:trHeight w:val="250"/>
        </w:trPr>
        <w:tc>
          <w:tcPr>
            <w:tcW w:w="6695" w:type="dxa"/>
            <w:gridSpan w:val="2"/>
            <w:tcBorders>
              <w:top w:val="nil"/>
              <w:left w:val="nil"/>
              <w:bottom w:val="nil"/>
              <w:right w:val="nil"/>
            </w:tcBorders>
          </w:tcPr>
          <w:p w14:paraId="144C14FB" w14:textId="77777777" w:rsidR="00082D5A" w:rsidRDefault="00000000">
            <w:pPr>
              <w:spacing w:after="0" w:line="259" w:lineRule="auto"/>
              <w:ind w:left="12" w:firstLine="0"/>
            </w:pPr>
            <w:r>
              <w:rPr>
                <w:sz w:val="20"/>
              </w:rPr>
              <w:t>ee Number of claimants represented by Ad Hoc Committee</w:t>
            </w:r>
          </w:p>
        </w:tc>
        <w:tc>
          <w:tcPr>
            <w:tcW w:w="1859" w:type="dxa"/>
            <w:tcBorders>
              <w:top w:val="nil"/>
              <w:left w:val="nil"/>
              <w:bottom w:val="nil"/>
              <w:right w:val="nil"/>
            </w:tcBorders>
          </w:tcPr>
          <w:p w14:paraId="45CD9AE1" w14:textId="77777777" w:rsidR="00082D5A" w:rsidRDefault="00000000">
            <w:pPr>
              <w:spacing w:after="0" w:line="259" w:lineRule="auto"/>
              <w:ind w:left="938" w:firstLine="0"/>
            </w:pPr>
            <w:r>
              <w:rPr>
                <w:sz w:val="20"/>
              </w:rPr>
              <w:t>20,882</w:t>
            </w:r>
          </w:p>
        </w:tc>
        <w:tc>
          <w:tcPr>
            <w:tcW w:w="1687" w:type="dxa"/>
            <w:tcBorders>
              <w:top w:val="nil"/>
              <w:left w:val="nil"/>
              <w:bottom w:val="nil"/>
              <w:right w:val="nil"/>
            </w:tcBorders>
          </w:tcPr>
          <w:p w14:paraId="7BBB7E54" w14:textId="77777777" w:rsidR="00082D5A" w:rsidRDefault="00000000">
            <w:pPr>
              <w:spacing w:after="0" w:line="259" w:lineRule="auto"/>
              <w:ind w:left="0" w:right="1" w:firstLine="0"/>
              <w:jc w:val="right"/>
            </w:pPr>
            <w:r>
              <w:rPr>
                <w:sz w:val="20"/>
              </w:rPr>
              <w:t>20,882</w:t>
            </w:r>
          </w:p>
        </w:tc>
      </w:tr>
      <w:tr w:rsidR="00082D5A" w14:paraId="55372992" w14:textId="77777777">
        <w:trPr>
          <w:trHeight w:val="236"/>
        </w:trPr>
        <w:tc>
          <w:tcPr>
            <w:tcW w:w="6695" w:type="dxa"/>
            <w:gridSpan w:val="2"/>
            <w:tcBorders>
              <w:top w:val="nil"/>
              <w:left w:val="nil"/>
              <w:bottom w:val="nil"/>
              <w:right w:val="nil"/>
            </w:tcBorders>
          </w:tcPr>
          <w:p w14:paraId="545E2BBB" w14:textId="77777777" w:rsidR="00082D5A" w:rsidRDefault="00000000">
            <w:pPr>
              <w:spacing w:after="0" w:line="259" w:lineRule="auto"/>
              <w:ind w:left="34" w:firstLine="0"/>
            </w:pPr>
            <w:r>
              <w:rPr>
                <w:sz w:val="20"/>
              </w:rPr>
              <w:t>ff Percentage of non-settling claimants represented by Ad Hoc Committee</w:t>
            </w:r>
          </w:p>
        </w:tc>
        <w:tc>
          <w:tcPr>
            <w:tcW w:w="1859" w:type="dxa"/>
            <w:tcBorders>
              <w:top w:val="nil"/>
              <w:left w:val="nil"/>
              <w:bottom w:val="nil"/>
              <w:right w:val="nil"/>
            </w:tcBorders>
          </w:tcPr>
          <w:p w14:paraId="3BC07F4C" w14:textId="77777777" w:rsidR="00082D5A" w:rsidRDefault="00000000">
            <w:pPr>
              <w:spacing w:after="0" w:line="259" w:lineRule="auto"/>
              <w:ind w:left="872" w:firstLine="0"/>
            </w:pPr>
            <w:r>
              <w:rPr>
                <w:sz w:val="20"/>
              </w:rPr>
              <w:t>63.78%</w:t>
            </w:r>
          </w:p>
        </w:tc>
        <w:tc>
          <w:tcPr>
            <w:tcW w:w="1687" w:type="dxa"/>
            <w:tcBorders>
              <w:top w:val="nil"/>
              <w:left w:val="nil"/>
              <w:bottom w:val="nil"/>
              <w:right w:val="nil"/>
            </w:tcBorders>
          </w:tcPr>
          <w:p w14:paraId="62E062B2" w14:textId="77777777" w:rsidR="00082D5A" w:rsidRDefault="00000000">
            <w:pPr>
              <w:spacing w:after="0" w:line="259" w:lineRule="auto"/>
              <w:ind w:left="0" w:firstLine="0"/>
              <w:jc w:val="right"/>
            </w:pPr>
            <w:r>
              <w:rPr>
                <w:sz w:val="20"/>
              </w:rPr>
              <w:t>88.45%</w:t>
            </w:r>
          </w:p>
        </w:tc>
      </w:tr>
    </w:tbl>
    <w:p w14:paraId="404296E3" w14:textId="77777777" w:rsidR="00970683" w:rsidRDefault="00970683"/>
    <w:sectPr w:rsidR="00970683">
      <w:headerReference w:type="even" r:id="rId13"/>
      <w:headerReference w:type="default" r:id="rId14"/>
      <w:headerReference w:type="first" r:id="rId15"/>
      <w:pgSz w:w="12240" w:h="15840"/>
      <w:pgMar w:top="1440" w:right="1065" w:bottom="94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EBFCC" w14:textId="77777777" w:rsidR="00970683" w:rsidRDefault="00970683">
      <w:pPr>
        <w:spacing w:after="0" w:line="240" w:lineRule="auto"/>
      </w:pPr>
      <w:r>
        <w:separator/>
      </w:r>
    </w:p>
  </w:endnote>
  <w:endnote w:type="continuationSeparator" w:id="0">
    <w:p w14:paraId="6C6047DC" w14:textId="77777777" w:rsidR="00970683" w:rsidRDefault="00970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539EB" w14:textId="77777777" w:rsidR="006133CF" w:rsidRDefault="006133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9357E" w14:textId="77777777" w:rsidR="006133CF" w:rsidRDefault="006133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47912" w14:textId="77777777" w:rsidR="006133CF" w:rsidRDefault="00613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8C2FE" w14:textId="77777777" w:rsidR="00970683" w:rsidRDefault="00970683">
      <w:pPr>
        <w:spacing w:after="0" w:line="284" w:lineRule="auto"/>
        <w:ind w:left="0" w:firstLine="720"/>
        <w:jc w:val="both"/>
      </w:pPr>
      <w:r>
        <w:separator/>
      </w:r>
    </w:p>
  </w:footnote>
  <w:footnote w:type="continuationSeparator" w:id="0">
    <w:p w14:paraId="1217622A" w14:textId="77777777" w:rsidR="00970683" w:rsidRDefault="00970683">
      <w:pPr>
        <w:spacing w:after="0" w:line="284" w:lineRule="auto"/>
        <w:ind w:left="0" w:firstLine="720"/>
        <w:jc w:val="both"/>
      </w:pPr>
      <w:r>
        <w:continuationSeparator/>
      </w:r>
    </w:p>
  </w:footnote>
  <w:footnote w:id="1">
    <w:p w14:paraId="017B28ED" w14:textId="77777777" w:rsidR="00082D5A" w:rsidRDefault="00000000">
      <w:pPr>
        <w:pStyle w:val="footnotedescription"/>
        <w:spacing w:after="0" w:line="284" w:lineRule="auto"/>
        <w:ind w:firstLine="720"/>
        <w:jc w:val="both"/>
      </w:pPr>
      <w:r>
        <w:rPr>
          <w:rStyle w:val="footnotemark"/>
        </w:rPr>
        <w:footnoteRef/>
      </w:r>
      <w:r>
        <w:t xml:space="preserve"> The current members of the Ad-Hoc Committee are Weitz &amp; Luxenberg, PC, Cooney &amp; Conway and the Law Offices of Peter G. Angelos, PC. </w:t>
      </w:r>
    </w:p>
  </w:footnote>
  <w:footnote w:id="2">
    <w:p w14:paraId="6CDDB442" w14:textId="77777777" w:rsidR="00082D5A" w:rsidRDefault="00000000">
      <w:pPr>
        <w:pStyle w:val="footnotedescription"/>
        <w:spacing w:after="281" w:line="284" w:lineRule="auto"/>
        <w:ind w:firstLine="720"/>
      </w:pPr>
      <w:r>
        <w:rPr>
          <w:rStyle w:val="footnotemark"/>
        </w:rPr>
        <w:footnoteRef/>
      </w:r>
      <w:r>
        <w:t xml:space="preserve"> Capitalized terms not defined in this Objection have the same meaning as in the Debtor’s Proposed First Amended Disclosure Statement (the "Disclosure Statement"), dated August 17, 2005. </w:t>
      </w:r>
    </w:p>
    <w:p w14:paraId="10592F9B" w14:textId="77777777" w:rsidR="00082D5A" w:rsidRDefault="00000000">
      <w:pPr>
        <w:pStyle w:val="footnotedescription"/>
        <w:spacing w:after="0"/>
        <w:ind w:left="717"/>
        <w:jc w:val="center"/>
      </w:pPr>
      <w:r>
        <w:rPr>
          <w:sz w:val="24"/>
        </w:rPr>
        <w:t xml:space="preserve">- 2 - </w:t>
      </w:r>
    </w:p>
  </w:footnote>
  <w:footnote w:id="3">
    <w:p w14:paraId="4884146A" w14:textId="77777777" w:rsidR="00082D5A" w:rsidRDefault="00000000">
      <w:pPr>
        <w:pStyle w:val="footnotedescription"/>
        <w:spacing w:after="310" w:line="254" w:lineRule="auto"/>
        <w:ind w:firstLine="720"/>
      </w:pPr>
      <w:r>
        <w:rPr>
          <w:rStyle w:val="footnotemark"/>
        </w:rPr>
        <w:footnoteRef/>
      </w:r>
      <w:r>
        <w:t xml:space="preserve"> The Ad Hoc Committee recognizes that Section 1129(b), the Bankruptcy Code’s so-called “cram down” provision, provides another mechanism for achieving plan approval.  However, while the Debtor has attempted to reserve the right to seek a “cram down,” the Amended Disclosure Statement does not argue that this method is being proposed. </w:t>
      </w:r>
    </w:p>
    <w:p w14:paraId="0E100ED0" w14:textId="77777777" w:rsidR="00082D5A" w:rsidRDefault="00000000">
      <w:pPr>
        <w:pStyle w:val="footnotedescription"/>
        <w:spacing w:after="0"/>
        <w:ind w:left="717"/>
        <w:jc w:val="center"/>
      </w:pPr>
      <w:r>
        <w:rPr>
          <w:sz w:val="24"/>
        </w:rPr>
        <w:t xml:space="preserve">- 6 - </w:t>
      </w:r>
    </w:p>
  </w:footnote>
  <w:footnote w:id="4">
    <w:p w14:paraId="1914EF0C" w14:textId="77777777" w:rsidR="00082D5A" w:rsidRDefault="00000000">
      <w:pPr>
        <w:pStyle w:val="footnotedescription"/>
        <w:spacing w:after="0" w:line="254" w:lineRule="auto"/>
        <w:ind w:firstLine="720"/>
      </w:pPr>
      <w:r>
        <w:rPr>
          <w:rStyle w:val="footnotemark"/>
        </w:rPr>
        <w:footnoteRef/>
      </w:r>
      <w:r>
        <w:t xml:space="preserve"> </w:t>
      </w:r>
      <w:proofErr w:type="gramStart"/>
      <w:r>
        <w:t>The only</w:t>
      </w:r>
      <w:proofErr w:type="gramEnd"/>
      <w:r>
        <w:t xml:space="preserve"> other two cases cited by the Debtor are unpublished orders from apparently uncontested motions.  For example, the court in </w:t>
      </w:r>
      <w:proofErr w:type="gramStart"/>
      <w:r>
        <w:rPr>
          <w:u w:val="single" w:color="000000"/>
        </w:rPr>
        <w:t>In</w:t>
      </w:r>
      <w:proofErr w:type="gramEnd"/>
      <w:r>
        <w:rPr>
          <w:u w:val="single" w:color="000000"/>
        </w:rPr>
        <w:t xml:space="preserve"> re M.H. Detrick Co.</w:t>
      </w:r>
      <w:r>
        <w:t>, Case No. 98 B 01004 (JDS) (</w:t>
      </w:r>
      <w:proofErr w:type="spellStart"/>
      <w:r>
        <w:t>Bankr</w:t>
      </w:r>
      <w:proofErr w:type="spellEnd"/>
      <w:r>
        <w:t xml:space="preserve">. N.D. Ill. June 5, 2002) specifically noted, on page 1 of the very order relied upon by the Debtor that “no objections to the Voting Procedures Motion </w:t>
      </w:r>
      <w:proofErr w:type="spellStart"/>
      <w:r>
        <w:t>hav</w:t>
      </w:r>
      <w:proofErr w:type="spellEnd"/>
      <w:r>
        <w:t xml:space="preserve">[e] been filed.”  Similarly, a review of the docket in </w:t>
      </w:r>
      <w:proofErr w:type="gramStart"/>
      <w:r>
        <w:rPr>
          <w:u w:val="single" w:color="000000"/>
        </w:rPr>
        <w:t>In</w:t>
      </w:r>
      <w:proofErr w:type="gramEnd"/>
      <w:r>
        <w:rPr>
          <w:u w:val="single" w:color="000000"/>
        </w:rPr>
        <w:t xml:space="preserve"> re Rutland Fire Clay Co.</w:t>
      </w:r>
      <w:r>
        <w:t xml:space="preserve">, Case No. </w:t>
      </w:r>
    </w:p>
  </w:footnote>
  <w:footnote w:id="5">
    <w:p w14:paraId="53235CA6" w14:textId="77777777" w:rsidR="00082D5A" w:rsidRDefault="00000000">
      <w:pPr>
        <w:pStyle w:val="footnotedescription"/>
        <w:spacing w:after="207" w:line="238" w:lineRule="auto"/>
      </w:pPr>
      <w:r>
        <w:rPr>
          <w:rStyle w:val="footnotemark"/>
        </w:rPr>
        <w:footnoteRef/>
      </w:r>
      <w:r>
        <w:t xml:space="preserve"> -11390 (CAB) (</w:t>
      </w:r>
      <w:proofErr w:type="spellStart"/>
      <w:r>
        <w:t>Bankr</w:t>
      </w:r>
      <w:proofErr w:type="spellEnd"/>
      <w:r>
        <w:t xml:space="preserve">. D. Vt. Oct. 17, 2000), reveals no objections filed to the Joint Motion of the Debtors, the Official Tort Claimants Committee </w:t>
      </w:r>
      <w:proofErr w:type="gramStart"/>
      <w:r>
        <w:t>And</w:t>
      </w:r>
      <w:proofErr w:type="gramEnd"/>
      <w:r>
        <w:t xml:space="preserve"> the Legal Representative of the Future Claimants </w:t>
      </w:r>
      <w:proofErr w:type="gramStart"/>
      <w:r>
        <w:t>For</w:t>
      </w:r>
      <w:proofErr w:type="gramEnd"/>
      <w:r>
        <w:t xml:space="preserve"> </w:t>
      </w:r>
      <w:proofErr w:type="gramStart"/>
      <w:r>
        <w:t>An</w:t>
      </w:r>
      <w:proofErr w:type="gramEnd"/>
      <w:r>
        <w:t xml:space="preserve"> Order Establishing Solicitation </w:t>
      </w:r>
      <w:proofErr w:type="gramStart"/>
      <w:r>
        <w:t>And</w:t>
      </w:r>
      <w:proofErr w:type="gramEnd"/>
      <w:r>
        <w:t xml:space="preserve"> Voting Procedures. </w:t>
      </w:r>
    </w:p>
  </w:footnote>
  <w:footnote w:id="6">
    <w:p w14:paraId="0EA63C7A" w14:textId="77777777" w:rsidR="00082D5A" w:rsidRDefault="00000000">
      <w:pPr>
        <w:pStyle w:val="footnotedescription"/>
        <w:spacing w:after="0"/>
        <w:ind w:left="720"/>
      </w:pPr>
      <w:r>
        <w:rPr>
          <w:rStyle w:val="footnotemark"/>
        </w:rPr>
        <w:footnoteRef/>
      </w:r>
      <w:r>
        <w:t xml:space="preserve"> Similarly, </w:t>
      </w:r>
      <w:proofErr w:type="gramStart"/>
      <w:r>
        <w:rPr>
          <w:u w:val="single" w:color="000000"/>
        </w:rPr>
        <w:t>In</w:t>
      </w:r>
      <w:proofErr w:type="gramEnd"/>
      <w:r>
        <w:rPr>
          <w:u w:val="single" w:color="000000"/>
        </w:rPr>
        <w:t xml:space="preserve"> re A.H. Robbins Co.</w:t>
      </w:r>
      <w:r>
        <w:t xml:space="preserve"> dealt with mass-tort claimants, although it did so in the context of </w:t>
      </w:r>
    </w:p>
    <w:p w14:paraId="1A6AC494" w14:textId="77777777" w:rsidR="00082D5A" w:rsidRDefault="00000000">
      <w:pPr>
        <w:pStyle w:val="footnotedescription"/>
        <w:spacing w:after="326" w:line="238" w:lineRule="auto"/>
      </w:pPr>
      <w:proofErr w:type="spellStart"/>
      <w:r>
        <w:t>Dalkon</w:t>
      </w:r>
      <w:proofErr w:type="spellEnd"/>
      <w:r>
        <w:t xml:space="preserve"> Shield litigation.  Again, an overwhelming majority of claimants – 94.38% - voted in favor of the plan.  </w:t>
      </w:r>
      <w:r>
        <w:rPr>
          <w:u w:val="single" w:color="000000"/>
        </w:rPr>
        <w:t>In re</w:t>
      </w:r>
      <w:r>
        <w:t xml:space="preserve"> </w:t>
      </w:r>
      <w:r>
        <w:rPr>
          <w:u w:val="single" w:color="000000"/>
        </w:rPr>
        <w:t>A.H. Robbins Co.</w:t>
      </w:r>
      <w:r>
        <w:t xml:space="preserve">, 880 F.2d at 698.  Given that number, and </w:t>
      </w:r>
      <w:proofErr w:type="gramStart"/>
      <w:r>
        <w:t>in light of</w:t>
      </w:r>
      <w:proofErr w:type="gramEnd"/>
      <w:r>
        <w:t xml:space="preserve"> the court’s assumption that the largest claimants </w:t>
      </w:r>
      <w:proofErr w:type="gramStart"/>
      <w:r>
        <w:t>actually had</w:t>
      </w:r>
      <w:proofErr w:type="gramEnd"/>
      <w:r>
        <w:t xml:space="preserve"> more to lose if the plan was rejected, the court again sidestepped the question of whether such a procedure was proper. </w:t>
      </w:r>
    </w:p>
    <w:p w14:paraId="0D041458" w14:textId="77777777" w:rsidR="00082D5A" w:rsidRDefault="00000000">
      <w:pPr>
        <w:pStyle w:val="footnotedescription"/>
        <w:spacing w:after="0"/>
        <w:ind w:left="717"/>
        <w:jc w:val="center"/>
      </w:pPr>
      <w:r>
        <w:rPr>
          <w:sz w:val="24"/>
        </w:rPr>
        <w:t xml:space="preserve">- 8 - </w:t>
      </w:r>
    </w:p>
  </w:footnote>
  <w:footnote w:id="7">
    <w:p w14:paraId="708D3EBF" w14:textId="77777777" w:rsidR="00082D5A" w:rsidRDefault="00000000">
      <w:pPr>
        <w:pStyle w:val="footnotedescription"/>
        <w:spacing w:after="96" w:line="244" w:lineRule="auto"/>
        <w:ind w:firstLine="720"/>
      </w:pPr>
      <w:r>
        <w:rPr>
          <w:rStyle w:val="footnotemark"/>
        </w:rPr>
        <w:footnoteRef/>
      </w:r>
      <w:r>
        <w:t xml:space="preserve"> The only substantive information that is available is contained in </w:t>
      </w:r>
      <w:r>
        <w:rPr>
          <w:u w:val="single" w:color="000000"/>
        </w:rPr>
        <w:t>Exhibit A</w:t>
      </w:r>
      <w:r>
        <w:t xml:space="preserve"> to the Objection of the United States Trustee filed in response to Debtor’s Motion to Strike Rule 2019 Statements (the “U.S. Trustees Objection”).  </w:t>
      </w:r>
      <w:r>
        <w:rPr>
          <w:u w:val="single" w:color="000000"/>
        </w:rPr>
        <w:t>See</w:t>
      </w:r>
      <w:r>
        <w:t xml:space="preserve"> Docket No. 183.  Exhibit A is a list provided by the Debtor to the United States Trustee in or about September 2004 setting forth the settling and non-settling claimants.  Substantial discovery is needed </w:t>
      </w:r>
      <w:proofErr w:type="gramStart"/>
      <w:r>
        <w:t>on</w:t>
      </w:r>
      <w:proofErr w:type="gramEnd"/>
      <w:r>
        <w:t xml:space="preserve"> the details of these settlements prior to any confirmation hearing. </w:t>
      </w:r>
    </w:p>
  </w:footnote>
  <w:footnote w:id="8">
    <w:p w14:paraId="75AD09DD" w14:textId="77777777" w:rsidR="00082D5A" w:rsidRDefault="00000000">
      <w:pPr>
        <w:pStyle w:val="footnotedescription"/>
        <w:spacing w:after="314" w:line="249" w:lineRule="auto"/>
        <w:ind w:firstLine="720"/>
      </w:pPr>
      <w:r>
        <w:rPr>
          <w:rStyle w:val="footnotemark"/>
        </w:rPr>
        <w:footnoteRef/>
      </w:r>
      <w:r>
        <w:t xml:space="preserve"> Looking at the settlements on an average, “per claim” basis and comparing them to the overall prepetition settlement structure further amplifies this point.  The top 4 settling law firms, representing one-half of 1% of all Settling Plaintiffs, received more than 20% of all pre-petition settlement dollars.  </w:t>
      </w:r>
      <w:r>
        <w:rPr>
          <w:u w:val="single" w:color="000000"/>
        </w:rPr>
        <w:t>See</w:t>
      </w:r>
      <w:r>
        <w:t xml:space="preserve"> U.S. Trustees Objection.  Conversely, the bottom 15 settling law firms, representing more than 40% of all Settling Plaintiffs, received approximately 20% of pre-petition settlement dollars.  </w:t>
      </w:r>
      <w:r>
        <w:rPr>
          <w:u w:val="single" w:color="000000"/>
        </w:rPr>
        <w:t>Id</w:t>
      </w:r>
      <w:r>
        <w:t xml:space="preserve">. </w:t>
      </w:r>
    </w:p>
    <w:p w14:paraId="0A605375" w14:textId="77777777" w:rsidR="00082D5A" w:rsidRDefault="00000000">
      <w:pPr>
        <w:pStyle w:val="footnotedescription"/>
        <w:spacing w:after="0"/>
        <w:ind w:left="717"/>
        <w:jc w:val="center"/>
      </w:pPr>
      <w:r>
        <w:rPr>
          <w:sz w:val="24"/>
        </w:rPr>
        <w:t xml:space="preserve">- 10 - </w:t>
      </w:r>
    </w:p>
  </w:footnote>
  <w:footnote w:id="9">
    <w:p w14:paraId="2C6E5FD6" w14:textId="77777777" w:rsidR="00082D5A" w:rsidRDefault="00000000">
      <w:pPr>
        <w:pStyle w:val="footnotedescription"/>
        <w:spacing w:after="320" w:line="244" w:lineRule="auto"/>
        <w:ind w:firstLine="720"/>
      </w:pPr>
      <w:r>
        <w:rPr>
          <w:rStyle w:val="footnotemark"/>
        </w:rPr>
        <w:footnoteRef/>
      </w:r>
      <w:r>
        <w:t xml:space="preserve"> This figure has been reduced by Debtor from its initial estimate of 162,700 in the original Disclosure Statement and is far less than the 181,591 claimants listed in </w:t>
      </w:r>
      <w:r>
        <w:rPr>
          <w:u w:val="single" w:color="000000"/>
        </w:rPr>
        <w:t>Exhibit A</w:t>
      </w:r>
      <w:r>
        <w:t xml:space="preserve"> to the U.S. Trustees Objection.  As discussed below, far more discovery and disclosure </w:t>
      </w:r>
      <w:proofErr w:type="gramStart"/>
      <w:r>
        <w:t>is</w:t>
      </w:r>
      <w:proofErr w:type="gramEnd"/>
      <w:r>
        <w:t xml:space="preserve"> needed to explain these vast discrepancies, including the extent to which any such claims may have effectively been “tort-reformed” out of existence, rendering that claimant unable to vote on the proposed Plan.  Obviously, to the extent that any Settling Plaintiff has had their claim against Debtor </w:t>
      </w:r>
      <w:proofErr w:type="spellStart"/>
      <w:r>
        <w:t>tortreformed</w:t>
      </w:r>
      <w:proofErr w:type="spellEnd"/>
      <w:r>
        <w:t xml:space="preserve"> out of existence, they are no longer a “creditor” and, thus, will not be entitled to vote on the proposed Plan.  However, looking only at the most recent estimate and solely for purposes of this example, the Ad Hoc Committee will assume that the reduction of 32,591 claimants (181,591 to 149,000) is to be applied equally, in the same proportion as the reported Settling Plaintiffs (78% of original total) and non-settling plaintiffs (22%). </w:t>
      </w:r>
    </w:p>
    <w:p w14:paraId="215F4E4A" w14:textId="77777777" w:rsidR="00082D5A" w:rsidRDefault="00000000">
      <w:pPr>
        <w:pStyle w:val="footnotedescription"/>
        <w:spacing w:after="0"/>
        <w:ind w:left="717"/>
        <w:jc w:val="center"/>
      </w:pPr>
      <w:r>
        <w:rPr>
          <w:sz w:val="24"/>
        </w:rPr>
        <w:t xml:space="preserve">- 11 - </w:t>
      </w:r>
    </w:p>
  </w:footnote>
  <w:footnote w:id="10">
    <w:p w14:paraId="604B338A" w14:textId="77777777" w:rsidR="00082D5A" w:rsidRDefault="00000000">
      <w:pPr>
        <w:pStyle w:val="footnotedescription"/>
        <w:spacing w:after="319" w:line="244" w:lineRule="auto"/>
        <w:ind w:firstLine="720"/>
      </w:pPr>
      <w:r>
        <w:rPr>
          <w:rStyle w:val="footnotemark"/>
        </w:rPr>
        <w:footnoteRef/>
      </w:r>
      <w:r>
        <w:t xml:space="preserve"> Even if the Debtor is afforded the benefit of the doubt (which would be inconsistent with the burden of proof) and the 32,591 reduction were applied equally to Settling Plaintiffs and non-settling claimants (which is virtually a mathematical impossibility given the size of the Ad Hoc Committee), the Debtor would still have no real hope of achieving the required two-third of value.  Under this scenario, the properly weighted total voting ‘value’ would be $36,149 (125,391 Settling Plaintiffs * $0.10 </w:t>
      </w:r>
      <w:r>
        <w:rPr>
          <w:i/>
        </w:rPr>
        <w:t>plus</w:t>
      </w:r>
      <w:r>
        <w:t xml:space="preserve"> 23,610 non-settling plaintiffs *$1.00).  </w:t>
      </w:r>
      <w:r>
        <w:rPr>
          <w:u w:val="single" w:color="000000"/>
        </w:rPr>
        <w:t>See</w:t>
      </w:r>
      <w:r>
        <w:t xml:space="preserve"> </w:t>
      </w:r>
      <w:r>
        <w:rPr>
          <w:u w:val="single" w:color="000000"/>
        </w:rPr>
        <w:t>Exhibit 1</w:t>
      </w:r>
      <w:r>
        <w:t xml:space="preserve">, line x.  Of this figure, the ‘value’ of the Settling Plaintiffs’ votes would be $12,539, </w:t>
      </w:r>
      <w:r>
        <w:rPr>
          <w:u w:val="single" w:color="000000"/>
        </w:rPr>
        <w:t>id</w:t>
      </w:r>
      <w:r>
        <w:t xml:space="preserve">., line t, or less than 35%.  </w:t>
      </w:r>
      <w:r>
        <w:rPr>
          <w:u w:val="single" w:color="000000"/>
        </w:rPr>
        <w:t>Id</w:t>
      </w:r>
      <w:r>
        <w:t xml:space="preserve">., line y.  </w:t>
      </w:r>
      <w:proofErr w:type="gramStart"/>
      <w:r>
        <w:t>In order to</w:t>
      </w:r>
      <w:proofErr w:type="gramEnd"/>
      <w:r>
        <w:t xml:space="preserve"> achieve the necessary two-thirds, Debtors would have to secure the vote of nearly 49% of all </w:t>
      </w:r>
      <w:proofErr w:type="spellStart"/>
      <w:r>
        <w:t>nonsettling</w:t>
      </w:r>
      <w:proofErr w:type="spellEnd"/>
      <w:r>
        <w:t xml:space="preserve"> claimants, </w:t>
      </w:r>
      <w:r>
        <w:rPr>
          <w:u w:val="single" w:color="000000"/>
        </w:rPr>
        <w:t>id</w:t>
      </w:r>
      <w:r>
        <w:t xml:space="preserve">., line dd, (which, again, is impossible given the size of the Ad Hoc Committee). </w:t>
      </w:r>
    </w:p>
    <w:p w14:paraId="400519FD" w14:textId="77777777" w:rsidR="00082D5A" w:rsidRDefault="00000000">
      <w:pPr>
        <w:pStyle w:val="footnotedescription"/>
        <w:spacing w:after="0"/>
        <w:ind w:left="717"/>
        <w:jc w:val="center"/>
      </w:pPr>
      <w:r>
        <w:rPr>
          <w:sz w:val="24"/>
        </w:rPr>
        <w:t xml:space="preserve">- 12 - </w:t>
      </w:r>
    </w:p>
  </w:footnote>
  <w:footnote w:id="11">
    <w:p w14:paraId="1EC2C51F" w14:textId="77777777" w:rsidR="00082D5A" w:rsidRDefault="00000000">
      <w:pPr>
        <w:pStyle w:val="footnotedescription"/>
        <w:spacing w:after="314" w:line="250" w:lineRule="auto"/>
        <w:ind w:firstLine="720"/>
      </w:pPr>
      <w:r>
        <w:rPr>
          <w:rStyle w:val="footnotemark"/>
        </w:rPr>
        <w:footnoteRef/>
      </w:r>
      <w:r>
        <w:t xml:space="preserve"> Although such a reduction drastically helps the Debtor argue that the pre-petition settlements are sufficient to reach the required 75% threshold of 524(g) (if the number of claims subject to pre-petition settlements remains constant, a reduction in total claims necessarily increases the total percentage those claims represent), there has been no explanation as to why this number has been reduced.  Moreover, the current numbers reveal serious questions about the representations made by the Debtor when seeking its preliminary injunction.  </w:t>
      </w:r>
    </w:p>
    <w:p w14:paraId="3110F14E" w14:textId="77777777" w:rsidR="00082D5A" w:rsidRDefault="00000000">
      <w:pPr>
        <w:pStyle w:val="footnotedescription"/>
        <w:spacing w:after="0"/>
        <w:ind w:left="717"/>
        <w:jc w:val="center"/>
      </w:pPr>
      <w:r>
        <w:rPr>
          <w:sz w:val="24"/>
        </w:rPr>
        <w:t xml:space="preserve">- 14 - </w:t>
      </w:r>
    </w:p>
  </w:footnote>
  <w:footnote w:id="12">
    <w:p w14:paraId="72061C44" w14:textId="77777777" w:rsidR="00082D5A" w:rsidRDefault="00000000">
      <w:pPr>
        <w:pStyle w:val="footnotedescription"/>
        <w:ind w:left="720"/>
      </w:pPr>
      <w:r>
        <w:rPr>
          <w:rStyle w:val="footnotemark"/>
        </w:rPr>
        <w:footnoteRef/>
      </w:r>
      <w:r>
        <w:t xml:space="preserve"> 80% of the original 162,700 estimated claims </w:t>
      </w:r>
      <w:proofErr w:type="gramStart"/>
      <w:r>
        <w:t>is</w:t>
      </w:r>
      <w:proofErr w:type="gramEnd"/>
      <w:r>
        <w:t xml:space="preserve"> equal to 130,160 claimants, while 80% of the revised </w:t>
      </w:r>
    </w:p>
  </w:footnote>
  <w:footnote w:id="13">
    <w:p w14:paraId="6F776239" w14:textId="77777777" w:rsidR="00082D5A" w:rsidRDefault="00000000">
      <w:pPr>
        <w:pStyle w:val="footnotedescription"/>
        <w:spacing w:after="102" w:line="238" w:lineRule="auto"/>
      </w:pPr>
      <w:r>
        <w:rPr>
          <w:rStyle w:val="footnotemark"/>
        </w:rPr>
        <w:footnoteRef/>
      </w:r>
      <w:r>
        <w:t xml:space="preserve"> ,000 figure is equal to 119,200 claimants.  If, as originally claimed, the Debtors in fact had agreements with over 130,000 claimants, then the reduction in overall claimants would purport to bring their total to almost 90% of the vote.  Of course, mathematically this is an impossibility because, as discussed below, the Ad Hoc Committee itself represents almost 15% of the 149,000 </w:t>
      </w:r>
      <w:proofErr w:type="gramStart"/>
      <w:r>
        <w:t>figure</w:t>
      </w:r>
      <w:proofErr w:type="gramEnd"/>
      <w:r>
        <w:t xml:space="preserve">.  As discussed in greater detail below, these discrepancies need substantially more explanation before any Disclosure Statement can be confirmed. </w:t>
      </w:r>
    </w:p>
  </w:footnote>
  <w:footnote w:id="14">
    <w:p w14:paraId="520018EC" w14:textId="77777777" w:rsidR="00082D5A" w:rsidRDefault="00000000">
      <w:pPr>
        <w:pStyle w:val="footnotedescription"/>
        <w:spacing w:after="314" w:line="250" w:lineRule="auto"/>
        <w:ind w:firstLine="720"/>
      </w:pPr>
      <w:r>
        <w:rPr>
          <w:rStyle w:val="footnotemark"/>
        </w:rPr>
        <w:footnoteRef/>
      </w:r>
      <w:r>
        <w:t xml:space="preserve"> Of course, another explanation is that Debtor </w:t>
      </w:r>
      <w:proofErr w:type="gramStart"/>
      <w:r>
        <w:t>mislead</w:t>
      </w:r>
      <w:proofErr w:type="gramEnd"/>
      <w:r>
        <w:t xml:space="preserve"> this Court at the time it sought the preliminary injunction.  If it currently has deals with 80% of 149,000 claimants, then the number of pre-petition settlements is approximately 119,200.  Based on the original estimate of 162,700 claims, Debtor appears to have had settlements with less than 75% (119,200/149,000=73.26%) of all claimants at the time it </w:t>
      </w:r>
      <w:proofErr w:type="gramStart"/>
      <w:r>
        <w:t>represented to</w:t>
      </w:r>
      <w:proofErr w:type="gramEnd"/>
      <w:r>
        <w:t xml:space="preserve"> the Court, in obtaining preliminary relief, that it had more than 80% of all votes. </w:t>
      </w:r>
    </w:p>
    <w:p w14:paraId="68C8E515" w14:textId="77777777" w:rsidR="00082D5A" w:rsidRDefault="00000000">
      <w:pPr>
        <w:pStyle w:val="footnotedescription"/>
        <w:spacing w:after="0"/>
        <w:ind w:left="717"/>
        <w:jc w:val="center"/>
      </w:pPr>
      <w:r>
        <w:rPr>
          <w:sz w:val="24"/>
        </w:rPr>
        <w:t xml:space="preserve">- 15 - </w:t>
      </w:r>
    </w:p>
  </w:footnote>
  <w:footnote w:id="15">
    <w:p w14:paraId="7E093E2D" w14:textId="77777777" w:rsidR="00082D5A" w:rsidRDefault="00000000">
      <w:pPr>
        <w:pStyle w:val="footnotedescription"/>
        <w:spacing w:after="280" w:line="285" w:lineRule="auto"/>
        <w:ind w:firstLine="720"/>
      </w:pPr>
      <w:r>
        <w:rPr>
          <w:rStyle w:val="footnotemark"/>
        </w:rPr>
        <w:footnoteRef/>
      </w:r>
      <w:r>
        <w:t xml:space="preserve"> Again, substantial discovery is needed on the general subject of the pre-petition settlements and the process leading to them. </w:t>
      </w:r>
    </w:p>
    <w:p w14:paraId="43A34599" w14:textId="77777777" w:rsidR="00082D5A" w:rsidRDefault="00000000">
      <w:pPr>
        <w:pStyle w:val="footnotedescription"/>
        <w:spacing w:after="0"/>
        <w:ind w:left="717"/>
        <w:jc w:val="center"/>
      </w:pPr>
      <w:r>
        <w:rPr>
          <w:sz w:val="24"/>
        </w:rPr>
        <w:t xml:space="preserve">- 18 - </w:t>
      </w:r>
    </w:p>
  </w:footnote>
  <w:footnote w:id="16">
    <w:p w14:paraId="69B1E528" w14:textId="77777777" w:rsidR="00082D5A" w:rsidRDefault="00000000">
      <w:pPr>
        <w:pStyle w:val="footnotedescription"/>
        <w:ind w:left="720"/>
      </w:pPr>
      <w:r>
        <w:rPr>
          <w:rStyle w:val="footnotemark"/>
        </w:rPr>
        <w:footnoteRef/>
      </w:r>
      <w:r>
        <w:t xml:space="preserve"> The information disclosed about the four drug lines purportedly being licensed to Debtor is similarly </w:t>
      </w:r>
    </w:p>
    <w:p w14:paraId="68B122EB" w14:textId="77777777" w:rsidR="00082D5A" w:rsidRDefault="00000000">
      <w:pPr>
        <w:pStyle w:val="footnotedescription"/>
        <w:spacing w:after="305"/>
      </w:pPr>
      <w:r>
        <w:t xml:space="preserve">lacking in sufficient detail. </w:t>
      </w:r>
    </w:p>
    <w:p w14:paraId="6E958715" w14:textId="77777777" w:rsidR="00082D5A" w:rsidRDefault="00000000">
      <w:pPr>
        <w:pStyle w:val="footnotedescription"/>
        <w:spacing w:after="0"/>
        <w:ind w:left="717"/>
        <w:jc w:val="center"/>
      </w:pPr>
      <w:r>
        <w:rPr>
          <w:sz w:val="24"/>
        </w:rPr>
        <w:t xml:space="preserve">- 23 - </w:t>
      </w:r>
    </w:p>
  </w:footnote>
  <w:footnote w:id="17">
    <w:p w14:paraId="796C182D" w14:textId="77777777" w:rsidR="00082D5A" w:rsidRDefault="00000000">
      <w:pPr>
        <w:pStyle w:val="footnotedescription"/>
        <w:spacing w:after="280" w:line="285" w:lineRule="auto"/>
        <w:ind w:firstLine="720"/>
      </w:pPr>
      <w:r>
        <w:rPr>
          <w:rStyle w:val="footnotemark"/>
        </w:rPr>
        <w:footnoteRef/>
      </w:r>
      <w:r>
        <w:t xml:space="preserve"> Again, full discovery is needed on the issue of whether any other such commitments may have been extracted from the Settling Plaintiffs. </w:t>
      </w:r>
    </w:p>
    <w:p w14:paraId="42E877C0" w14:textId="77777777" w:rsidR="00082D5A" w:rsidRDefault="00000000">
      <w:pPr>
        <w:pStyle w:val="footnotedescription"/>
        <w:spacing w:after="0"/>
        <w:ind w:left="717"/>
        <w:jc w:val="center"/>
      </w:pPr>
      <w:r>
        <w:rPr>
          <w:sz w:val="24"/>
        </w:rPr>
        <w:t xml:space="preserve">- 24 - </w:t>
      </w:r>
    </w:p>
  </w:footnote>
  <w:footnote w:id="18">
    <w:p w14:paraId="6B46CEE6" w14:textId="77777777" w:rsidR="00082D5A" w:rsidRDefault="00000000">
      <w:pPr>
        <w:pStyle w:val="footnotedescription"/>
        <w:spacing w:after="314" w:line="250" w:lineRule="auto"/>
        <w:ind w:firstLine="720"/>
      </w:pPr>
      <w:r>
        <w:rPr>
          <w:rStyle w:val="footnotemark"/>
        </w:rPr>
        <w:footnoteRef/>
      </w:r>
      <w:r>
        <w:t xml:space="preserve"> Interestingly, while Debtor argues that estimating asbestos claims for voting purposes “would take years,” it admits that the amount of pre-petition settlements </w:t>
      </w:r>
      <w:proofErr w:type="gramStart"/>
      <w:r>
        <w:t>were</w:t>
      </w:r>
      <w:proofErr w:type="gramEnd"/>
      <w:r>
        <w:t xml:space="preserve"> determined based on “the submission of claims material demonstrating injury and exposure to products manufactured or produced by one or more of the Pfizer Protected Parties or Quigley.”  </w:t>
      </w:r>
      <w:r>
        <w:rPr>
          <w:u w:val="single" w:color="000000"/>
        </w:rPr>
        <w:t>Id</w:t>
      </w:r>
      <w:r>
        <w:t xml:space="preserve">. at </w:t>
      </w:r>
      <w:proofErr w:type="gramStart"/>
      <w:r>
        <w:t>p.</w:t>
      </w:r>
      <w:proofErr w:type="gramEnd"/>
      <w:r>
        <w:t xml:space="preserve"> 16.  There is no explanation offered as to why a similar process could not be employed for voting purposes. </w:t>
      </w:r>
    </w:p>
    <w:p w14:paraId="167C38B4" w14:textId="77777777" w:rsidR="00082D5A" w:rsidRDefault="00000000">
      <w:pPr>
        <w:pStyle w:val="footnotedescription"/>
        <w:spacing w:after="0"/>
        <w:ind w:left="717"/>
        <w:jc w:val="center"/>
      </w:pPr>
      <w:r>
        <w:rPr>
          <w:sz w:val="24"/>
        </w:rPr>
        <w:t xml:space="preserve">- 26 - </w:t>
      </w:r>
    </w:p>
  </w:footnote>
  <w:footnote w:id="19">
    <w:p w14:paraId="369821A4" w14:textId="77777777" w:rsidR="00082D5A" w:rsidRDefault="00000000">
      <w:pPr>
        <w:pStyle w:val="footnotedescription"/>
        <w:spacing w:after="302" w:line="262" w:lineRule="auto"/>
        <w:ind w:firstLine="720"/>
      </w:pPr>
      <w:r>
        <w:rPr>
          <w:rStyle w:val="footnotemark"/>
        </w:rPr>
        <w:footnoteRef/>
      </w:r>
      <w:r>
        <w:t xml:space="preserve"> </w:t>
      </w:r>
      <w:proofErr w:type="gramStart"/>
      <w:r>
        <w:t>In light of</w:t>
      </w:r>
      <w:proofErr w:type="gramEnd"/>
      <w:r>
        <w:t xml:space="preserve"> its findings with respect to the “stub claims” and possible “artificial impairment,” the Third Circuit, in </w:t>
      </w:r>
      <w:r>
        <w:rPr>
          <w:u w:val="single" w:color="000000"/>
        </w:rPr>
        <w:t>Combustion Engineering</w:t>
      </w:r>
      <w:r>
        <w:t xml:space="preserve">, also remanded the case for further findings on the “good faith” requirement in Section 1129(a)(3).  391 F.3d at 246-47. </w:t>
      </w:r>
    </w:p>
    <w:p w14:paraId="054F58AA" w14:textId="77777777" w:rsidR="00082D5A" w:rsidRDefault="00000000">
      <w:pPr>
        <w:pStyle w:val="footnotedescription"/>
        <w:spacing w:after="0"/>
        <w:ind w:left="717"/>
        <w:jc w:val="center"/>
      </w:pPr>
      <w:r>
        <w:rPr>
          <w:sz w:val="24"/>
        </w:rPr>
        <w:t xml:space="preserve">- 27 - </w:t>
      </w:r>
    </w:p>
  </w:footnote>
  <w:footnote w:id="20">
    <w:p w14:paraId="50091B31" w14:textId="77777777" w:rsidR="00082D5A" w:rsidRDefault="00000000">
      <w:pPr>
        <w:pStyle w:val="footnotedescription"/>
        <w:spacing w:after="302" w:line="262" w:lineRule="auto"/>
        <w:ind w:firstLine="720"/>
      </w:pPr>
      <w:r>
        <w:rPr>
          <w:rStyle w:val="footnotemark"/>
        </w:rPr>
        <w:footnoteRef/>
      </w:r>
      <w:r>
        <w:t xml:space="preserve"> These payments are proposed to be treated as “a deemed contribution” to the Asbestos PI Trust.  </w:t>
      </w:r>
      <w:r>
        <w:rPr>
          <w:u w:val="single" w:color="000000"/>
        </w:rPr>
        <w:t>See</w:t>
      </w:r>
      <w:r>
        <w:t xml:space="preserve"> Amended Disclosure Statement, p. 36. </w:t>
      </w:r>
    </w:p>
    <w:p w14:paraId="086511CD" w14:textId="77777777" w:rsidR="00082D5A" w:rsidRDefault="00000000">
      <w:pPr>
        <w:pStyle w:val="footnotedescription"/>
        <w:spacing w:after="0"/>
        <w:ind w:left="717"/>
        <w:jc w:val="center"/>
      </w:pPr>
      <w:r>
        <w:rPr>
          <w:sz w:val="24"/>
        </w:rPr>
        <w:t xml:space="preserve">- 30 -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A54D9" w14:textId="77777777" w:rsidR="00082D5A" w:rsidRDefault="00000000">
    <w:pPr>
      <w:spacing w:after="0" w:line="259" w:lineRule="auto"/>
      <w:ind w:left="-19" w:right="-16" w:firstLine="0"/>
      <w:jc w:val="both"/>
    </w:pPr>
    <w:r>
      <w:rPr>
        <w:rFonts w:ascii="Calibri" w:eastAsia="Calibri" w:hAnsi="Calibri" w:cs="Calibri"/>
      </w:rPr>
      <w:t xml:space="preserve">04-15739-dsj    Doc 450    Filed 09/15/05    Entered 09/15/05 16:15:44    Main Document </w:t>
    </w:r>
  </w:p>
  <w:p w14:paraId="0B4608D0" w14:textId="77777777" w:rsidR="00082D5A" w:rsidRDefault="00000000">
    <w:pPr>
      <w:spacing w:after="0" w:line="259" w:lineRule="auto"/>
      <w:ind w:left="0" w:right="3" w:firstLine="0"/>
      <w:jc w:val="center"/>
    </w:pPr>
    <w:r>
      <w:rPr>
        <w:rFonts w:ascii="Calibri" w:eastAsia="Calibri" w:hAnsi="Calibri" w:cs="Calibri"/>
      </w:rPr>
      <w:t xml:space="preserve">Pg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of 33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10C46" w14:textId="77777777" w:rsidR="00082D5A" w:rsidRDefault="00000000">
    <w:pPr>
      <w:spacing w:after="0" w:line="259" w:lineRule="auto"/>
      <w:ind w:left="-19" w:right="-16" w:firstLine="0"/>
      <w:jc w:val="both"/>
    </w:pPr>
    <w:r>
      <w:rPr>
        <w:rFonts w:ascii="Calibri" w:eastAsia="Calibri" w:hAnsi="Calibri" w:cs="Calibri"/>
      </w:rPr>
      <w:t xml:space="preserve">04-15739-dsj    Doc 450    Filed 09/15/05    Entered 09/15/05 16:15:44    Main Document </w:t>
    </w:r>
  </w:p>
  <w:p w14:paraId="1A20802C" w14:textId="77777777" w:rsidR="00082D5A" w:rsidRDefault="00000000">
    <w:pPr>
      <w:spacing w:after="0" w:line="259" w:lineRule="auto"/>
      <w:ind w:left="0" w:right="3" w:firstLine="0"/>
      <w:jc w:val="center"/>
    </w:pPr>
    <w:r>
      <w:rPr>
        <w:rFonts w:ascii="Calibri" w:eastAsia="Calibri" w:hAnsi="Calibri" w:cs="Calibri"/>
      </w:rPr>
      <w:t xml:space="preserve">Pg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of 33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0259E" w14:textId="77777777" w:rsidR="00082D5A" w:rsidRDefault="00000000">
    <w:pPr>
      <w:spacing w:after="0" w:line="259" w:lineRule="auto"/>
      <w:ind w:left="-19" w:right="-16" w:firstLine="0"/>
      <w:jc w:val="both"/>
    </w:pPr>
    <w:r>
      <w:rPr>
        <w:rFonts w:ascii="Calibri" w:eastAsia="Calibri" w:hAnsi="Calibri" w:cs="Calibri"/>
      </w:rPr>
      <w:t xml:space="preserve">04-15739-dsj    Doc 450    Filed 09/15/05    Entered 09/15/05 16:15:44    Main Document </w:t>
    </w:r>
  </w:p>
  <w:p w14:paraId="196FF9BD" w14:textId="77777777" w:rsidR="00082D5A" w:rsidRDefault="00000000">
    <w:pPr>
      <w:spacing w:after="0" w:line="259" w:lineRule="auto"/>
      <w:ind w:left="0" w:right="3" w:firstLine="0"/>
      <w:jc w:val="center"/>
    </w:pPr>
    <w:r>
      <w:rPr>
        <w:rFonts w:ascii="Calibri" w:eastAsia="Calibri" w:hAnsi="Calibri" w:cs="Calibri"/>
      </w:rPr>
      <w:t xml:space="preserve">Pg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of 33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6C394" w14:textId="77777777" w:rsidR="00082D5A" w:rsidRDefault="00082D5A">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236D3" w14:textId="77777777" w:rsidR="00082D5A" w:rsidRDefault="00082D5A">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9363" w14:textId="77777777" w:rsidR="00082D5A" w:rsidRDefault="00082D5A">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D7C4C"/>
    <w:multiLevelType w:val="hybridMultilevel"/>
    <w:tmpl w:val="96A47AE0"/>
    <w:lvl w:ilvl="0" w:tplc="747AF836">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940DF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C28FFE">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3A282D8">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FA6960">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F65BDE">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0E89418">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4EE1BE">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F38C43A">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EC4650"/>
    <w:multiLevelType w:val="hybridMultilevel"/>
    <w:tmpl w:val="77C8B74E"/>
    <w:lvl w:ilvl="0" w:tplc="DB7847F4">
      <w:start w:val="1"/>
      <w:numFmt w:val="upperRoman"/>
      <w:pStyle w:val="Heading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D10615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C08080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CBE3D4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4A41870">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51C362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2606694">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3E6250A">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AF8670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2744257"/>
    <w:multiLevelType w:val="hybridMultilevel"/>
    <w:tmpl w:val="82F803F0"/>
    <w:lvl w:ilvl="0" w:tplc="882A5B9C">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36F65C">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6482C84">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A9A9210">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123C64">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E244A32">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30D388">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32F7A8">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22ADC0">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7BE14BD"/>
    <w:multiLevelType w:val="hybridMultilevel"/>
    <w:tmpl w:val="77AC84D8"/>
    <w:lvl w:ilvl="0" w:tplc="C9649090">
      <w:start w:val="1"/>
      <w:numFmt w:val="decimal"/>
      <w:lvlText w:val="(%1)"/>
      <w:lvlJc w:val="left"/>
      <w:pPr>
        <w:ind w:left="1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F5E9D52">
      <w:start w:val="1"/>
      <w:numFmt w:val="lowerLetter"/>
      <w:lvlText w:val="%2"/>
      <w:lvlJc w:val="left"/>
      <w:pPr>
        <w:ind w:left="1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644B28">
      <w:start w:val="1"/>
      <w:numFmt w:val="lowerRoman"/>
      <w:lvlText w:val="%3"/>
      <w:lvlJc w:val="left"/>
      <w:pPr>
        <w:ind w:left="2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D893C0">
      <w:start w:val="1"/>
      <w:numFmt w:val="decimal"/>
      <w:lvlText w:val="%4"/>
      <w:lvlJc w:val="left"/>
      <w:pPr>
        <w:ind w:left="3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640BAE">
      <w:start w:val="1"/>
      <w:numFmt w:val="lowerLetter"/>
      <w:lvlText w:val="%5"/>
      <w:lvlJc w:val="left"/>
      <w:pPr>
        <w:ind w:left="3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EA4024">
      <w:start w:val="1"/>
      <w:numFmt w:val="lowerRoman"/>
      <w:lvlText w:val="%6"/>
      <w:lvlJc w:val="left"/>
      <w:pPr>
        <w:ind w:left="4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F4580A">
      <w:start w:val="1"/>
      <w:numFmt w:val="decimal"/>
      <w:lvlText w:val="%7"/>
      <w:lvlJc w:val="left"/>
      <w:pPr>
        <w:ind w:left="5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F0CFB8">
      <w:start w:val="1"/>
      <w:numFmt w:val="lowerLetter"/>
      <w:lvlText w:val="%8"/>
      <w:lvlJc w:val="left"/>
      <w:pPr>
        <w:ind w:left="6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FEE6BE">
      <w:start w:val="1"/>
      <w:numFmt w:val="lowerRoman"/>
      <w:lvlText w:val="%9"/>
      <w:lvlJc w:val="left"/>
      <w:pPr>
        <w:ind w:left="6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83298270">
    <w:abstractNumId w:val="2"/>
  </w:num>
  <w:num w:numId="2" w16cid:durableId="1090857550">
    <w:abstractNumId w:val="3"/>
  </w:num>
  <w:num w:numId="3" w16cid:durableId="1807703120">
    <w:abstractNumId w:val="0"/>
  </w:num>
  <w:num w:numId="4" w16cid:durableId="732891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D5A"/>
    <w:rsid w:val="00082D5A"/>
    <w:rsid w:val="006133CF"/>
    <w:rsid w:val="00970683"/>
    <w:rsid w:val="009A66C0"/>
    <w:rsid w:val="00B35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D09A8"/>
  <w15:docId w15:val="{0E004963-1757-4F04-9080-3AC18A99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482"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numPr>
        <w:numId w:val="4"/>
      </w:numPr>
      <w:spacing w:after="252" w:line="259" w:lineRule="auto"/>
      <w:ind w:left="10" w:right="4" w:hanging="10"/>
      <w:jc w:val="center"/>
      <w:outlineLvl w:val="0"/>
    </w:pPr>
    <w:rPr>
      <w:rFonts w:ascii="Times New Roman" w:eastAsia="Times New Roman" w:hAnsi="Times New Roman" w:cs="Times New Roman"/>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paragraph" w:customStyle="1" w:styleId="footnotedescription">
    <w:name w:val="footnote description"/>
    <w:next w:val="Normal"/>
    <w:link w:val="footnotedescriptionChar"/>
    <w:hidden/>
    <w:pPr>
      <w:spacing w:after="25" w:line="259" w:lineRule="auto"/>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6133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3CF"/>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36</Pages>
  <Words>9200</Words>
  <Characters>52441</Characters>
  <Application>Microsoft Office Word</Application>
  <DocSecurity>0</DocSecurity>
  <Lines>437</Lines>
  <Paragraphs>123</Paragraphs>
  <ScaleCrop>false</ScaleCrop>
  <Company/>
  <LinksUpToDate>false</LinksUpToDate>
  <CharactersWithSpaces>61518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Rabiej</dc:creator>
  <cp:keywords/>
  <cp:lastModifiedBy>John Rabiej</cp:lastModifiedBy>
  <cp:revision>3</cp:revision>
  <dcterms:created xsi:type="dcterms:W3CDTF">2026-08-07T12:54:00Z</dcterms:created>
  <dcterms:modified xsi:type="dcterms:W3CDTF">2026-08-07T12:54:00Z</dcterms:modified>
</cp:coreProperties>
</file>