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200C1" w14:textId="77777777" w:rsidR="00823138" w:rsidRDefault="00A0477A">
      <w:pPr>
        <w:tabs>
          <w:tab w:val="center" w:pos="5041"/>
          <w:tab w:val="center" w:pos="6889"/>
        </w:tabs>
        <w:ind w:left="-15" w:firstLine="0"/>
        <w:jc w:val="left"/>
      </w:pPr>
      <w:r>
        <w:t xml:space="preserve">UNITED STATES BANKRUPTCY COURT </w:t>
      </w:r>
      <w:r>
        <w:tab/>
        <w:t xml:space="preserve"> </w:t>
      </w:r>
      <w:r>
        <w:tab/>
      </w:r>
      <w:r>
        <w:rPr>
          <w:b/>
        </w:rPr>
        <w:t>FOR PUBLICATION</w:t>
      </w:r>
      <w:r>
        <w:t xml:space="preserve"> </w:t>
      </w:r>
    </w:p>
    <w:p w14:paraId="46139CE4" w14:textId="77777777" w:rsidR="00823138" w:rsidRDefault="00A0477A">
      <w:pPr>
        <w:ind w:left="-5"/>
      </w:pPr>
      <w:r>
        <w:t xml:space="preserve">SOUTHERN DISTRICT OF NEW YORK </w:t>
      </w:r>
    </w:p>
    <w:p w14:paraId="7976BA2E" w14:textId="77777777" w:rsidR="00823138" w:rsidRDefault="00A0477A">
      <w:pPr>
        <w:ind w:left="-5"/>
      </w:pPr>
      <w:r>
        <w:t xml:space="preserve">-----------------------------------------------------X </w:t>
      </w:r>
    </w:p>
    <w:p w14:paraId="5AD1715E" w14:textId="77777777" w:rsidR="00823138" w:rsidRDefault="00A0477A">
      <w:pPr>
        <w:tabs>
          <w:tab w:val="center" w:pos="1440"/>
          <w:tab w:val="center" w:pos="2160"/>
          <w:tab w:val="center" w:pos="2880"/>
          <w:tab w:val="center" w:pos="3600"/>
          <w:tab w:val="center" w:pos="4353"/>
        </w:tabs>
        <w:ind w:left="-15" w:firstLine="0"/>
        <w:jc w:val="left"/>
      </w:pPr>
      <w:r>
        <w:t xml:space="preserve">In re:  </w:t>
      </w:r>
      <w:r>
        <w:tab/>
        <w:t xml:space="preserve"> </w:t>
      </w:r>
      <w:r>
        <w:tab/>
        <w:t xml:space="preserve"> </w:t>
      </w:r>
      <w:r>
        <w:tab/>
        <w:t xml:space="preserve"> </w:t>
      </w:r>
      <w:r>
        <w:tab/>
        <w:t xml:space="preserve"> </w:t>
      </w:r>
      <w:r>
        <w:tab/>
        <w:t xml:space="preserve">: </w:t>
      </w:r>
    </w:p>
    <w:p w14:paraId="2FF70A53" w14:textId="77777777" w:rsidR="00823138" w:rsidRDefault="00A0477A">
      <w:pPr>
        <w:tabs>
          <w:tab w:val="center" w:pos="720"/>
          <w:tab w:val="center" w:pos="1440"/>
          <w:tab w:val="center" w:pos="2160"/>
          <w:tab w:val="center" w:pos="2880"/>
          <w:tab w:val="center" w:pos="3600"/>
          <w:tab w:val="center" w:pos="4353"/>
          <w:tab w:val="center" w:pos="5040"/>
          <w:tab w:val="center" w:pos="6290"/>
        </w:tabs>
        <w:ind w:left="-15" w:firstLine="0"/>
        <w:jc w:val="left"/>
      </w:pPr>
      <w:r>
        <w:t xml:space="preserve"> </w:t>
      </w:r>
      <w:r>
        <w:tab/>
        <w:t xml:space="preserve"> </w:t>
      </w:r>
      <w:r>
        <w:tab/>
        <w:t xml:space="preserve"> </w:t>
      </w:r>
      <w:r>
        <w:tab/>
        <w:t xml:space="preserve"> </w:t>
      </w:r>
      <w:r>
        <w:tab/>
        <w:t xml:space="preserve"> </w:t>
      </w:r>
      <w:r>
        <w:tab/>
        <w:t xml:space="preserve"> </w:t>
      </w:r>
      <w:r>
        <w:tab/>
      </w:r>
      <w:proofErr w:type="gramStart"/>
      <w:r>
        <w:t xml:space="preserve">: </w:t>
      </w:r>
      <w:r>
        <w:tab/>
        <w:t xml:space="preserve"> </w:t>
      </w:r>
      <w:r>
        <w:tab/>
        <w:t>Chapter</w:t>
      </w:r>
      <w:proofErr w:type="gramEnd"/>
      <w:r>
        <w:t xml:space="preserve"> 11 </w:t>
      </w:r>
    </w:p>
    <w:p w14:paraId="3353F090" w14:textId="77777777" w:rsidR="00823138" w:rsidRDefault="00A0477A">
      <w:pPr>
        <w:tabs>
          <w:tab w:val="center" w:pos="3603"/>
          <w:tab w:val="center" w:pos="4356"/>
          <w:tab w:val="center" w:pos="5042"/>
          <w:tab w:val="center" w:pos="6692"/>
        </w:tabs>
        <w:ind w:left="-15" w:firstLine="0"/>
        <w:jc w:val="left"/>
      </w:pPr>
      <w:r>
        <w:t xml:space="preserve">QUIGLEY COMPANY, INC., </w:t>
      </w:r>
      <w:proofErr w:type="gramStart"/>
      <w:r>
        <w:tab/>
        <w:t xml:space="preserve">  </w:t>
      </w:r>
      <w:r>
        <w:tab/>
      </w:r>
      <w:proofErr w:type="gramEnd"/>
      <w:r>
        <w:t xml:space="preserve">: </w:t>
      </w:r>
      <w:r>
        <w:tab/>
        <w:t xml:space="preserve"> </w:t>
      </w:r>
      <w:r>
        <w:tab/>
        <w:t xml:space="preserve">Case No. 04-15739 </w:t>
      </w:r>
    </w:p>
    <w:p w14:paraId="3640990F" w14:textId="77777777" w:rsidR="00823138" w:rsidRDefault="00A0477A">
      <w:pPr>
        <w:tabs>
          <w:tab w:val="center" w:pos="720"/>
          <w:tab w:val="center" w:pos="1440"/>
          <w:tab w:val="center" w:pos="2160"/>
          <w:tab w:val="center" w:pos="2880"/>
          <w:tab w:val="center" w:pos="3600"/>
          <w:tab w:val="center" w:pos="4353"/>
          <w:tab w:val="center" w:pos="5040"/>
          <w:tab w:val="center" w:pos="5760"/>
        </w:tabs>
        <w:ind w:left="-15" w:firstLine="0"/>
        <w:jc w:val="left"/>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14:paraId="673C98A2" w14:textId="77777777" w:rsidR="00823138" w:rsidRDefault="00A0477A">
      <w:pPr>
        <w:tabs>
          <w:tab w:val="center" w:pos="720"/>
          <w:tab w:val="center" w:pos="1440"/>
          <w:tab w:val="center" w:pos="2160"/>
          <w:tab w:val="center" w:pos="2880"/>
          <w:tab w:val="center" w:pos="3600"/>
          <w:tab w:val="center" w:pos="4353"/>
        </w:tabs>
        <w:ind w:left="-15" w:firstLine="0"/>
        <w:jc w:val="left"/>
      </w:pPr>
      <w:r>
        <w:t xml:space="preserve"> </w:t>
      </w:r>
      <w:r>
        <w:tab/>
        <w:t xml:space="preserve"> </w:t>
      </w:r>
      <w:r>
        <w:tab/>
        <w:t xml:space="preserve"> </w:t>
      </w:r>
      <w:r>
        <w:tab/>
        <w:t xml:space="preserve"> </w:t>
      </w:r>
      <w:r>
        <w:tab/>
        <w:t xml:space="preserve"> </w:t>
      </w:r>
      <w:r>
        <w:tab/>
        <w:t xml:space="preserve"> </w:t>
      </w:r>
      <w:r>
        <w:tab/>
        <w:t xml:space="preserve">: </w:t>
      </w:r>
    </w:p>
    <w:p w14:paraId="1AB863EF" w14:textId="77777777" w:rsidR="00823138" w:rsidRDefault="00A0477A">
      <w:pPr>
        <w:tabs>
          <w:tab w:val="center" w:pos="720"/>
          <w:tab w:val="center" w:pos="1440"/>
          <w:tab w:val="center" w:pos="2631"/>
          <w:tab w:val="center" w:pos="3600"/>
          <w:tab w:val="center" w:pos="4354"/>
        </w:tabs>
        <w:ind w:left="-15" w:firstLine="0"/>
        <w:jc w:val="left"/>
      </w:pPr>
      <w:r>
        <w:t xml:space="preserve"> </w:t>
      </w:r>
      <w:r>
        <w:tab/>
        <w:t xml:space="preserve"> </w:t>
      </w:r>
      <w:r>
        <w:tab/>
        <w:t xml:space="preserve"> </w:t>
      </w:r>
      <w:r>
        <w:tab/>
        <w:t xml:space="preserve">  Debtors. </w:t>
      </w:r>
      <w:r>
        <w:tab/>
        <w:t xml:space="preserve"> </w:t>
      </w:r>
      <w:r>
        <w:tab/>
        <w:t xml:space="preserve">: </w:t>
      </w:r>
    </w:p>
    <w:p w14:paraId="2EDE7C93" w14:textId="77777777" w:rsidR="00823138" w:rsidRDefault="00A0477A">
      <w:pPr>
        <w:ind w:left="-5"/>
      </w:pPr>
      <w:r>
        <w:t xml:space="preserve">-----------------------------------------------------X </w:t>
      </w:r>
    </w:p>
    <w:p w14:paraId="285DE873" w14:textId="77777777" w:rsidR="00823138" w:rsidRDefault="00A0477A">
      <w:pPr>
        <w:spacing w:after="0" w:line="259" w:lineRule="auto"/>
        <w:ind w:left="0" w:firstLine="0"/>
        <w:jc w:val="left"/>
      </w:pPr>
      <w:r>
        <w:rPr>
          <w:rFonts w:ascii="Courier New" w:eastAsia="Courier New" w:hAnsi="Courier New" w:cs="Courier New"/>
        </w:rPr>
        <w:t xml:space="preserve"> </w:t>
      </w:r>
    </w:p>
    <w:p w14:paraId="35AB3D79" w14:textId="77777777" w:rsidR="00823138" w:rsidRDefault="00A0477A">
      <w:pPr>
        <w:pStyle w:val="Heading1"/>
        <w:spacing w:after="0"/>
      </w:pPr>
      <w:r>
        <w:t xml:space="preserve">MEMORANDUM DECISION AND ORDER </w:t>
      </w:r>
      <w:proofErr w:type="gramStart"/>
      <w:r>
        <w:t>ESTIMATING  ASBESTOS</w:t>
      </w:r>
      <w:proofErr w:type="gramEnd"/>
      <w:r>
        <w:t xml:space="preserve"> PI CLAIMS FOR VOTING PURPOSES ONLY  </w:t>
      </w:r>
    </w:p>
    <w:p w14:paraId="05621F8E" w14:textId="77777777" w:rsidR="00823138" w:rsidRDefault="00A0477A">
      <w:pPr>
        <w:spacing w:after="5" w:line="259" w:lineRule="auto"/>
        <w:ind w:left="136" w:firstLine="0"/>
        <w:jc w:val="center"/>
      </w:pPr>
      <w:r>
        <w:rPr>
          <w:rFonts w:ascii="Courier New" w:eastAsia="Courier New" w:hAnsi="Courier New" w:cs="Courier New"/>
        </w:rPr>
        <w:t xml:space="preserve"> </w:t>
      </w:r>
    </w:p>
    <w:p w14:paraId="206140D6" w14:textId="77777777" w:rsidR="00823138" w:rsidRDefault="00A0477A">
      <w:pPr>
        <w:spacing w:after="0" w:line="259" w:lineRule="auto"/>
        <w:ind w:left="-5"/>
        <w:jc w:val="left"/>
      </w:pPr>
      <w:r>
        <w:rPr>
          <w:b/>
        </w:rPr>
        <w:t xml:space="preserve">A P </w:t>
      </w:r>
      <w:proofErr w:type="spellStart"/>
      <w:r>
        <w:rPr>
          <w:b/>
        </w:rPr>
        <w:t>P</w:t>
      </w:r>
      <w:proofErr w:type="spellEnd"/>
      <w:r>
        <w:rPr>
          <w:b/>
        </w:rPr>
        <w:t xml:space="preserve"> E A R A N C E S:</w:t>
      </w:r>
      <w:r>
        <w:t xml:space="preserve"> </w:t>
      </w:r>
    </w:p>
    <w:p w14:paraId="4E0118B3" w14:textId="77777777" w:rsidR="00823138" w:rsidRDefault="00A0477A">
      <w:pPr>
        <w:spacing w:after="0" w:line="259" w:lineRule="auto"/>
        <w:ind w:left="0" w:firstLine="0"/>
        <w:jc w:val="left"/>
      </w:pPr>
      <w:r>
        <w:t xml:space="preserve"> </w:t>
      </w:r>
    </w:p>
    <w:p w14:paraId="1B1D6565" w14:textId="77777777" w:rsidR="00823138" w:rsidRDefault="00A0477A">
      <w:pPr>
        <w:ind w:left="-5"/>
      </w:pPr>
      <w:r>
        <w:t xml:space="preserve">SCHULTE ROTH &amp; ZABEL LLP  </w:t>
      </w:r>
    </w:p>
    <w:p w14:paraId="51C7896A" w14:textId="77777777" w:rsidR="00823138" w:rsidRDefault="00A0477A">
      <w:pPr>
        <w:ind w:left="-5"/>
      </w:pPr>
      <w:r>
        <w:t xml:space="preserve">Attorneys for the Debtor </w:t>
      </w:r>
    </w:p>
    <w:p w14:paraId="6EEF8A69" w14:textId="77777777" w:rsidR="00823138" w:rsidRDefault="00A0477A">
      <w:pPr>
        <w:ind w:left="-5"/>
      </w:pPr>
      <w:r>
        <w:t xml:space="preserve">919 Third Avenue  </w:t>
      </w:r>
    </w:p>
    <w:p w14:paraId="769DD55A" w14:textId="77777777" w:rsidR="00823138" w:rsidRDefault="00A0477A">
      <w:pPr>
        <w:ind w:left="-5"/>
      </w:pPr>
      <w:r>
        <w:t xml:space="preserve">New York, NY 10022 </w:t>
      </w:r>
    </w:p>
    <w:p w14:paraId="200EDD9A" w14:textId="77777777" w:rsidR="00823138" w:rsidRDefault="00A0477A">
      <w:pPr>
        <w:spacing w:after="0" w:line="259" w:lineRule="auto"/>
        <w:ind w:left="0" w:firstLine="0"/>
        <w:jc w:val="left"/>
      </w:pPr>
      <w:r>
        <w:t xml:space="preserve"> </w:t>
      </w:r>
    </w:p>
    <w:p w14:paraId="755812D1" w14:textId="77777777" w:rsidR="00823138" w:rsidRDefault="00A0477A">
      <w:pPr>
        <w:tabs>
          <w:tab w:val="center" w:pos="1807"/>
        </w:tabs>
        <w:ind w:left="-15" w:firstLine="0"/>
        <w:jc w:val="left"/>
      </w:pPr>
      <w:r>
        <w:t xml:space="preserve"> </w:t>
      </w:r>
      <w:r>
        <w:tab/>
        <w:t xml:space="preserve">Michael L. Cook, Esq. </w:t>
      </w:r>
    </w:p>
    <w:p w14:paraId="4ED6CCC4" w14:textId="77777777" w:rsidR="00823138" w:rsidRDefault="00A0477A">
      <w:pPr>
        <w:tabs>
          <w:tab w:val="center" w:pos="1967"/>
        </w:tabs>
        <w:ind w:left="-15" w:firstLine="0"/>
        <w:jc w:val="left"/>
      </w:pPr>
      <w:r>
        <w:t xml:space="preserve"> </w:t>
      </w:r>
      <w:r>
        <w:tab/>
        <w:t xml:space="preserve">Lawrence V. Gelber, Esq. </w:t>
      </w:r>
    </w:p>
    <w:p w14:paraId="217A6A53" w14:textId="77777777" w:rsidR="00823138" w:rsidRDefault="00A0477A">
      <w:pPr>
        <w:tabs>
          <w:tab w:val="center" w:pos="720"/>
          <w:tab w:val="center" w:pos="1990"/>
        </w:tabs>
        <w:spacing w:after="97"/>
        <w:ind w:left="-15" w:firstLine="0"/>
        <w:jc w:val="left"/>
      </w:pPr>
      <w:r>
        <w:t xml:space="preserve"> </w:t>
      </w:r>
      <w:r>
        <w:tab/>
        <w:t xml:space="preserve"> </w:t>
      </w:r>
      <w:r>
        <w:tab/>
        <w:t xml:space="preserve">Of Counsel  </w:t>
      </w:r>
    </w:p>
    <w:p w14:paraId="704DB3F0" w14:textId="77777777" w:rsidR="00823138" w:rsidRDefault="00A0477A">
      <w:pPr>
        <w:spacing w:after="0" w:line="259" w:lineRule="auto"/>
        <w:ind w:left="0" w:firstLine="0"/>
        <w:jc w:val="left"/>
      </w:pPr>
      <w:r>
        <w:t xml:space="preserve"> </w:t>
      </w:r>
    </w:p>
    <w:p w14:paraId="6FFCEA75" w14:textId="77777777" w:rsidR="00823138" w:rsidRDefault="00A0477A">
      <w:pPr>
        <w:ind w:left="-5"/>
      </w:pPr>
      <w:r>
        <w:t xml:space="preserve">CADWALADER, WICKERSHAM &amp; TAFT LLP </w:t>
      </w:r>
    </w:p>
    <w:p w14:paraId="54BB767A" w14:textId="77777777" w:rsidR="00823138" w:rsidRDefault="00A0477A">
      <w:pPr>
        <w:ind w:left="-5"/>
      </w:pPr>
      <w:r>
        <w:t xml:space="preserve">Attorneys for Pfizer Inc. </w:t>
      </w:r>
    </w:p>
    <w:p w14:paraId="36BCF66B" w14:textId="77777777" w:rsidR="00823138" w:rsidRDefault="00A0477A">
      <w:pPr>
        <w:ind w:left="-5"/>
      </w:pPr>
      <w:r>
        <w:t xml:space="preserve">One World Financial Center </w:t>
      </w:r>
    </w:p>
    <w:p w14:paraId="0A464762" w14:textId="77777777" w:rsidR="00823138" w:rsidRDefault="00A0477A">
      <w:pPr>
        <w:ind w:left="-5"/>
      </w:pPr>
      <w:r>
        <w:t xml:space="preserve">New York, New York 10281 </w:t>
      </w:r>
    </w:p>
    <w:p w14:paraId="452D2C47" w14:textId="77777777" w:rsidR="00823138" w:rsidRDefault="00A0477A">
      <w:pPr>
        <w:spacing w:after="0" w:line="259" w:lineRule="auto"/>
        <w:ind w:left="0" w:firstLine="0"/>
        <w:jc w:val="left"/>
      </w:pPr>
      <w:r>
        <w:t xml:space="preserve"> </w:t>
      </w:r>
    </w:p>
    <w:p w14:paraId="71088A0A" w14:textId="77777777" w:rsidR="00823138" w:rsidRDefault="00A0477A">
      <w:pPr>
        <w:ind w:left="-5" w:right="5146"/>
      </w:pPr>
      <w:r>
        <w:t xml:space="preserve"> </w:t>
      </w:r>
      <w:r>
        <w:tab/>
        <w:t xml:space="preserve">Bruce R. Zirinsky, Esq.  </w:t>
      </w:r>
      <w:r>
        <w:tab/>
        <w:t xml:space="preserve">John H. Bae, Esq.  </w:t>
      </w:r>
    </w:p>
    <w:p w14:paraId="6FA49133" w14:textId="77777777" w:rsidR="00823138" w:rsidRDefault="00A0477A">
      <w:pPr>
        <w:tabs>
          <w:tab w:val="center" w:pos="720"/>
          <w:tab w:val="center" w:pos="1990"/>
        </w:tabs>
        <w:spacing w:after="97"/>
        <w:ind w:left="-15" w:firstLine="0"/>
        <w:jc w:val="left"/>
      </w:pPr>
      <w:r>
        <w:t xml:space="preserve"> </w:t>
      </w:r>
      <w:r>
        <w:tab/>
        <w:t xml:space="preserve"> </w:t>
      </w:r>
      <w:r>
        <w:tab/>
        <w:t xml:space="preserve">Of Counsel </w:t>
      </w:r>
    </w:p>
    <w:p w14:paraId="17633D34" w14:textId="77777777" w:rsidR="00823138" w:rsidRDefault="00A0477A">
      <w:pPr>
        <w:spacing w:after="0" w:line="259" w:lineRule="auto"/>
        <w:ind w:left="0" w:firstLine="0"/>
        <w:jc w:val="left"/>
      </w:pPr>
      <w:r>
        <w:t xml:space="preserve"> </w:t>
      </w:r>
    </w:p>
    <w:p w14:paraId="552FA81D" w14:textId="77777777" w:rsidR="00823138" w:rsidRDefault="00A0477A">
      <w:pPr>
        <w:ind w:left="-5"/>
      </w:pPr>
      <w:r>
        <w:t xml:space="preserve">BROWN RUDNICK BERLACK ISRAELS LLP </w:t>
      </w:r>
    </w:p>
    <w:p w14:paraId="20515187" w14:textId="77777777" w:rsidR="00823138" w:rsidRDefault="00A0477A">
      <w:pPr>
        <w:ind w:left="-5"/>
      </w:pPr>
      <w:r>
        <w:t xml:space="preserve">Attorneys for The Ad-Hoc Committee of Tort Victims </w:t>
      </w:r>
    </w:p>
    <w:p w14:paraId="6AB17E95" w14:textId="77777777" w:rsidR="00823138" w:rsidRDefault="00A0477A">
      <w:pPr>
        <w:ind w:left="-5"/>
      </w:pPr>
      <w:r>
        <w:t>120 West 45</w:t>
      </w:r>
      <w:r>
        <w:rPr>
          <w:vertAlign w:val="superscript"/>
        </w:rPr>
        <w:t>th</w:t>
      </w:r>
      <w:r>
        <w:t xml:space="preserve"> Street  </w:t>
      </w:r>
    </w:p>
    <w:p w14:paraId="36521277" w14:textId="77777777" w:rsidR="00823138" w:rsidRDefault="00A0477A">
      <w:pPr>
        <w:ind w:left="-5"/>
      </w:pPr>
      <w:r>
        <w:t xml:space="preserve">New York, New York 10036 </w:t>
      </w:r>
    </w:p>
    <w:p w14:paraId="059B2E22" w14:textId="77777777" w:rsidR="00823138" w:rsidRDefault="00A0477A">
      <w:pPr>
        <w:spacing w:after="0" w:line="259" w:lineRule="auto"/>
        <w:ind w:left="0" w:firstLine="0"/>
        <w:jc w:val="left"/>
      </w:pPr>
      <w:r>
        <w:t xml:space="preserve"> </w:t>
      </w:r>
    </w:p>
    <w:p w14:paraId="2D458C18" w14:textId="77777777" w:rsidR="00823138" w:rsidRDefault="00A0477A">
      <w:pPr>
        <w:tabs>
          <w:tab w:val="center" w:pos="1894"/>
          <w:tab w:val="center" w:pos="3600"/>
        </w:tabs>
        <w:ind w:left="-15" w:firstLine="0"/>
        <w:jc w:val="left"/>
      </w:pPr>
      <w:r>
        <w:t xml:space="preserve"> </w:t>
      </w:r>
      <w:r>
        <w:tab/>
        <w:t xml:space="preserve">Gregory T. Arnold, Esq. </w:t>
      </w:r>
      <w:r>
        <w:tab/>
        <w:t xml:space="preserve"> </w:t>
      </w:r>
    </w:p>
    <w:p w14:paraId="601C41F8" w14:textId="77777777" w:rsidR="00823138" w:rsidRDefault="00A0477A">
      <w:pPr>
        <w:ind w:left="730"/>
      </w:pPr>
      <w:r>
        <w:t xml:space="preserve">Edward S. Weisfelner, Esq. </w:t>
      </w:r>
    </w:p>
    <w:p w14:paraId="371BAB59" w14:textId="77777777" w:rsidR="00823138" w:rsidRDefault="00A0477A">
      <w:pPr>
        <w:tabs>
          <w:tab w:val="center" w:pos="1960"/>
        </w:tabs>
        <w:ind w:left="-15" w:firstLine="0"/>
        <w:jc w:val="left"/>
      </w:pPr>
      <w:r>
        <w:t xml:space="preserve"> </w:t>
      </w:r>
      <w:r>
        <w:tab/>
        <w:t xml:space="preserve">John P. Biedermann, Esq.  </w:t>
      </w:r>
    </w:p>
    <w:p w14:paraId="3B895085" w14:textId="77777777" w:rsidR="00823138" w:rsidRDefault="00A0477A">
      <w:pPr>
        <w:tabs>
          <w:tab w:val="center" w:pos="720"/>
          <w:tab w:val="center" w:pos="1990"/>
        </w:tabs>
        <w:ind w:left="-15" w:firstLine="0"/>
        <w:jc w:val="left"/>
      </w:pPr>
      <w:r>
        <w:t xml:space="preserve"> </w:t>
      </w:r>
      <w:r>
        <w:tab/>
        <w:t xml:space="preserve"> </w:t>
      </w:r>
      <w:r>
        <w:tab/>
        <w:t xml:space="preserve">Of Counsel </w:t>
      </w:r>
    </w:p>
    <w:p w14:paraId="1DE2DA55" w14:textId="77777777" w:rsidR="00823138" w:rsidRDefault="00A0477A">
      <w:pPr>
        <w:spacing w:after="0" w:line="259" w:lineRule="auto"/>
        <w:ind w:left="0" w:firstLine="0"/>
        <w:jc w:val="left"/>
      </w:pPr>
      <w:r>
        <w:t xml:space="preserve"> </w:t>
      </w:r>
    </w:p>
    <w:p w14:paraId="22DEA474" w14:textId="77777777" w:rsidR="00823138" w:rsidRDefault="00A0477A">
      <w:pPr>
        <w:ind w:left="-5"/>
      </w:pPr>
      <w:r>
        <w:lastRenderedPageBreak/>
        <w:t xml:space="preserve">LOWENSTEIN SANDLER PC </w:t>
      </w:r>
    </w:p>
    <w:p w14:paraId="5257CB1C" w14:textId="77777777" w:rsidR="00823138" w:rsidRDefault="00A0477A">
      <w:pPr>
        <w:ind w:left="-5" w:right="3979"/>
      </w:pPr>
      <w:r>
        <w:t xml:space="preserve">Attorneys for Hissey Kientz, L.L.P. and     Hissey, Kientz &amp; Herron </w:t>
      </w:r>
      <w:proofErr w:type="gramStart"/>
      <w:r>
        <w:t>P.L</w:t>
      </w:r>
      <w:proofErr w:type="gramEnd"/>
      <w:r>
        <w:t xml:space="preserve">.L.C.  </w:t>
      </w:r>
    </w:p>
    <w:p w14:paraId="0D17CA44" w14:textId="77777777" w:rsidR="00823138" w:rsidRDefault="00A0477A">
      <w:pPr>
        <w:ind w:left="-5"/>
      </w:pPr>
      <w:r>
        <w:t xml:space="preserve">65 Livingston Avenue  </w:t>
      </w:r>
    </w:p>
    <w:p w14:paraId="64B7450E" w14:textId="77777777" w:rsidR="00823138" w:rsidRDefault="00A0477A">
      <w:pPr>
        <w:ind w:left="-5"/>
      </w:pPr>
      <w:r>
        <w:t xml:space="preserve">Roseland, New Jersey 07068 </w:t>
      </w:r>
    </w:p>
    <w:p w14:paraId="65E10652" w14:textId="77777777" w:rsidR="00823138" w:rsidRDefault="00A0477A">
      <w:pPr>
        <w:spacing w:after="0" w:line="259" w:lineRule="auto"/>
        <w:ind w:left="0" w:firstLine="0"/>
        <w:jc w:val="left"/>
      </w:pPr>
      <w:r>
        <w:t xml:space="preserve"> </w:t>
      </w:r>
    </w:p>
    <w:p w14:paraId="04BC68A3" w14:textId="77777777" w:rsidR="00823138" w:rsidRDefault="00A0477A">
      <w:pPr>
        <w:tabs>
          <w:tab w:val="center" w:pos="1553"/>
        </w:tabs>
        <w:ind w:left="-15" w:firstLine="0"/>
        <w:jc w:val="left"/>
      </w:pPr>
      <w:r>
        <w:t xml:space="preserve"> </w:t>
      </w:r>
      <w:r>
        <w:tab/>
        <w:t xml:space="preserve">Jeffery Prol, Esq.  </w:t>
      </w:r>
    </w:p>
    <w:p w14:paraId="4B06D775" w14:textId="77777777" w:rsidR="00823138" w:rsidRDefault="00A0477A">
      <w:pPr>
        <w:tabs>
          <w:tab w:val="center" w:pos="1773"/>
        </w:tabs>
        <w:ind w:left="-15" w:firstLine="0"/>
        <w:jc w:val="left"/>
      </w:pPr>
      <w:r>
        <w:t xml:space="preserve"> </w:t>
      </w:r>
      <w:r>
        <w:tab/>
        <w:t xml:space="preserve">Thomas A. Pitta, Esq.  </w:t>
      </w:r>
    </w:p>
    <w:p w14:paraId="60847DB7" w14:textId="77777777" w:rsidR="00823138" w:rsidRDefault="00A0477A">
      <w:pPr>
        <w:tabs>
          <w:tab w:val="center" w:pos="720"/>
          <w:tab w:val="center" w:pos="1990"/>
        </w:tabs>
        <w:spacing w:after="97"/>
        <w:ind w:left="-15" w:firstLine="0"/>
        <w:jc w:val="left"/>
      </w:pPr>
      <w:r>
        <w:t xml:space="preserve"> </w:t>
      </w:r>
      <w:r>
        <w:tab/>
        <w:t xml:space="preserve"> </w:t>
      </w:r>
      <w:r>
        <w:tab/>
        <w:t xml:space="preserve">Of Counsel </w:t>
      </w:r>
    </w:p>
    <w:p w14:paraId="55D7C9FE" w14:textId="77777777" w:rsidR="00823138" w:rsidRDefault="00A0477A">
      <w:pPr>
        <w:spacing w:after="0" w:line="259" w:lineRule="auto"/>
        <w:ind w:left="0" w:firstLine="0"/>
        <w:jc w:val="left"/>
      </w:pPr>
      <w:r>
        <w:t xml:space="preserve"> </w:t>
      </w:r>
    </w:p>
    <w:p w14:paraId="526D006C" w14:textId="77777777" w:rsidR="00823138" w:rsidRDefault="00A0477A">
      <w:pPr>
        <w:ind w:left="-5"/>
      </w:pPr>
      <w:r>
        <w:t xml:space="preserve">BARLOW GARSEK &amp; SIMON, LLP </w:t>
      </w:r>
    </w:p>
    <w:p w14:paraId="3AB5FF55" w14:textId="77777777" w:rsidR="00823138" w:rsidRDefault="00A0477A">
      <w:pPr>
        <w:ind w:left="-5"/>
      </w:pPr>
      <w:r>
        <w:t xml:space="preserve">Attorneys for Wade Freeman </w:t>
      </w:r>
    </w:p>
    <w:p w14:paraId="73114062" w14:textId="77777777" w:rsidR="00823138" w:rsidRDefault="00A0477A">
      <w:pPr>
        <w:ind w:left="-5"/>
      </w:pPr>
      <w:r>
        <w:t>3815 Lisbon Street</w:t>
      </w:r>
      <w:r>
        <w:rPr>
          <w:b/>
        </w:rPr>
        <w:t xml:space="preserve">  </w:t>
      </w:r>
    </w:p>
    <w:p w14:paraId="77DFEE01" w14:textId="77777777" w:rsidR="00823138" w:rsidRDefault="00A0477A">
      <w:pPr>
        <w:ind w:left="-5"/>
      </w:pPr>
      <w:r>
        <w:t xml:space="preserve">Fort Worth, Texas 76107 </w:t>
      </w:r>
    </w:p>
    <w:p w14:paraId="64BA86AF" w14:textId="77777777" w:rsidR="00823138" w:rsidRDefault="00A0477A">
      <w:pPr>
        <w:spacing w:after="0" w:line="259" w:lineRule="auto"/>
        <w:ind w:left="0" w:firstLine="0"/>
        <w:jc w:val="left"/>
      </w:pPr>
      <w:r>
        <w:t xml:space="preserve"> </w:t>
      </w:r>
    </w:p>
    <w:p w14:paraId="62CDDE2F" w14:textId="77777777" w:rsidR="00823138" w:rsidRDefault="00A0477A">
      <w:pPr>
        <w:tabs>
          <w:tab w:val="center" w:pos="1806"/>
        </w:tabs>
        <w:ind w:left="-15" w:firstLine="0"/>
        <w:jc w:val="left"/>
      </w:pPr>
      <w:r>
        <w:t xml:space="preserve"> </w:t>
      </w:r>
      <w:r>
        <w:tab/>
        <w:t xml:space="preserve">Robert A. Simon, Esq.  </w:t>
      </w:r>
    </w:p>
    <w:p w14:paraId="0ED19F86" w14:textId="77777777" w:rsidR="00823138" w:rsidRDefault="00A0477A">
      <w:pPr>
        <w:tabs>
          <w:tab w:val="center" w:pos="1982"/>
        </w:tabs>
        <w:ind w:left="-15" w:firstLine="0"/>
        <w:jc w:val="left"/>
      </w:pPr>
      <w:r>
        <w:t xml:space="preserve"> </w:t>
      </w:r>
      <w:r>
        <w:tab/>
        <w:t xml:space="preserve">Henry W. Simon, Jr., Esq.  </w:t>
      </w:r>
    </w:p>
    <w:p w14:paraId="1AE1811E" w14:textId="77777777" w:rsidR="00823138" w:rsidRDefault="00A0477A">
      <w:pPr>
        <w:tabs>
          <w:tab w:val="center" w:pos="720"/>
          <w:tab w:val="center" w:pos="1990"/>
        </w:tabs>
        <w:spacing w:after="97"/>
        <w:ind w:left="-15" w:firstLine="0"/>
        <w:jc w:val="left"/>
      </w:pPr>
      <w:r>
        <w:t xml:space="preserve"> </w:t>
      </w:r>
      <w:r>
        <w:tab/>
        <w:t xml:space="preserve"> </w:t>
      </w:r>
      <w:r>
        <w:tab/>
        <w:t xml:space="preserve">Of Counsel </w:t>
      </w:r>
    </w:p>
    <w:p w14:paraId="58232088" w14:textId="77777777" w:rsidR="00823138" w:rsidRDefault="00A0477A">
      <w:pPr>
        <w:spacing w:after="0" w:line="259" w:lineRule="auto"/>
        <w:ind w:left="0" w:firstLine="0"/>
        <w:jc w:val="left"/>
      </w:pPr>
      <w:r>
        <w:t xml:space="preserve"> </w:t>
      </w:r>
    </w:p>
    <w:p w14:paraId="56A3E9EE" w14:textId="77777777" w:rsidR="00823138" w:rsidRDefault="00A0477A">
      <w:pPr>
        <w:ind w:left="-5"/>
      </w:pPr>
      <w:r>
        <w:t xml:space="preserve">WALTER &amp; KRAUS, LLP </w:t>
      </w:r>
    </w:p>
    <w:p w14:paraId="69523835" w14:textId="77777777" w:rsidR="00823138" w:rsidRDefault="00A0477A">
      <w:pPr>
        <w:ind w:left="-5"/>
      </w:pPr>
      <w:r>
        <w:t xml:space="preserve">Attorneys for Wade Freeman </w:t>
      </w:r>
    </w:p>
    <w:p w14:paraId="124346E9" w14:textId="77777777" w:rsidR="00823138" w:rsidRDefault="00A0477A">
      <w:pPr>
        <w:ind w:left="-5"/>
      </w:pPr>
      <w:r>
        <w:t xml:space="preserve">3219 McKinney Avenue </w:t>
      </w:r>
    </w:p>
    <w:p w14:paraId="3A042393" w14:textId="77777777" w:rsidR="00823138" w:rsidRDefault="00A0477A">
      <w:pPr>
        <w:ind w:left="-5"/>
      </w:pPr>
      <w:r>
        <w:t xml:space="preserve">Dallas, Texas 75219 </w:t>
      </w:r>
    </w:p>
    <w:p w14:paraId="4BD58A74" w14:textId="77777777" w:rsidR="00823138" w:rsidRDefault="00A0477A">
      <w:pPr>
        <w:spacing w:after="0" w:line="259" w:lineRule="auto"/>
        <w:ind w:left="0" w:firstLine="0"/>
        <w:jc w:val="left"/>
      </w:pPr>
      <w:r>
        <w:t xml:space="preserve"> </w:t>
      </w:r>
    </w:p>
    <w:p w14:paraId="5A2D6BFD" w14:textId="77777777" w:rsidR="00823138" w:rsidRDefault="00A0477A">
      <w:pPr>
        <w:tabs>
          <w:tab w:val="center" w:pos="1747"/>
        </w:tabs>
        <w:ind w:left="-15" w:firstLine="0"/>
        <w:jc w:val="left"/>
      </w:pPr>
      <w:r>
        <w:t xml:space="preserve"> </w:t>
      </w:r>
      <w:r>
        <w:tab/>
        <w:t xml:space="preserve">Loren Jacobson, Esq. </w:t>
      </w:r>
    </w:p>
    <w:p w14:paraId="1B94BFAD" w14:textId="77777777" w:rsidR="00823138" w:rsidRDefault="00A0477A">
      <w:pPr>
        <w:tabs>
          <w:tab w:val="center" w:pos="720"/>
          <w:tab w:val="center" w:pos="1990"/>
        </w:tabs>
        <w:spacing w:after="96"/>
        <w:ind w:left="-15" w:firstLine="0"/>
        <w:jc w:val="left"/>
      </w:pPr>
      <w:r>
        <w:t xml:space="preserve"> </w:t>
      </w:r>
      <w:r>
        <w:tab/>
        <w:t xml:space="preserve"> </w:t>
      </w:r>
      <w:r>
        <w:tab/>
        <w:t xml:space="preserve">Of Counsel </w:t>
      </w:r>
    </w:p>
    <w:p w14:paraId="3489FF81" w14:textId="77777777" w:rsidR="00823138" w:rsidRDefault="00A0477A">
      <w:pPr>
        <w:spacing w:after="0" w:line="259" w:lineRule="auto"/>
        <w:ind w:left="0" w:firstLine="0"/>
        <w:jc w:val="left"/>
      </w:pPr>
      <w:r>
        <w:t xml:space="preserve"> </w:t>
      </w:r>
    </w:p>
    <w:p w14:paraId="2D1BBF6C" w14:textId="77777777" w:rsidR="00823138" w:rsidRDefault="00A0477A">
      <w:pPr>
        <w:ind w:left="-5"/>
      </w:pPr>
      <w:r>
        <w:t xml:space="preserve">FRIEDMAN KAPLAN SEILER &amp; ADELMAN LLP </w:t>
      </w:r>
    </w:p>
    <w:p w14:paraId="1C8B579F" w14:textId="77777777" w:rsidR="00823138" w:rsidRDefault="00A0477A">
      <w:pPr>
        <w:ind w:left="-5"/>
      </w:pPr>
      <w:r>
        <w:t xml:space="preserve">Attorneys for </w:t>
      </w:r>
      <w:proofErr w:type="spellStart"/>
      <w:r>
        <w:t>Reaud</w:t>
      </w:r>
      <w:proofErr w:type="spellEnd"/>
      <w:r>
        <w:t xml:space="preserve">, Morgan &amp; Quinn, L.L.P.  </w:t>
      </w:r>
    </w:p>
    <w:p w14:paraId="28AD29E2" w14:textId="77777777" w:rsidR="00823138" w:rsidRDefault="00A0477A">
      <w:pPr>
        <w:ind w:left="-5"/>
      </w:pPr>
      <w:r>
        <w:t xml:space="preserve">1633 Broadway  </w:t>
      </w:r>
    </w:p>
    <w:p w14:paraId="162C82A5" w14:textId="77777777" w:rsidR="00823138" w:rsidRDefault="00A0477A">
      <w:pPr>
        <w:ind w:left="-5"/>
      </w:pPr>
      <w:r>
        <w:t xml:space="preserve">New York, New York </w:t>
      </w:r>
    </w:p>
    <w:p w14:paraId="449CA89E" w14:textId="77777777" w:rsidR="00823138" w:rsidRDefault="00A0477A">
      <w:pPr>
        <w:spacing w:after="0" w:line="259" w:lineRule="auto"/>
        <w:ind w:left="0" w:firstLine="0"/>
        <w:jc w:val="left"/>
      </w:pPr>
      <w:r>
        <w:t xml:space="preserve"> </w:t>
      </w:r>
    </w:p>
    <w:p w14:paraId="48FD8379" w14:textId="77777777" w:rsidR="00823138" w:rsidRDefault="00A0477A">
      <w:pPr>
        <w:ind w:left="-5" w:right="4963"/>
      </w:pPr>
      <w:r>
        <w:t xml:space="preserve"> </w:t>
      </w:r>
      <w:r>
        <w:tab/>
        <w:t xml:space="preserve">Edward A. Friedman, Esq.  </w:t>
      </w:r>
      <w:r>
        <w:tab/>
        <w:t xml:space="preserve">Hal Neier, Esq.  </w:t>
      </w:r>
    </w:p>
    <w:p w14:paraId="40A99D23" w14:textId="77777777" w:rsidR="00823138" w:rsidRDefault="00A0477A">
      <w:pPr>
        <w:tabs>
          <w:tab w:val="center" w:pos="720"/>
          <w:tab w:val="center" w:pos="1990"/>
        </w:tabs>
        <w:spacing w:after="97"/>
        <w:ind w:left="-15" w:firstLine="0"/>
        <w:jc w:val="left"/>
      </w:pPr>
      <w:r>
        <w:t xml:space="preserve"> </w:t>
      </w:r>
      <w:r>
        <w:tab/>
        <w:t xml:space="preserve"> </w:t>
      </w:r>
      <w:r>
        <w:tab/>
        <w:t xml:space="preserve">Of Counsel </w:t>
      </w:r>
    </w:p>
    <w:p w14:paraId="45FE1BEF" w14:textId="77777777" w:rsidR="00823138" w:rsidRDefault="00A0477A">
      <w:pPr>
        <w:spacing w:after="0" w:line="259" w:lineRule="auto"/>
        <w:ind w:left="0" w:firstLine="0"/>
        <w:jc w:val="left"/>
      </w:pPr>
      <w:r>
        <w:t xml:space="preserve"> </w:t>
      </w:r>
    </w:p>
    <w:p w14:paraId="40827FF5" w14:textId="77777777" w:rsidR="00823138" w:rsidRDefault="00A0477A">
      <w:pPr>
        <w:ind w:left="-5"/>
      </w:pPr>
      <w:r>
        <w:t xml:space="preserve">SHAPIRO SHER GUINOT &amp; SANDLER </w:t>
      </w:r>
    </w:p>
    <w:p w14:paraId="6973B590" w14:textId="77777777" w:rsidR="00823138" w:rsidRDefault="00A0477A">
      <w:pPr>
        <w:ind w:left="-5"/>
      </w:pPr>
      <w:r>
        <w:t xml:space="preserve">Attorneys for William F. </w:t>
      </w:r>
      <w:proofErr w:type="spellStart"/>
      <w:r>
        <w:t>Geritz</w:t>
      </w:r>
      <w:proofErr w:type="spellEnd"/>
      <w:r>
        <w:t xml:space="preserve"> and the </w:t>
      </w:r>
      <w:proofErr w:type="spellStart"/>
      <w:r>
        <w:t>Kilnoise</w:t>
      </w:r>
      <w:proofErr w:type="spellEnd"/>
      <w:r>
        <w:t xml:space="preserve"> Claimants </w:t>
      </w:r>
    </w:p>
    <w:p w14:paraId="1709542B" w14:textId="77777777" w:rsidR="00823138" w:rsidRDefault="00A0477A">
      <w:pPr>
        <w:ind w:left="-5" w:right="4895"/>
      </w:pPr>
      <w:r>
        <w:t>36 S. Charles St., 20</w:t>
      </w:r>
      <w:r>
        <w:rPr>
          <w:vertAlign w:val="superscript"/>
        </w:rPr>
        <w:t>th</w:t>
      </w:r>
      <w:r>
        <w:t xml:space="preserve"> Floor Baltimore, Maryland 21201 </w:t>
      </w:r>
    </w:p>
    <w:p w14:paraId="5BEEBCF4" w14:textId="77777777" w:rsidR="00823138" w:rsidRDefault="00A0477A">
      <w:pPr>
        <w:spacing w:after="0" w:line="259" w:lineRule="auto"/>
        <w:ind w:left="0" w:firstLine="0"/>
        <w:jc w:val="left"/>
      </w:pPr>
      <w:r>
        <w:t xml:space="preserve"> </w:t>
      </w:r>
    </w:p>
    <w:p w14:paraId="70D3B37B" w14:textId="77777777" w:rsidR="00823138" w:rsidRDefault="00A0477A">
      <w:pPr>
        <w:tabs>
          <w:tab w:val="center" w:pos="1534"/>
        </w:tabs>
        <w:ind w:left="-15" w:firstLine="0"/>
        <w:jc w:val="left"/>
      </w:pPr>
      <w:r>
        <w:t xml:space="preserve"> </w:t>
      </w:r>
      <w:r>
        <w:tab/>
        <w:t xml:space="preserve">Joel I. Sher, Esq. </w:t>
      </w:r>
    </w:p>
    <w:p w14:paraId="04996388" w14:textId="77777777" w:rsidR="00823138" w:rsidRDefault="00A0477A">
      <w:pPr>
        <w:tabs>
          <w:tab w:val="center" w:pos="1960"/>
        </w:tabs>
        <w:ind w:left="-15" w:firstLine="0"/>
        <w:jc w:val="left"/>
      </w:pPr>
      <w:r>
        <w:t xml:space="preserve"> </w:t>
      </w:r>
      <w:r>
        <w:tab/>
        <w:t xml:space="preserve">Kimberly M. Stoker, Esq. </w:t>
      </w:r>
    </w:p>
    <w:p w14:paraId="0B8C16FA" w14:textId="77777777" w:rsidR="00823138" w:rsidRPr="00C44AA3" w:rsidRDefault="00A0477A" w:rsidP="00C44AA3">
      <w:pPr>
        <w:tabs>
          <w:tab w:val="center" w:pos="720"/>
          <w:tab w:val="center" w:pos="1990"/>
        </w:tabs>
        <w:spacing w:after="0"/>
        <w:ind w:left="-15" w:firstLine="0"/>
        <w:jc w:val="left"/>
        <w:rPr>
          <w:highlight w:val="yellow"/>
        </w:rPr>
      </w:pPr>
      <w:r>
        <w:lastRenderedPageBreak/>
        <w:t xml:space="preserve"> </w:t>
      </w:r>
      <w:r>
        <w:tab/>
        <w:t xml:space="preserve"> </w:t>
      </w:r>
      <w:r>
        <w:tab/>
        <w:t xml:space="preserve">Of </w:t>
      </w:r>
      <w:r w:rsidRPr="00C44AA3">
        <w:rPr>
          <w:highlight w:val="yellow"/>
        </w:rPr>
        <w:t xml:space="preserve">Counsel </w:t>
      </w:r>
    </w:p>
    <w:p w14:paraId="185A1BA3" w14:textId="77777777" w:rsidR="00823138" w:rsidRPr="00C44AA3" w:rsidRDefault="00A0477A" w:rsidP="00C44AA3">
      <w:pPr>
        <w:spacing w:after="0" w:line="265" w:lineRule="auto"/>
        <w:ind w:right="8"/>
        <w:jc w:val="center"/>
        <w:rPr>
          <w:highlight w:val="yellow"/>
        </w:rPr>
      </w:pPr>
      <w:r w:rsidRPr="00C44AA3">
        <w:rPr>
          <w:highlight w:val="yellow"/>
        </w:rPr>
        <w:t>2</w:t>
      </w:r>
    </w:p>
    <w:p w14:paraId="53E2F323" w14:textId="77777777" w:rsidR="00823138" w:rsidRPr="00C44AA3" w:rsidRDefault="00A0477A" w:rsidP="00C44AA3">
      <w:pPr>
        <w:spacing w:after="0" w:line="259" w:lineRule="auto"/>
        <w:ind w:left="0" w:firstLine="0"/>
        <w:jc w:val="left"/>
        <w:rPr>
          <w:highlight w:val="yellow"/>
        </w:rPr>
      </w:pPr>
      <w:r w:rsidRPr="00C44AA3">
        <w:rPr>
          <w:highlight w:val="yellow"/>
        </w:rPr>
        <w:t xml:space="preserve"> </w:t>
      </w:r>
    </w:p>
    <w:p w14:paraId="44966506" w14:textId="77777777" w:rsidR="00823138" w:rsidRDefault="00A0477A" w:rsidP="00C44AA3">
      <w:pPr>
        <w:spacing w:after="0"/>
        <w:ind w:left="-5"/>
      </w:pPr>
      <w:r w:rsidRPr="00C44AA3">
        <w:rPr>
          <w:highlight w:val="yellow"/>
        </w:rPr>
        <w:t>SCARCELLA ROSEN &amp; SLOME</w:t>
      </w:r>
      <w:r>
        <w:t xml:space="preserve"> LLP </w:t>
      </w:r>
    </w:p>
    <w:p w14:paraId="58AE72D1" w14:textId="77777777" w:rsidR="00823138" w:rsidRDefault="00A0477A">
      <w:pPr>
        <w:ind w:left="-5"/>
      </w:pPr>
      <w:r>
        <w:t xml:space="preserve">Attorneys for William F. </w:t>
      </w:r>
      <w:proofErr w:type="spellStart"/>
      <w:r>
        <w:t>Geritz</w:t>
      </w:r>
      <w:proofErr w:type="spellEnd"/>
      <w:r>
        <w:t xml:space="preserve"> and the </w:t>
      </w:r>
      <w:proofErr w:type="spellStart"/>
      <w:r>
        <w:t>Kilnoise</w:t>
      </w:r>
      <w:proofErr w:type="spellEnd"/>
      <w:r>
        <w:t xml:space="preserve"> Claimants </w:t>
      </w:r>
    </w:p>
    <w:p w14:paraId="37779B63" w14:textId="77777777" w:rsidR="00823138" w:rsidRDefault="00A0477A">
      <w:pPr>
        <w:ind w:left="-5"/>
      </w:pPr>
      <w:r>
        <w:t xml:space="preserve">333 Earle Ovington Boulevard, Suite 901 </w:t>
      </w:r>
    </w:p>
    <w:p w14:paraId="0290E82E" w14:textId="77777777" w:rsidR="00823138" w:rsidRDefault="00A0477A">
      <w:pPr>
        <w:ind w:left="-5"/>
      </w:pPr>
      <w:r>
        <w:t xml:space="preserve">Uniondale, New York 11553 </w:t>
      </w:r>
    </w:p>
    <w:p w14:paraId="0C27DD91" w14:textId="77777777" w:rsidR="00823138" w:rsidRDefault="00A0477A">
      <w:pPr>
        <w:spacing w:after="0" w:line="259" w:lineRule="auto"/>
        <w:ind w:left="0" w:firstLine="0"/>
        <w:jc w:val="left"/>
      </w:pPr>
      <w:r>
        <w:t xml:space="preserve"> </w:t>
      </w:r>
    </w:p>
    <w:p w14:paraId="706BC7A3" w14:textId="77777777" w:rsidR="00823138" w:rsidRDefault="00A0477A">
      <w:pPr>
        <w:tabs>
          <w:tab w:val="center" w:pos="1881"/>
        </w:tabs>
        <w:ind w:left="-15" w:firstLine="0"/>
        <w:jc w:val="left"/>
      </w:pPr>
      <w:r>
        <w:t xml:space="preserve"> </w:t>
      </w:r>
      <w:r>
        <w:tab/>
        <w:t xml:space="preserve">Louis A. Scarcella, Esq.  </w:t>
      </w:r>
    </w:p>
    <w:p w14:paraId="71D69F61" w14:textId="77777777" w:rsidR="00823138" w:rsidRDefault="00A0477A">
      <w:pPr>
        <w:tabs>
          <w:tab w:val="center" w:pos="720"/>
          <w:tab w:val="center" w:pos="1990"/>
        </w:tabs>
        <w:spacing w:after="97"/>
        <w:ind w:left="-15" w:firstLine="0"/>
        <w:jc w:val="left"/>
      </w:pPr>
      <w:r>
        <w:t xml:space="preserve"> </w:t>
      </w:r>
      <w:r>
        <w:tab/>
        <w:t xml:space="preserve"> </w:t>
      </w:r>
      <w:r>
        <w:tab/>
        <w:t xml:space="preserve">Of Counsel </w:t>
      </w:r>
    </w:p>
    <w:p w14:paraId="51AD41CD" w14:textId="77777777" w:rsidR="00823138" w:rsidRDefault="00A0477A">
      <w:pPr>
        <w:spacing w:after="0" w:line="259" w:lineRule="auto"/>
        <w:ind w:left="0" w:firstLine="0"/>
        <w:jc w:val="left"/>
      </w:pPr>
      <w:r>
        <w:t xml:space="preserve"> </w:t>
      </w:r>
    </w:p>
    <w:p w14:paraId="7EC22F29" w14:textId="77777777" w:rsidR="00823138" w:rsidRDefault="00A0477A">
      <w:pPr>
        <w:ind w:left="-5"/>
      </w:pPr>
      <w:r>
        <w:t xml:space="preserve">HALPERIN BATTAGLIA RAICHT, LLP </w:t>
      </w:r>
    </w:p>
    <w:p w14:paraId="7A9821FD" w14:textId="77777777" w:rsidR="00823138" w:rsidRDefault="00A0477A">
      <w:pPr>
        <w:ind w:left="-5"/>
      </w:pPr>
      <w:r>
        <w:t xml:space="preserve">Attorneys for the David Law Firm </w:t>
      </w:r>
    </w:p>
    <w:p w14:paraId="395CEEE8" w14:textId="77777777" w:rsidR="00823138" w:rsidRDefault="00A0477A">
      <w:pPr>
        <w:ind w:left="-5"/>
      </w:pPr>
      <w:r>
        <w:t>555 Madison Avenue, 9</w:t>
      </w:r>
      <w:r>
        <w:rPr>
          <w:vertAlign w:val="superscript"/>
        </w:rPr>
        <w:t>th</w:t>
      </w:r>
      <w:r>
        <w:t xml:space="preserve"> Floor  </w:t>
      </w:r>
    </w:p>
    <w:p w14:paraId="3D4607D5" w14:textId="77777777" w:rsidR="00823138" w:rsidRDefault="00A0477A">
      <w:pPr>
        <w:ind w:left="-5"/>
      </w:pPr>
      <w:r>
        <w:t xml:space="preserve">New York, New York 10022 </w:t>
      </w:r>
    </w:p>
    <w:p w14:paraId="42A75025" w14:textId="77777777" w:rsidR="00823138" w:rsidRDefault="00A0477A">
      <w:pPr>
        <w:spacing w:after="0" w:line="259" w:lineRule="auto"/>
        <w:ind w:left="0" w:firstLine="0"/>
        <w:jc w:val="left"/>
      </w:pPr>
      <w:r>
        <w:t xml:space="preserve"> </w:t>
      </w:r>
    </w:p>
    <w:p w14:paraId="27BA6626" w14:textId="77777777" w:rsidR="00823138" w:rsidRDefault="00A0477A">
      <w:pPr>
        <w:tabs>
          <w:tab w:val="center" w:pos="2129"/>
        </w:tabs>
        <w:ind w:left="-15" w:firstLine="0"/>
        <w:jc w:val="left"/>
      </w:pPr>
      <w:r>
        <w:t xml:space="preserve"> </w:t>
      </w:r>
      <w:r>
        <w:tab/>
        <w:t xml:space="preserve">Christopher J. Battaglia, Esq.  </w:t>
      </w:r>
    </w:p>
    <w:p w14:paraId="34ED76F4" w14:textId="77777777" w:rsidR="00823138" w:rsidRDefault="00A0477A">
      <w:pPr>
        <w:tabs>
          <w:tab w:val="center" w:pos="720"/>
          <w:tab w:val="center" w:pos="1990"/>
        </w:tabs>
        <w:spacing w:after="97"/>
        <w:ind w:left="-15" w:firstLine="0"/>
        <w:jc w:val="left"/>
      </w:pPr>
      <w:r>
        <w:t xml:space="preserve"> </w:t>
      </w:r>
      <w:r>
        <w:tab/>
        <w:t xml:space="preserve"> </w:t>
      </w:r>
      <w:r>
        <w:tab/>
        <w:t xml:space="preserve">Of Counsel  </w:t>
      </w:r>
    </w:p>
    <w:p w14:paraId="14F93C7E" w14:textId="77777777" w:rsidR="00823138" w:rsidRDefault="00A0477A">
      <w:pPr>
        <w:spacing w:after="0" w:line="259" w:lineRule="auto"/>
        <w:ind w:left="0" w:firstLine="0"/>
        <w:jc w:val="left"/>
      </w:pPr>
      <w:r>
        <w:t xml:space="preserve"> </w:t>
      </w:r>
    </w:p>
    <w:p w14:paraId="38927D0C" w14:textId="77777777" w:rsidR="00823138" w:rsidRDefault="00A0477A">
      <w:pPr>
        <w:ind w:left="-5"/>
      </w:pPr>
      <w:r>
        <w:t xml:space="preserve">CAMPBELL &amp; LEVINE, LLC </w:t>
      </w:r>
    </w:p>
    <w:p w14:paraId="66D415F1" w14:textId="77777777" w:rsidR="00823138" w:rsidRDefault="00A0477A">
      <w:pPr>
        <w:ind w:left="-5"/>
      </w:pPr>
      <w:r>
        <w:t xml:space="preserve">Attorneys for the David Law Firm </w:t>
      </w:r>
    </w:p>
    <w:p w14:paraId="715A9D8F" w14:textId="77777777" w:rsidR="00823138" w:rsidRDefault="00A0477A">
      <w:pPr>
        <w:ind w:left="-5"/>
      </w:pPr>
      <w:r>
        <w:t xml:space="preserve">1700 Grant Building  </w:t>
      </w:r>
    </w:p>
    <w:p w14:paraId="3C5B5D14" w14:textId="77777777" w:rsidR="00823138" w:rsidRDefault="00A0477A">
      <w:pPr>
        <w:ind w:left="-5"/>
      </w:pPr>
      <w:r>
        <w:t xml:space="preserve">Pittsburgh, Pennsylvania  </w:t>
      </w:r>
    </w:p>
    <w:p w14:paraId="180E91EC" w14:textId="77777777" w:rsidR="00823138" w:rsidRDefault="00A0477A">
      <w:pPr>
        <w:spacing w:after="0" w:line="259" w:lineRule="auto"/>
        <w:ind w:left="0" w:firstLine="0"/>
        <w:jc w:val="left"/>
      </w:pPr>
      <w:r>
        <w:t xml:space="preserve"> </w:t>
      </w:r>
    </w:p>
    <w:p w14:paraId="0200D36B" w14:textId="77777777" w:rsidR="00823138" w:rsidRDefault="00A0477A">
      <w:pPr>
        <w:tabs>
          <w:tab w:val="center" w:pos="1728"/>
        </w:tabs>
        <w:ind w:left="-15" w:firstLine="0"/>
        <w:jc w:val="left"/>
      </w:pPr>
      <w:r>
        <w:t xml:space="preserve"> </w:t>
      </w:r>
      <w:r>
        <w:tab/>
        <w:t xml:space="preserve">Philip E. Milch, Esq.  </w:t>
      </w:r>
    </w:p>
    <w:p w14:paraId="74BB6AB0" w14:textId="77777777" w:rsidR="00823138" w:rsidRDefault="00A0477A">
      <w:pPr>
        <w:tabs>
          <w:tab w:val="center" w:pos="1734"/>
        </w:tabs>
        <w:ind w:left="-15" w:firstLine="0"/>
        <w:jc w:val="left"/>
      </w:pPr>
      <w:r>
        <w:t xml:space="preserve"> </w:t>
      </w:r>
      <w:r>
        <w:tab/>
        <w:t xml:space="preserve">Paul J. Cordaro, Esq. </w:t>
      </w:r>
    </w:p>
    <w:p w14:paraId="54F8D255" w14:textId="77777777" w:rsidR="00823138" w:rsidRDefault="00A0477A">
      <w:pPr>
        <w:tabs>
          <w:tab w:val="center" w:pos="720"/>
          <w:tab w:val="center" w:pos="1990"/>
        </w:tabs>
        <w:spacing w:after="216"/>
        <w:ind w:left="-15" w:firstLine="0"/>
        <w:jc w:val="left"/>
      </w:pPr>
      <w:r>
        <w:rPr>
          <w:rFonts w:ascii="Courier New" w:eastAsia="Courier New" w:hAnsi="Courier New" w:cs="Courier New"/>
        </w:rPr>
        <w:t xml:space="preserve"> </w:t>
      </w:r>
      <w:r>
        <w:rPr>
          <w:rFonts w:ascii="Courier New" w:eastAsia="Courier New" w:hAnsi="Courier New" w:cs="Courier New"/>
        </w:rPr>
        <w:tab/>
        <w:t xml:space="preserve"> </w:t>
      </w:r>
      <w:r>
        <w:rPr>
          <w:rFonts w:ascii="Courier New" w:eastAsia="Courier New" w:hAnsi="Courier New" w:cs="Courier New"/>
        </w:rPr>
        <w:tab/>
      </w:r>
      <w:r>
        <w:t>Of Counsel</w:t>
      </w:r>
      <w:r>
        <w:rPr>
          <w:rFonts w:ascii="Courier New" w:eastAsia="Courier New" w:hAnsi="Courier New" w:cs="Courier New"/>
        </w:rPr>
        <w:t xml:space="preserve"> </w:t>
      </w:r>
    </w:p>
    <w:p w14:paraId="68A9E31D" w14:textId="77777777" w:rsidR="00823138" w:rsidRDefault="00A0477A">
      <w:pPr>
        <w:spacing w:after="0" w:line="259" w:lineRule="auto"/>
        <w:ind w:left="0" w:firstLine="0"/>
        <w:jc w:val="left"/>
      </w:pPr>
      <w:r>
        <w:rPr>
          <w:rFonts w:ascii="Courier New" w:eastAsia="Courier New" w:hAnsi="Courier New" w:cs="Courier New"/>
        </w:rPr>
        <w:t xml:space="preserve"> </w:t>
      </w:r>
    </w:p>
    <w:p w14:paraId="587AC060" w14:textId="77777777" w:rsidR="00823138" w:rsidRDefault="00A0477A">
      <w:pPr>
        <w:pStyle w:val="Heading1"/>
        <w:spacing w:after="0"/>
        <w:ind w:left="-5"/>
      </w:pPr>
      <w:r>
        <w:t xml:space="preserve">STUART M. BERNSTEIN Chief United States Bankruptcy Judge </w:t>
      </w:r>
    </w:p>
    <w:p w14:paraId="783311D7" w14:textId="77777777" w:rsidR="00823138" w:rsidRDefault="00A0477A">
      <w:pPr>
        <w:spacing w:after="0" w:line="259" w:lineRule="auto"/>
        <w:ind w:left="0" w:firstLine="0"/>
        <w:jc w:val="left"/>
      </w:pPr>
      <w:r>
        <w:t xml:space="preserve"> </w:t>
      </w:r>
    </w:p>
    <w:p w14:paraId="5A4065AE" w14:textId="77777777" w:rsidR="00823138" w:rsidRDefault="00A0477A">
      <w:pPr>
        <w:spacing w:line="476" w:lineRule="auto"/>
        <w:ind w:left="-15" w:firstLine="720"/>
      </w:pPr>
      <w:r>
        <w:t xml:space="preserve">This is an asbestos bankruptcy.  The debtor, Quigley Company Inc. (“Quigley”) and its non-debtor parent company, Pfizer Inc. (“Pfizer”), are seeking to confirm </w:t>
      </w:r>
    </w:p>
    <w:p w14:paraId="58CC59AA" w14:textId="77777777" w:rsidR="00C44AA3" w:rsidRDefault="00A0477A" w:rsidP="00C44AA3">
      <w:pPr>
        <w:spacing w:after="0" w:line="475" w:lineRule="auto"/>
        <w:ind w:left="0" w:hanging="14"/>
      </w:pPr>
      <w:r>
        <w:t>Quigley’s Third Amended Plan of Reorganization under Chapter 11 of the Bankruptcy Code, dated Oct. 6, 2005 (the “Plan</w:t>
      </w:r>
      <w:proofErr w:type="gramStart"/>
      <w:r>
        <w:t>”)(</w:t>
      </w:r>
      <w:proofErr w:type="gramEnd"/>
      <w:r>
        <w:t xml:space="preserve">ECF Doc. # 505), to deal with their </w:t>
      </w:r>
      <w:proofErr w:type="spellStart"/>
      <w:r>
        <w:t>asbestosrelated</w:t>
      </w:r>
      <w:proofErr w:type="spellEnd"/>
      <w:r>
        <w:t xml:space="preserve"> liability.  Approximately 210,000 people, holding unliquidated asbestos-related personal injury claims, have voted to accept or reject the plan.  </w:t>
      </w:r>
      <w:r w:rsidRPr="00C44AA3">
        <w:rPr>
          <w:highlight w:val="yellow"/>
        </w:rPr>
        <w:t xml:space="preserve">The question before the Court is how to estimate their claims for </w:t>
      </w:r>
      <w:r w:rsidRPr="00C44AA3">
        <w:rPr>
          <w:highlight w:val="yellow"/>
          <w:u w:val="single" w:color="000000"/>
        </w:rPr>
        <w:t>voting purposes only</w:t>
      </w:r>
      <w:r w:rsidRPr="00C44AA3">
        <w:rPr>
          <w:highlight w:val="yellow"/>
        </w:rPr>
        <w:t>.</w:t>
      </w:r>
      <w:r>
        <w:t xml:space="preserve">   </w:t>
      </w:r>
      <w:r>
        <w:t xml:space="preserve">The present dispute raises two estimation issues.  First, should the Court value the claims at $1.00 per vote, or alternatively, weigh </w:t>
      </w:r>
      <w:r>
        <w:lastRenderedPageBreak/>
        <w:t>the votes based on the impairment allegedly suffered by the voting claimant?  Second, should the Court discount the value of certain votes by 90% based on a settlement discussed in detail below?  For the reasons explained below, the Court declines to estimate the claims at $1.00, and instead, will weigh the votes in accordance with the values assigned to the particular impai</w:t>
      </w:r>
      <w:r>
        <w:t>rment under the Plan.</w:t>
      </w:r>
      <w:r>
        <w:rPr>
          <w:vertAlign w:val="superscript"/>
        </w:rPr>
        <w:footnoteReference w:id="1"/>
      </w:r>
      <w:r>
        <w:t xml:space="preserve">  In addition, the Court will discount, or dilute, the settled claims for voting purposes by 90%. </w:t>
      </w:r>
    </w:p>
    <w:p w14:paraId="1233C1C9" w14:textId="19B53C05" w:rsidR="00823138" w:rsidRDefault="00A0477A" w:rsidP="00C44AA3">
      <w:pPr>
        <w:spacing w:after="0" w:line="475" w:lineRule="auto"/>
        <w:ind w:left="0" w:hanging="14"/>
      </w:pPr>
      <w:r>
        <w:rPr>
          <w:b/>
        </w:rPr>
        <w:t xml:space="preserve">BACKGROUND </w:t>
      </w:r>
    </w:p>
    <w:p w14:paraId="669DE574" w14:textId="77777777" w:rsidR="00823138" w:rsidRDefault="00A0477A">
      <w:pPr>
        <w:pStyle w:val="Heading1"/>
        <w:tabs>
          <w:tab w:val="center" w:pos="1374"/>
        </w:tabs>
        <w:spacing w:after="222"/>
        <w:ind w:left="-15" w:firstLine="0"/>
      </w:pPr>
      <w:r>
        <w:t>A</w:t>
      </w:r>
      <w:proofErr w:type="gramStart"/>
      <w:r>
        <w:t xml:space="preserve">. </w:t>
      </w:r>
      <w:r>
        <w:tab/>
        <w:t>Introduction</w:t>
      </w:r>
      <w:proofErr w:type="gramEnd"/>
      <w:r>
        <w:t xml:space="preserve"> </w:t>
      </w:r>
    </w:p>
    <w:p w14:paraId="52787E23" w14:textId="77777777" w:rsidR="00823138" w:rsidRDefault="00A0477A">
      <w:pPr>
        <w:spacing w:line="476" w:lineRule="auto"/>
        <w:ind w:left="-15" w:firstLine="720"/>
      </w:pPr>
      <w:r>
        <w:t xml:space="preserve">At all relevant times prior to 1992, Quigley was engaged in the business of developing, producing and marketing a broad range of refractories and related products.  </w:t>
      </w:r>
    </w:p>
    <w:p w14:paraId="738BED3D" w14:textId="77777777" w:rsidR="00823138" w:rsidRDefault="00A0477A">
      <w:pPr>
        <w:pStyle w:val="Heading2"/>
        <w:spacing w:after="0" w:line="476" w:lineRule="auto"/>
        <w:ind w:left="-5"/>
      </w:pPr>
      <w:r>
        <w:rPr>
          <w:u w:val="none"/>
        </w:rPr>
        <w:t>Some of these products contained asbestos.  (</w:t>
      </w:r>
      <w:r>
        <w:t>Fourth Amended Disclosure Statement with</w:t>
      </w:r>
      <w:r>
        <w:rPr>
          <w:u w:val="none"/>
        </w:rPr>
        <w:t xml:space="preserve"> </w:t>
      </w:r>
      <w:r>
        <w:t>Respect to Quigley Company, Inc. Third Amended Plan of Reorganization Under</w:t>
      </w:r>
      <w:r>
        <w:rPr>
          <w:u w:val="none"/>
        </w:rPr>
        <w:t xml:space="preserve"> </w:t>
      </w:r>
    </w:p>
    <w:p w14:paraId="5A1925E9" w14:textId="77777777" w:rsidR="00823138" w:rsidRDefault="00A0477A">
      <w:pPr>
        <w:spacing w:after="243"/>
        <w:ind w:left="-5"/>
      </w:pPr>
      <w:r>
        <w:rPr>
          <w:u w:val="single" w:color="000000"/>
        </w:rPr>
        <w:t>Chapter 11 of the Bankruptcy Code</w:t>
      </w:r>
      <w:r>
        <w:t>, dated Oct. 17, 2005 (“</w:t>
      </w:r>
      <w:r>
        <w:rPr>
          <w:u w:val="single" w:color="000000"/>
        </w:rPr>
        <w:t>DS</w:t>
      </w:r>
      <w:r>
        <w:t>”), at 20 (</w:t>
      </w:r>
      <w:r>
        <w:rPr>
          <w:u w:val="single" w:color="000000"/>
        </w:rPr>
        <w:t>see</w:t>
      </w:r>
      <w:r>
        <w:t xml:space="preserve"> ECF Doc. # </w:t>
      </w:r>
    </w:p>
    <w:p w14:paraId="11D03317" w14:textId="77777777" w:rsidR="00823138" w:rsidRDefault="00A0477A">
      <w:pPr>
        <w:spacing w:after="304"/>
        <w:ind w:left="-5"/>
      </w:pPr>
      <w:r>
        <w:t>520).)</w:t>
      </w:r>
      <w:r>
        <w:rPr>
          <w:vertAlign w:val="superscript"/>
        </w:rPr>
        <w:t xml:space="preserve"> </w:t>
      </w:r>
      <w:r>
        <w:rPr>
          <w:vertAlign w:val="superscript"/>
        </w:rPr>
        <w:footnoteReference w:id="2"/>
      </w:r>
      <w:r>
        <w:t xml:space="preserve">  In 1968, Pfizer &amp; Co., Inc, Pfizer’s predecessor, acquired Quigley.  In 1992, </w:t>
      </w:r>
    </w:p>
    <w:p w14:paraId="7B44ABDB" w14:textId="77777777" w:rsidR="00823138" w:rsidRDefault="00A0477A" w:rsidP="00C44AA3">
      <w:pPr>
        <w:spacing w:after="0"/>
        <w:ind w:left="-5" w:hanging="14"/>
      </w:pPr>
      <w:r>
        <w:t xml:space="preserve">Pfizer sold substantially all of Quigley’s assets to </w:t>
      </w:r>
      <w:proofErr w:type="spellStart"/>
      <w:r>
        <w:t>Minteq</w:t>
      </w:r>
      <w:proofErr w:type="spellEnd"/>
      <w:r>
        <w:t xml:space="preserve"> International, Inc.  Under the </w:t>
      </w:r>
    </w:p>
    <w:p w14:paraId="1481DABC" w14:textId="77777777" w:rsidR="00823138" w:rsidRDefault="00A0477A" w:rsidP="00C44AA3">
      <w:pPr>
        <w:spacing w:after="0" w:line="265" w:lineRule="auto"/>
        <w:ind w:right="8" w:hanging="14"/>
        <w:jc w:val="center"/>
      </w:pPr>
      <w:r>
        <w:t>4</w:t>
      </w:r>
    </w:p>
    <w:p w14:paraId="54B1209C" w14:textId="77777777" w:rsidR="00823138" w:rsidRDefault="00A0477A" w:rsidP="00C44AA3">
      <w:pPr>
        <w:spacing w:after="0" w:line="476" w:lineRule="auto"/>
        <w:ind w:left="-5" w:hanging="14"/>
      </w:pPr>
      <w:r>
        <w:t xml:space="preserve">sale terms, </w:t>
      </w:r>
      <w:r w:rsidRPr="00C44AA3">
        <w:rPr>
          <w:highlight w:val="yellow"/>
        </w:rPr>
        <w:t>Quigley and Pfizer retained all liability stemming from Quigley’s distribution and use of asbestos-containing products</w:t>
      </w:r>
      <w:r>
        <w:t>.  (</w:t>
      </w:r>
      <w:r>
        <w:rPr>
          <w:u w:val="single" w:color="000000"/>
        </w:rPr>
        <w:t>Id.</w:t>
      </w:r>
      <w:r>
        <w:t xml:space="preserve">)  Since the sale, Quigley’s only function has </w:t>
      </w:r>
      <w:r>
        <w:lastRenderedPageBreak/>
        <w:t>been to manage the hundreds of thousands of asbestos personal injury claims asserted against it.  (</w:t>
      </w:r>
      <w:r>
        <w:rPr>
          <w:u w:val="single" w:color="000000"/>
        </w:rPr>
        <w:t>DS</w:t>
      </w:r>
      <w:r>
        <w:t xml:space="preserve">, at 21.)   </w:t>
      </w:r>
    </w:p>
    <w:p w14:paraId="2A3CD0FF" w14:textId="77777777" w:rsidR="00823138" w:rsidRDefault="00A0477A">
      <w:pPr>
        <w:pStyle w:val="Heading1"/>
        <w:tabs>
          <w:tab w:val="center" w:pos="2196"/>
        </w:tabs>
        <w:ind w:left="-15" w:firstLine="0"/>
      </w:pPr>
      <w:r>
        <w:t xml:space="preserve">B. </w:t>
      </w:r>
      <w:proofErr w:type="gramStart"/>
      <w:r>
        <w:tab/>
        <w:t>The Pre</w:t>
      </w:r>
      <w:proofErr w:type="gramEnd"/>
      <w:r>
        <w:t xml:space="preserve">-Petition Settlements </w:t>
      </w:r>
    </w:p>
    <w:p w14:paraId="7A2A95AF" w14:textId="77777777" w:rsidR="00823138" w:rsidRDefault="00A0477A">
      <w:pPr>
        <w:spacing w:line="489" w:lineRule="auto"/>
        <w:ind w:left="-15" w:firstLine="720"/>
      </w:pPr>
      <w:r>
        <w:t>Many of Quigley’s asbestos creditors also asserted claims against Pfizer on the theory that Pfizer was derivatively liable for Quigley’s liabilities.</w:t>
      </w:r>
      <w:proofErr w:type="gramStart"/>
      <w:r>
        <w:rPr>
          <w:vertAlign w:val="superscript"/>
        </w:rPr>
        <w:t>3</w:t>
      </w:r>
      <w:r>
        <w:t xml:space="preserve">  (</w:t>
      </w:r>
      <w:proofErr w:type="gramEnd"/>
      <w:r>
        <w:rPr>
          <w:u w:val="single" w:color="000000"/>
        </w:rPr>
        <w:t>Id.</w:t>
      </w:r>
      <w:r>
        <w:t xml:space="preserve">)  Prior to the commencement of Quigley’s bankruptcy, and in contemplation of the bankruptcy, Pfizer engaged in extensive efforts to settle its derivative liability with the holders of </w:t>
      </w:r>
      <w:proofErr w:type="spellStart"/>
      <w:r>
        <w:t>asbestosrelated</w:t>
      </w:r>
      <w:proofErr w:type="spellEnd"/>
      <w:r>
        <w:t xml:space="preserve"> personal injury claims (the “Asbestos PI Claimants”).  (</w:t>
      </w:r>
      <w:r>
        <w:rPr>
          <w:u w:val="single" w:color="000000"/>
        </w:rPr>
        <w:t>DS</w:t>
      </w:r>
      <w:r>
        <w:t xml:space="preserve">, at 29.)  </w:t>
      </w:r>
      <w:r w:rsidRPr="00C44AA3">
        <w:rPr>
          <w:highlight w:val="yellow"/>
        </w:rPr>
        <w:t>The negotiations culminated in a settlement agreement between Pfizer and more than 80% of the Asbestos PI Claimants (the “Settling PI Claimants”).</w:t>
      </w:r>
      <w:proofErr w:type="gramStart"/>
      <w:r w:rsidRPr="00C44AA3">
        <w:rPr>
          <w:highlight w:val="yellow"/>
          <w:vertAlign w:val="superscript"/>
        </w:rPr>
        <w:t>4</w:t>
      </w:r>
      <w:r>
        <w:rPr>
          <w:sz w:val="22"/>
        </w:rPr>
        <w:t xml:space="preserve">  </w:t>
      </w:r>
      <w:r>
        <w:t>Pfizer</w:t>
      </w:r>
      <w:proofErr w:type="gramEnd"/>
      <w:r>
        <w:t xml:space="preserve"> agreed to pay the aggregate approximate amount of $430 million, to be divided among the Settling </w:t>
      </w:r>
      <w:proofErr w:type="gramStart"/>
      <w:r>
        <w:t>PI</w:t>
      </w:r>
      <w:proofErr w:type="gramEnd"/>
      <w:r>
        <w:t xml:space="preserve"> </w:t>
      </w:r>
    </w:p>
    <w:p w14:paraId="4EBD4C9D" w14:textId="77777777" w:rsidR="00823138" w:rsidRDefault="00A0477A">
      <w:pPr>
        <w:spacing w:after="623" w:line="476" w:lineRule="auto"/>
        <w:ind w:left="-5"/>
      </w:pPr>
      <w:r>
        <w:t xml:space="preserve">Claimants </w:t>
      </w:r>
      <w:proofErr w:type="gramStart"/>
      <w:r>
        <w:t>based</w:t>
      </w:r>
      <w:proofErr w:type="gramEnd"/>
      <w:r>
        <w:t xml:space="preserve"> on disease category and exposure.  (</w:t>
      </w:r>
      <w:r>
        <w:rPr>
          <w:u w:val="single" w:color="000000"/>
        </w:rPr>
        <w:t>DS</w:t>
      </w:r>
      <w:r>
        <w:t xml:space="preserve">, at 31.)  </w:t>
      </w:r>
      <w:r w:rsidRPr="00C44AA3">
        <w:rPr>
          <w:highlight w:val="yellow"/>
        </w:rPr>
        <w:t xml:space="preserve">In exchange, the Settling PI Claimants agreed to release their claims against Pfizer and the </w:t>
      </w:r>
      <w:proofErr w:type="spellStart"/>
      <w:r w:rsidRPr="00C44AA3">
        <w:rPr>
          <w:highlight w:val="yellow"/>
        </w:rPr>
        <w:t>Pfizerprotected</w:t>
      </w:r>
      <w:proofErr w:type="spellEnd"/>
      <w:r w:rsidRPr="00C44AA3">
        <w:rPr>
          <w:highlight w:val="yellow"/>
        </w:rPr>
        <w:t xml:space="preserve"> parties (as defined in the </w:t>
      </w:r>
      <w:r w:rsidRPr="00C44AA3">
        <w:rPr>
          <w:highlight w:val="yellow"/>
          <w:u w:val="single" w:color="000000"/>
        </w:rPr>
        <w:t>Pfizer Settlement Agreement</w:t>
      </w:r>
      <w:proofErr w:type="gramStart"/>
      <w:r w:rsidRPr="00C44AA3">
        <w:rPr>
          <w:highlight w:val="yellow"/>
        </w:rPr>
        <w:t>), but</w:t>
      </w:r>
      <w:proofErr w:type="gramEnd"/>
      <w:r w:rsidRPr="00C44AA3">
        <w:rPr>
          <w:highlight w:val="yellow"/>
        </w:rPr>
        <w:t xml:space="preserve"> did not agree to release their claims against Quigley.</w:t>
      </w:r>
      <w:r>
        <w:t xml:space="preserve">  (</w:t>
      </w:r>
      <w:r>
        <w:rPr>
          <w:u w:val="single" w:color="000000"/>
        </w:rPr>
        <w:t>Pfizer Settlement Agreement</w:t>
      </w:r>
      <w:r>
        <w:t>, Ex. B (</w:t>
      </w:r>
      <w:r>
        <w:rPr>
          <w:u w:val="single" w:color="000000"/>
        </w:rPr>
        <w:t>Form of</w:t>
      </w:r>
      <w:r>
        <w:t xml:space="preserve"> </w:t>
      </w:r>
      <w:r>
        <w:rPr>
          <w:u w:val="single" w:color="000000"/>
        </w:rPr>
        <w:t>Plaintiff Release</w:t>
      </w:r>
      <w:r>
        <w:t xml:space="preserve">).)   </w:t>
      </w:r>
    </w:p>
    <w:p w14:paraId="4F310E8F" w14:textId="77777777" w:rsidR="00823138" w:rsidRDefault="00A0477A">
      <w:pPr>
        <w:spacing w:after="0" w:line="259" w:lineRule="auto"/>
        <w:ind w:left="0" w:firstLine="0"/>
        <w:jc w:val="left"/>
      </w:pPr>
      <w:r>
        <w:rPr>
          <w:strike/>
        </w:rPr>
        <w:t xml:space="preserve">                                                </w:t>
      </w:r>
      <w:r>
        <w:t xml:space="preserve"> </w:t>
      </w:r>
    </w:p>
    <w:p w14:paraId="28085087" w14:textId="77777777" w:rsidR="00823138" w:rsidRDefault="00A0477A">
      <w:pPr>
        <w:numPr>
          <w:ilvl w:val="0"/>
          <w:numId w:val="1"/>
        </w:numPr>
        <w:spacing w:after="5" w:line="248" w:lineRule="auto"/>
        <w:ind w:hanging="720"/>
      </w:pPr>
      <w:r>
        <w:rPr>
          <w:sz w:val="20"/>
        </w:rPr>
        <w:t xml:space="preserve">Some claimants have asserted independent asbestos-related claims against Pfizer based on products that Pfizer distributed.  The present controversy does not concern or purport to affect Pfizer’s liability for those direct claims. </w:t>
      </w:r>
      <w:r>
        <w:t xml:space="preserve"> </w:t>
      </w:r>
    </w:p>
    <w:p w14:paraId="620616F2" w14:textId="77777777" w:rsidR="00823138" w:rsidRDefault="00A0477A">
      <w:pPr>
        <w:numPr>
          <w:ilvl w:val="0"/>
          <w:numId w:val="1"/>
        </w:numPr>
        <w:spacing w:after="5" w:line="248" w:lineRule="auto"/>
        <w:ind w:hanging="720"/>
      </w:pPr>
      <w:r>
        <w:rPr>
          <w:sz w:val="20"/>
        </w:rPr>
        <w:t xml:space="preserve">The form of the </w:t>
      </w:r>
      <w:r>
        <w:rPr>
          <w:sz w:val="20"/>
          <w:u w:val="single" w:color="000000"/>
        </w:rPr>
        <w:t>Pfizer Settlement Agreement</w:t>
      </w:r>
      <w:r>
        <w:rPr>
          <w:sz w:val="20"/>
        </w:rPr>
        <w:t xml:space="preserve"> is attached as exhibit A to the </w:t>
      </w:r>
      <w:r>
        <w:rPr>
          <w:sz w:val="20"/>
          <w:u w:val="single" w:color="000000"/>
        </w:rPr>
        <w:t>Supplemental</w:t>
      </w:r>
      <w:r>
        <w:rPr>
          <w:sz w:val="20"/>
        </w:rPr>
        <w:t xml:space="preserve"> </w:t>
      </w:r>
    </w:p>
    <w:p w14:paraId="1EAB1BD5" w14:textId="77777777" w:rsidR="00823138" w:rsidRDefault="00A0477A">
      <w:pPr>
        <w:pStyle w:val="Heading2"/>
        <w:spacing w:after="457"/>
        <w:ind w:left="-5"/>
      </w:pPr>
      <w:r>
        <w:rPr>
          <w:sz w:val="20"/>
        </w:rPr>
        <w:t>Memorandum of Quigley Company, Inc. and Pfizer Inc. in Support of Motion for an Order Approving</w:t>
      </w:r>
      <w:r>
        <w:rPr>
          <w:sz w:val="20"/>
          <w:u w:val="none"/>
        </w:rPr>
        <w:t xml:space="preserve"> </w:t>
      </w:r>
      <w:r>
        <w:rPr>
          <w:sz w:val="20"/>
        </w:rPr>
        <w:t>Procedures to Tabulate the Votes Cast on Quigley’s Plan of Reorganization by Holders of Asbestos PI</w:t>
      </w:r>
      <w:r>
        <w:rPr>
          <w:sz w:val="20"/>
          <w:u w:val="none"/>
        </w:rPr>
        <w:t xml:space="preserve"> </w:t>
      </w:r>
      <w:r>
        <w:rPr>
          <w:sz w:val="20"/>
        </w:rPr>
        <w:t>Claims</w:t>
      </w:r>
      <w:r>
        <w:rPr>
          <w:sz w:val="20"/>
          <w:u w:val="none"/>
        </w:rPr>
        <w:t>, June 2, 2006 (“</w:t>
      </w:r>
      <w:r>
        <w:rPr>
          <w:sz w:val="20"/>
        </w:rPr>
        <w:t>Supplemental Vote Tabulation Memorandum</w:t>
      </w:r>
      <w:r>
        <w:rPr>
          <w:sz w:val="20"/>
          <w:u w:val="none"/>
        </w:rPr>
        <w:t xml:space="preserve">”) (ECF Doc. # 841.) </w:t>
      </w:r>
    </w:p>
    <w:p w14:paraId="25576CA8" w14:textId="77777777" w:rsidR="00823138" w:rsidRDefault="00A0477A">
      <w:pPr>
        <w:spacing w:after="120" w:line="265" w:lineRule="auto"/>
        <w:ind w:right="8"/>
        <w:jc w:val="center"/>
      </w:pPr>
      <w:r>
        <w:t>5</w:t>
      </w:r>
    </w:p>
    <w:p w14:paraId="25F03E4D" w14:textId="77777777" w:rsidR="00823138" w:rsidRDefault="00A0477A">
      <w:pPr>
        <w:spacing w:after="240" w:line="476" w:lineRule="auto"/>
        <w:ind w:left="-15" w:firstLine="720"/>
      </w:pPr>
      <w:r>
        <w:t xml:space="preserve">The Plan was a central feature of the pre-petition settlement negotiations. The Plan contemplated the creation of a Trust, to be funded with approximately $645 million contributed by Pfizer and Quigley.  The Trust would administer and pay the present and </w:t>
      </w:r>
      <w:r>
        <w:lastRenderedPageBreak/>
        <w:t>future asbestos claims under the Plan’s Trust Distribution Procedures (the “TDP”).  (</w:t>
      </w:r>
      <w:r>
        <w:rPr>
          <w:u w:val="single" w:color="000000"/>
        </w:rPr>
        <w:t>DS</w:t>
      </w:r>
      <w:r>
        <w:t>, at 7.)  All current and future asbestos personal injury claims asserted against Quigley or Pfizer would be channeled to the Trust.  (</w:t>
      </w:r>
      <w:r>
        <w:rPr>
          <w:u w:val="single" w:color="000000"/>
        </w:rPr>
        <w:t>DS</w:t>
      </w:r>
      <w:r>
        <w:t>, at 6.)  The channeling order would prevent the Asbestos PI Claimants from pursuing their claims against reorganized Quigley, Pfizer or certain other companies.  (</w:t>
      </w:r>
      <w:r>
        <w:rPr>
          <w:u w:val="single" w:color="000000"/>
        </w:rPr>
        <w:t>Id.</w:t>
      </w:r>
      <w:r>
        <w:t xml:space="preserve">)   </w:t>
      </w:r>
    </w:p>
    <w:p w14:paraId="0C92DE93" w14:textId="77777777" w:rsidR="00823138" w:rsidRDefault="00A0477A">
      <w:pPr>
        <w:spacing w:line="476" w:lineRule="auto"/>
        <w:ind w:left="-15" w:firstLine="720"/>
      </w:pPr>
      <w:r>
        <w:t>Although the Pfizer settlement did not release Quigley, it did include a provision of critical importance to the present controversy.  The Settling PI Claimants agreed that if the Trust assets proved insufficient to satisfy 100% of the value attributed to the present and estimated future claims under the TDP “each Settling Plaintiff [would] reduce its distribution on its claim against Quigley to ten percent (10%) of the Payment Percentage of the allowed amount of such claim under the Trust Distribution Proc</w:t>
      </w:r>
      <w:r>
        <w:t>edures.”  (</w:t>
      </w:r>
      <w:r>
        <w:rPr>
          <w:u w:val="single" w:color="000000"/>
        </w:rPr>
        <w:t>Pfizer</w:t>
      </w:r>
      <w:r>
        <w:t xml:space="preserve"> </w:t>
      </w:r>
      <w:r>
        <w:rPr>
          <w:u w:val="single" w:color="000000"/>
        </w:rPr>
        <w:t>Settlement Agreement</w:t>
      </w:r>
      <w:r>
        <w:t xml:space="preserve">, at § 2.4(b).)  </w:t>
      </w:r>
      <w:r w:rsidRPr="00C44AA3">
        <w:rPr>
          <w:highlight w:val="yellow"/>
        </w:rPr>
        <w:t xml:space="preserve">In other words, the Settling PI Claimants agreed to reduce their claims against the Trust by 90%.  This provision, we are told, was included at the insistence of Al </w:t>
      </w:r>
      <w:proofErr w:type="spellStart"/>
      <w:r w:rsidRPr="00C44AA3">
        <w:rPr>
          <w:highlight w:val="yellow"/>
        </w:rPr>
        <w:t>Togut</w:t>
      </w:r>
      <w:proofErr w:type="spellEnd"/>
      <w:r w:rsidRPr="00C44AA3">
        <w:rPr>
          <w:highlight w:val="yellow"/>
        </w:rPr>
        <w:t xml:space="preserve">, the future asbestos </w:t>
      </w:r>
      <w:proofErr w:type="gramStart"/>
      <w:r w:rsidRPr="00C44AA3">
        <w:rPr>
          <w:highlight w:val="yellow"/>
        </w:rPr>
        <w:t>claimants</w:t>
      </w:r>
      <w:proofErr w:type="gramEnd"/>
      <w:r w:rsidRPr="00C44AA3">
        <w:rPr>
          <w:highlight w:val="yellow"/>
        </w:rPr>
        <w:t xml:space="preserve"> representative (the “Future Claims Representative”) selected by Quigley to represent the future claimants in the settlement negotiations.</w:t>
      </w:r>
      <w:r>
        <w:t xml:space="preserve">  (</w:t>
      </w:r>
      <w:r>
        <w:rPr>
          <w:u w:val="single" w:color="000000"/>
        </w:rPr>
        <w:t>See</w:t>
      </w:r>
      <w:r>
        <w:t xml:space="preserve"> </w:t>
      </w:r>
      <w:r>
        <w:rPr>
          <w:u w:val="single" w:color="000000"/>
        </w:rPr>
        <w:t>Supplemental Vote Tabulation Memorandum</w:t>
      </w:r>
      <w:r>
        <w:t xml:space="preserve">, at ¶ 18 </w:t>
      </w:r>
    </w:p>
    <w:p w14:paraId="797175A1" w14:textId="77777777" w:rsidR="00823138" w:rsidRPr="00C44AA3" w:rsidRDefault="00A0477A" w:rsidP="00C44AA3">
      <w:pPr>
        <w:spacing w:after="0" w:line="475" w:lineRule="auto"/>
        <w:ind w:left="0" w:hanging="14"/>
      </w:pPr>
      <w:r>
        <w:t xml:space="preserve">(during the negotiations, the Future Claims Representative “insisted that the assets in [Quigley’s post-bankruptcy Trust] be maximized for the benefit of future asbestos claimants.”)  It appears that the Trust will not be able to pay out 100%, and the 90% dilution provision will, </w:t>
      </w:r>
      <w:r w:rsidRPr="00C44AA3">
        <w:t xml:space="preserve">therefore, apply. </w:t>
      </w:r>
    </w:p>
    <w:p w14:paraId="10BAA597" w14:textId="77777777" w:rsidR="00823138" w:rsidRPr="00C44AA3" w:rsidRDefault="00A0477A">
      <w:pPr>
        <w:spacing w:after="120" w:line="265" w:lineRule="auto"/>
        <w:ind w:right="8"/>
        <w:jc w:val="center"/>
      </w:pPr>
      <w:r w:rsidRPr="00C44AA3">
        <w:t>6</w:t>
      </w:r>
    </w:p>
    <w:p w14:paraId="636F4E52" w14:textId="77777777" w:rsidR="00823138" w:rsidRDefault="00A0477A">
      <w:pPr>
        <w:spacing w:line="493" w:lineRule="auto"/>
        <w:ind w:left="-15" w:firstLine="720"/>
      </w:pPr>
      <w:r w:rsidRPr="00C44AA3">
        <w:t>Under the settlement, Pfizer</w:t>
      </w:r>
      <w:r>
        <w:t xml:space="preserve"> agreed to pay, and </w:t>
      </w:r>
      <w:proofErr w:type="gramStart"/>
      <w:r>
        <w:t>actually did</w:t>
      </w:r>
      <w:proofErr w:type="gramEnd"/>
      <w:r>
        <w:t xml:space="preserve"> pay, one-half of the </w:t>
      </w:r>
      <w:proofErr w:type="gramStart"/>
      <w:r>
        <w:t>amounts</w:t>
      </w:r>
      <w:proofErr w:type="gramEnd"/>
      <w:r>
        <w:t xml:space="preserve"> due by December 1, 2005. (</w:t>
      </w:r>
      <w:r>
        <w:rPr>
          <w:u w:val="single" w:color="000000"/>
        </w:rPr>
        <w:t>Pfizer Settlement Agreement</w:t>
      </w:r>
      <w:r>
        <w:t xml:space="preserve">, at § 4.2(b).)  The balance of the settlement amount was payable, </w:t>
      </w:r>
      <w:r>
        <w:rPr>
          <w:u w:val="single" w:color="000000"/>
        </w:rPr>
        <w:t>inter alia</w:t>
      </w:r>
      <w:r>
        <w:t xml:space="preserve">, when and if the Plan was confirmed and </w:t>
      </w:r>
      <w:r>
        <w:lastRenderedPageBreak/>
        <w:t>the Consensual Plan Effective Date occurred.</w:t>
      </w:r>
      <w:r>
        <w:rPr>
          <w:vertAlign w:val="superscript"/>
        </w:rPr>
        <w:footnoteReference w:id="3"/>
      </w:r>
      <w:r>
        <w:t xml:space="preserve"> (</w:t>
      </w:r>
      <w:r>
        <w:rPr>
          <w:u w:val="single" w:color="000000"/>
        </w:rPr>
        <w:t>Id</w:t>
      </w:r>
      <w:r>
        <w:t>.)  Pfizer could unilaterally terminate the settlement at any time prior to the “Consensual Plan Effective Date.”</w:t>
      </w:r>
      <w:r>
        <w:rPr>
          <w:vertAlign w:val="superscript"/>
        </w:rPr>
        <w:footnoteReference w:id="4"/>
      </w:r>
      <w:r>
        <w:t xml:space="preserve">  (</w:t>
      </w:r>
      <w:r>
        <w:rPr>
          <w:u w:val="single" w:color="000000"/>
        </w:rPr>
        <w:t>Pfizer Settlement Agreement</w:t>
      </w:r>
      <w:r>
        <w:t xml:space="preserve">, at § 5.1.)  In addition, Pfizer’s obligations terminated if less than 75% of the holders of Asbestos PI Claims who </w:t>
      </w:r>
      <w:proofErr w:type="gramStart"/>
      <w:r>
        <w:t>actually voted</w:t>
      </w:r>
      <w:proofErr w:type="gramEnd"/>
      <w:r>
        <w:t>, voted to reject the plan.</w:t>
      </w:r>
      <w:r>
        <w:rPr>
          <w:vertAlign w:val="superscript"/>
        </w:rPr>
        <w:footnoteReference w:id="5"/>
      </w:r>
      <w:r>
        <w:t xml:space="preserve">  (</w:t>
      </w:r>
      <w:r>
        <w:rPr>
          <w:u w:val="single" w:color="000000"/>
        </w:rPr>
        <w:t>Id.</w:t>
      </w:r>
      <w:r>
        <w:t xml:space="preserve"> at § 4.3.)  If the Plan was not confirmed, the Settling PI Claimants were free to assert the full amount of their claims against Quigley.  (</w:t>
      </w:r>
      <w:r>
        <w:rPr>
          <w:u w:val="single" w:color="000000"/>
        </w:rPr>
        <w:t>See</w:t>
      </w:r>
      <w:r>
        <w:t xml:space="preserve"> </w:t>
      </w:r>
      <w:r>
        <w:rPr>
          <w:u w:val="single" w:color="000000"/>
        </w:rPr>
        <w:t>Pfizer</w:t>
      </w:r>
      <w:r>
        <w:t xml:space="preserve"> </w:t>
      </w:r>
    </w:p>
    <w:p w14:paraId="401C9008" w14:textId="77777777" w:rsidR="00823138" w:rsidRDefault="00A0477A">
      <w:pPr>
        <w:pStyle w:val="Heading2"/>
        <w:spacing w:after="518"/>
        <w:ind w:left="-5"/>
      </w:pPr>
      <w:r>
        <w:t>Settlement Agreement</w:t>
      </w:r>
      <w:r>
        <w:rPr>
          <w:u w:val="none"/>
        </w:rPr>
        <w:t xml:space="preserve">, at § 2.4(b).) </w:t>
      </w:r>
    </w:p>
    <w:p w14:paraId="22CE607E" w14:textId="77777777" w:rsidR="00823138" w:rsidRDefault="00A0477A">
      <w:pPr>
        <w:pStyle w:val="Heading3"/>
        <w:tabs>
          <w:tab w:val="center" w:pos="1852"/>
        </w:tabs>
        <w:ind w:left="-15" w:firstLine="0"/>
      </w:pPr>
      <w:r>
        <w:t>C</w:t>
      </w:r>
      <w:proofErr w:type="gramStart"/>
      <w:r>
        <w:t xml:space="preserve">. </w:t>
      </w:r>
      <w:r>
        <w:tab/>
        <w:t>Quigley’s</w:t>
      </w:r>
      <w:proofErr w:type="gramEnd"/>
      <w:r>
        <w:t xml:space="preserve"> Bankruptcy </w:t>
      </w:r>
    </w:p>
    <w:p w14:paraId="62589697" w14:textId="77777777" w:rsidR="00823138" w:rsidRDefault="00A0477A" w:rsidP="00C44AA3">
      <w:pPr>
        <w:spacing w:after="0" w:line="480" w:lineRule="auto"/>
        <w:ind w:left="-15" w:firstLine="720"/>
      </w:pPr>
      <w:r>
        <w:t xml:space="preserve">Quigley filed its chapter 11 petition on September 3, 2004.  </w:t>
      </w:r>
      <w:r w:rsidRPr="00C44AA3">
        <w:rPr>
          <w:highlight w:val="yellow"/>
        </w:rPr>
        <w:t>The disclosure statement included a schedule that identified the value attributed to each level of asbestos-related disease or impairment, and hence, the amount the Trust would pay upon proof of that impairment:</w:t>
      </w:r>
      <w:r w:rsidRPr="00C44AA3">
        <w:rPr>
          <w:highlight w:val="yellow"/>
          <w:vertAlign w:val="superscript"/>
        </w:rPr>
        <w:footnoteReference w:id="6"/>
      </w:r>
      <w:r>
        <w:t xml:space="preserve">  </w:t>
      </w:r>
    </w:p>
    <w:p w14:paraId="7B96105E" w14:textId="77777777" w:rsidR="00823138" w:rsidRDefault="00A0477A" w:rsidP="00C44AA3">
      <w:pPr>
        <w:spacing w:after="0" w:line="265" w:lineRule="auto"/>
        <w:ind w:right="8"/>
        <w:jc w:val="center"/>
      </w:pPr>
      <w:r>
        <w:t>7</w:t>
      </w:r>
    </w:p>
    <w:p w14:paraId="46FEED78" w14:textId="77777777" w:rsidR="00823138" w:rsidRDefault="00A0477A" w:rsidP="00C44AA3">
      <w:pPr>
        <w:spacing w:after="0" w:line="259" w:lineRule="auto"/>
        <w:ind w:left="720" w:firstLine="0"/>
        <w:jc w:val="left"/>
      </w:pPr>
      <w:r>
        <w:t xml:space="preserve"> </w:t>
      </w:r>
    </w:p>
    <w:tbl>
      <w:tblPr>
        <w:tblStyle w:val="TableGrid"/>
        <w:tblW w:w="7200" w:type="dxa"/>
        <w:tblInd w:w="720" w:type="dxa"/>
        <w:tblCellMar>
          <w:top w:w="0" w:type="dxa"/>
          <w:left w:w="108" w:type="dxa"/>
          <w:bottom w:w="0" w:type="dxa"/>
          <w:right w:w="0" w:type="dxa"/>
        </w:tblCellMar>
        <w:tblLook w:val="04A0" w:firstRow="1" w:lastRow="0" w:firstColumn="1" w:lastColumn="0" w:noHBand="0" w:noVBand="1"/>
      </w:tblPr>
      <w:tblGrid>
        <w:gridCol w:w="4320"/>
        <w:gridCol w:w="2880"/>
      </w:tblGrid>
      <w:tr w:rsidR="00823138" w14:paraId="072AA268" w14:textId="77777777">
        <w:trPr>
          <w:trHeight w:val="526"/>
        </w:trPr>
        <w:tc>
          <w:tcPr>
            <w:tcW w:w="4320" w:type="dxa"/>
            <w:tcBorders>
              <w:top w:val="single" w:sz="4" w:space="0" w:color="000000"/>
              <w:left w:val="single" w:sz="4" w:space="0" w:color="000000"/>
              <w:bottom w:val="single" w:sz="4" w:space="0" w:color="000000"/>
              <w:right w:val="single" w:sz="4" w:space="0" w:color="000000"/>
            </w:tcBorders>
            <w:vAlign w:val="center"/>
          </w:tcPr>
          <w:p w14:paraId="3CE8F03B" w14:textId="77777777" w:rsidR="00823138" w:rsidRDefault="00A0477A">
            <w:pPr>
              <w:spacing w:after="0" w:line="259" w:lineRule="auto"/>
              <w:ind w:left="0" w:right="109" w:firstLine="0"/>
              <w:jc w:val="center"/>
            </w:pPr>
            <w:r>
              <w:rPr>
                <w:b/>
              </w:rPr>
              <w:t xml:space="preserve">Disease Type </w:t>
            </w:r>
            <w:r>
              <w:rPr>
                <w:vertAlign w:val="superscript"/>
              </w:rPr>
              <w:footnoteReference w:id="7"/>
            </w:r>
            <w:r>
              <w:rPr>
                <w:b/>
              </w:rPr>
              <w:t xml:space="preserve"> </w:t>
            </w:r>
          </w:p>
        </w:tc>
        <w:tc>
          <w:tcPr>
            <w:tcW w:w="2880" w:type="dxa"/>
            <w:tcBorders>
              <w:top w:val="single" w:sz="4" w:space="0" w:color="000000"/>
              <w:left w:val="single" w:sz="4" w:space="0" w:color="000000"/>
              <w:bottom w:val="single" w:sz="4" w:space="0" w:color="000000"/>
              <w:right w:val="single" w:sz="4" w:space="0" w:color="000000"/>
            </w:tcBorders>
            <w:vAlign w:val="center"/>
          </w:tcPr>
          <w:p w14:paraId="4F54E6E4" w14:textId="77777777" w:rsidR="00823138" w:rsidRDefault="00A0477A">
            <w:pPr>
              <w:spacing w:after="0" w:line="259" w:lineRule="auto"/>
              <w:ind w:left="0" w:right="108" w:firstLine="0"/>
              <w:jc w:val="center"/>
            </w:pPr>
            <w:r>
              <w:rPr>
                <w:b/>
              </w:rPr>
              <w:t xml:space="preserve">Scheduled Value </w:t>
            </w:r>
          </w:p>
        </w:tc>
      </w:tr>
      <w:tr w:rsidR="00823138" w14:paraId="58227B85" w14:textId="77777777">
        <w:trPr>
          <w:trHeight w:val="527"/>
        </w:trPr>
        <w:tc>
          <w:tcPr>
            <w:tcW w:w="4320" w:type="dxa"/>
            <w:tcBorders>
              <w:top w:val="single" w:sz="4" w:space="0" w:color="000000"/>
              <w:left w:val="single" w:sz="4" w:space="0" w:color="000000"/>
              <w:bottom w:val="single" w:sz="4" w:space="0" w:color="000000"/>
              <w:right w:val="single" w:sz="4" w:space="0" w:color="000000"/>
            </w:tcBorders>
            <w:vAlign w:val="center"/>
          </w:tcPr>
          <w:p w14:paraId="09A520A3" w14:textId="77777777" w:rsidR="00823138" w:rsidRDefault="00A0477A">
            <w:pPr>
              <w:spacing w:after="0" w:line="259" w:lineRule="auto"/>
              <w:ind w:left="0" w:firstLine="0"/>
              <w:jc w:val="left"/>
            </w:pPr>
            <w:r>
              <w:t xml:space="preserve">Mesothelioma </w:t>
            </w:r>
          </w:p>
        </w:tc>
        <w:tc>
          <w:tcPr>
            <w:tcW w:w="2880" w:type="dxa"/>
            <w:tcBorders>
              <w:top w:val="single" w:sz="4" w:space="0" w:color="000000"/>
              <w:left w:val="single" w:sz="4" w:space="0" w:color="000000"/>
              <w:bottom w:val="single" w:sz="4" w:space="0" w:color="000000"/>
              <w:right w:val="single" w:sz="4" w:space="0" w:color="000000"/>
            </w:tcBorders>
            <w:vAlign w:val="center"/>
          </w:tcPr>
          <w:p w14:paraId="1EE1D12D" w14:textId="77777777" w:rsidR="00823138" w:rsidRDefault="00A0477A">
            <w:pPr>
              <w:spacing w:after="0" w:line="259" w:lineRule="auto"/>
              <w:ind w:left="0" w:right="108" w:firstLine="0"/>
              <w:jc w:val="right"/>
            </w:pPr>
            <w:r>
              <w:t xml:space="preserve">200,000 </w:t>
            </w:r>
          </w:p>
        </w:tc>
      </w:tr>
      <w:tr w:rsidR="00823138" w14:paraId="6402EB61" w14:textId="77777777">
        <w:trPr>
          <w:trHeight w:val="526"/>
        </w:trPr>
        <w:tc>
          <w:tcPr>
            <w:tcW w:w="4320" w:type="dxa"/>
            <w:tcBorders>
              <w:top w:val="single" w:sz="4" w:space="0" w:color="000000"/>
              <w:left w:val="single" w:sz="4" w:space="0" w:color="000000"/>
              <w:bottom w:val="single" w:sz="4" w:space="0" w:color="000000"/>
              <w:right w:val="single" w:sz="4" w:space="0" w:color="000000"/>
            </w:tcBorders>
            <w:vAlign w:val="center"/>
          </w:tcPr>
          <w:p w14:paraId="3DE984CB" w14:textId="77777777" w:rsidR="00823138" w:rsidRDefault="00A0477A">
            <w:pPr>
              <w:spacing w:after="0" w:line="259" w:lineRule="auto"/>
              <w:ind w:left="0" w:firstLine="0"/>
              <w:jc w:val="left"/>
            </w:pPr>
            <w:r>
              <w:t xml:space="preserve">Lung Cancer 1 (Level VI) </w:t>
            </w:r>
          </w:p>
        </w:tc>
        <w:tc>
          <w:tcPr>
            <w:tcW w:w="2880" w:type="dxa"/>
            <w:tcBorders>
              <w:top w:val="single" w:sz="4" w:space="0" w:color="000000"/>
              <w:left w:val="single" w:sz="4" w:space="0" w:color="000000"/>
              <w:bottom w:val="single" w:sz="4" w:space="0" w:color="000000"/>
              <w:right w:val="single" w:sz="4" w:space="0" w:color="000000"/>
            </w:tcBorders>
            <w:vAlign w:val="center"/>
          </w:tcPr>
          <w:p w14:paraId="429833AA" w14:textId="77777777" w:rsidR="00823138" w:rsidRDefault="00A0477A">
            <w:pPr>
              <w:spacing w:after="0" w:line="259" w:lineRule="auto"/>
              <w:ind w:left="0" w:right="108" w:firstLine="0"/>
              <w:jc w:val="right"/>
            </w:pPr>
            <w:r>
              <w:t xml:space="preserve">35,000 </w:t>
            </w:r>
          </w:p>
        </w:tc>
      </w:tr>
      <w:tr w:rsidR="00823138" w14:paraId="3FE43602" w14:textId="77777777">
        <w:trPr>
          <w:trHeight w:val="526"/>
        </w:trPr>
        <w:tc>
          <w:tcPr>
            <w:tcW w:w="4320" w:type="dxa"/>
            <w:tcBorders>
              <w:top w:val="single" w:sz="4" w:space="0" w:color="000000"/>
              <w:left w:val="single" w:sz="4" w:space="0" w:color="000000"/>
              <w:bottom w:val="single" w:sz="4" w:space="0" w:color="000000"/>
              <w:right w:val="single" w:sz="4" w:space="0" w:color="000000"/>
            </w:tcBorders>
            <w:vAlign w:val="center"/>
          </w:tcPr>
          <w:p w14:paraId="5F0CD449" w14:textId="77777777" w:rsidR="00823138" w:rsidRDefault="00A0477A">
            <w:pPr>
              <w:spacing w:after="0" w:line="259" w:lineRule="auto"/>
              <w:ind w:left="0" w:firstLine="0"/>
              <w:jc w:val="left"/>
            </w:pPr>
            <w:r>
              <w:lastRenderedPageBreak/>
              <w:t xml:space="preserve">Lung Cancer 2 (Level V)  </w:t>
            </w:r>
          </w:p>
        </w:tc>
        <w:tc>
          <w:tcPr>
            <w:tcW w:w="2880" w:type="dxa"/>
            <w:tcBorders>
              <w:top w:val="single" w:sz="4" w:space="0" w:color="000000"/>
              <w:left w:val="single" w:sz="4" w:space="0" w:color="000000"/>
              <w:bottom w:val="single" w:sz="4" w:space="0" w:color="000000"/>
              <w:right w:val="single" w:sz="4" w:space="0" w:color="000000"/>
            </w:tcBorders>
            <w:vAlign w:val="center"/>
          </w:tcPr>
          <w:p w14:paraId="0A38CB84" w14:textId="77777777" w:rsidR="00823138" w:rsidRDefault="00A0477A">
            <w:pPr>
              <w:spacing w:after="0" w:line="259" w:lineRule="auto"/>
              <w:ind w:left="0" w:right="109" w:firstLine="0"/>
              <w:jc w:val="right"/>
            </w:pPr>
            <w:r>
              <w:t>None</w:t>
            </w:r>
            <w:r>
              <w:rPr>
                <w:vertAlign w:val="superscript"/>
              </w:rPr>
              <w:footnoteReference w:id="8"/>
            </w:r>
            <w:r>
              <w:t xml:space="preserve">  </w:t>
            </w:r>
          </w:p>
        </w:tc>
      </w:tr>
      <w:tr w:rsidR="00823138" w14:paraId="715BD3C8" w14:textId="77777777">
        <w:trPr>
          <w:trHeight w:val="527"/>
        </w:trPr>
        <w:tc>
          <w:tcPr>
            <w:tcW w:w="4320" w:type="dxa"/>
            <w:tcBorders>
              <w:top w:val="single" w:sz="4" w:space="0" w:color="000000"/>
              <w:left w:val="single" w:sz="4" w:space="0" w:color="000000"/>
              <w:bottom w:val="single" w:sz="4" w:space="0" w:color="000000"/>
              <w:right w:val="single" w:sz="4" w:space="0" w:color="000000"/>
            </w:tcBorders>
            <w:vAlign w:val="center"/>
          </w:tcPr>
          <w:p w14:paraId="30F8C744" w14:textId="77777777" w:rsidR="00823138" w:rsidRDefault="00A0477A">
            <w:pPr>
              <w:spacing w:after="0" w:line="259" w:lineRule="auto"/>
              <w:ind w:left="0" w:firstLine="0"/>
              <w:jc w:val="left"/>
            </w:pPr>
            <w:r>
              <w:t xml:space="preserve">Other Cancer </w:t>
            </w:r>
          </w:p>
        </w:tc>
        <w:tc>
          <w:tcPr>
            <w:tcW w:w="2880" w:type="dxa"/>
            <w:tcBorders>
              <w:top w:val="single" w:sz="4" w:space="0" w:color="000000"/>
              <w:left w:val="single" w:sz="4" w:space="0" w:color="000000"/>
              <w:bottom w:val="single" w:sz="4" w:space="0" w:color="000000"/>
              <w:right w:val="single" w:sz="4" w:space="0" w:color="000000"/>
            </w:tcBorders>
            <w:vAlign w:val="center"/>
          </w:tcPr>
          <w:p w14:paraId="53013BB1" w14:textId="77777777" w:rsidR="00823138" w:rsidRDefault="00A0477A">
            <w:pPr>
              <w:spacing w:after="0" w:line="259" w:lineRule="auto"/>
              <w:ind w:left="0" w:right="108" w:firstLine="0"/>
              <w:jc w:val="right"/>
            </w:pPr>
            <w:r>
              <w:t xml:space="preserve">15,000 </w:t>
            </w:r>
          </w:p>
        </w:tc>
      </w:tr>
      <w:tr w:rsidR="00823138" w14:paraId="7DF3D3F2" w14:textId="77777777">
        <w:trPr>
          <w:trHeight w:val="526"/>
        </w:trPr>
        <w:tc>
          <w:tcPr>
            <w:tcW w:w="4320" w:type="dxa"/>
            <w:tcBorders>
              <w:top w:val="single" w:sz="4" w:space="0" w:color="000000"/>
              <w:left w:val="single" w:sz="4" w:space="0" w:color="000000"/>
              <w:bottom w:val="single" w:sz="4" w:space="0" w:color="000000"/>
              <w:right w:val="single" w:sz="4" w:space="0" w:color="000000"/>
            </w:tcBorders>
            <w:vAlign w:val="center"/>
          </w:tcPr>
          <w:p w14:paraId="6AD8A1BB" w14:textId="77777777" w:rsidR="00823138" w:rsidRDefault="00A0477A">
            <w:pPr>
              <w:spacing w:after="0" w:line="259" w:lineRule="auto"/>
              <w:ind w:left="0" w:firstLine="0"/>
              <w:jc w:val="left"/>
            </w:pPr>
            <w:r>
              <w:t xml:space="preserve">Severe Asbestosis </w:t>
            </w:r>
          </w:p>
        </w:tc>
        <w:tc>
          <w:tcPr>
            <w:tcW w:w="2880" w:type="dxa"/>
            <w:tcBorders>
              <w:top w:val="single" w:sz="4" w:space="0" w:color="000000"/>
              <w:left w:val="single" w:sz="4" w:space="0" w:color="000000"/>
              <w:bottom w:val="single" w:sz="4" w:space="0" w:color="000000"/>
              <w:right w:val="single" w:sz="4" w:space="0" w:color="000000"/>
            </w:tcBorders>
            <w:vAlign w:val="center"/>
          </w:tcPr>
          <w:p w14:paraId="13C1695D" w14:textId="77777777" w:rsidR="00823138" w:rsidRDefault="00A0477A">
            <w:pPr>
              <w:spacing w:after="0" w:line="259" w:lineRule="auto"/>
              <w:ind w:left="0" w:right="108" w:firstLine="0"/>
              <w:jc w:val="right"/>
            </w:pPr>
            <w:r>
              <w:t xml:space="preserve">35,000 </w:t>
            </w:r>
          </w:p>
        </w:tc>
      </w:tr>
      <w:tr w:rsidR="00823138" w14:paraId="76241C47" w14:textId="77777777">
        <w:trPr>
          <w:trHeight w:val="526"/>
        </w:trPr>
        <w:tc>
          <w:tcPr>
            <w:tcW w:w="4320" w:type="dxa"/>
            <w:tcBorders>
              <w:top w:val="single" w:sz="4" w:space="0" w:color="000000"/>
              <w:left w:val="single" w:sz="4" w:space="0" w:color="000000"/>
              <w:bottom w:val="single" w:sz="4" w:space="0" w:color="000000"/>
              <w:right w:val="single" w:sz="4" w:space="0" w:color="000000"/>
            </w:tcBorders>
            <w:vAlign w:val="center"/>
          </w:tcPr>
          <w:p w14:paraId="0E16EFD7" w14:textId="77777777" w:rsidR="00823138" w:rsidRDefault="00A0477A">
            <w:pPr>
              <w:spacing w:after="0" w:line="259" w:lineRule="auto"/>
              <w:ind w:left="0" w:firstLine="0"/>
              <w:jc w:val="left"/>
            </w:pPr>
            <w:r>
              <w:t xml:space="preserve">Asbestosis/Pleural Disease (Level II) </w:t>
            </w:r>
          </w:p>
        </w:tc>
        <w:tc>
          <w:tcPr>
            <w:tcW w:w="2880" w:type="dxa"/>
            <w:tcBorders>
              <w:top w:val="single" w:sz="4" w:space="0" w:color="000000"/>
              <w:left w:val="single" w:sz="4" w:space="0" w:color="000000"/>
              <w:bottom w:val="single" w:sz="4" w:space="0" w:color="000000"/>
              <w:right w:val="single" w:sz="4" w:space="0" w:color="000000"/>
            </w:tcBorders>
            <w:vAlign w:val="center"/>
          </w:tcPr>
          <w:p w14:paraId="20FBC793" w14:textId="77777777" w:rsidR="00823138" w:rsidRDefault="00A0477A">
            <w:pPr>
              <w:spacing w:after="0" w:line="259" w:lineRule="auto"/>
              <w:ind w:left="0" w:right="108" w:firstLine="0"/>
              <w:jc w:val="right"/>
            </w:pPr>
            <w:r>
              <w:t xml:space="preserve">5,000 </w:t>
            </w:r>
          </w:p>
        </w:tc>
      </w:tr>
      <w:tr w:rsidR="00823138" w14:paraId="0810AD7F" w14:textId="77777777">
        <w:trPr>
          <w:trHeight w:val="527"/>
        </w:trPr>
        <w:tc>
          <w:tcPr>
            <w:tcW w:w="4320" w:type="dxa"/>
            <w:tcBorders>
              <w:top w:val="single" w:sz="4" w:space="0" w:color="000000"/>
              <w:left w:val="single" w:sz="4" w:space="0" w:color="000000"/>
              <w:bottom w:val="single" w:sz="4" w:space="0" w:color="000000"/>
              <w:right w:val="single" w:sz="4" w:space="0" w:color="000000"/>
            </w:tcBorders>
            <w:vAlign w:val="center"/>
          </w:tcPr>
          <w:p w14:paraId="625DD3BD" w14:textId="77777777" w:rsidR="00823138" w:rsidRDefault="00A0477A">
            <w:pPr>
              <w:spacing w:after="0" w:line="259" w:lineRule="auto"/>
              <w:ind w:left="0" w:firstLine="0"/>
              <w:jc w:val="left"/>
            </w:pPr>
            <w:r>
              <w:t xml:space="preserve">Asbestosis/ Pleural Disease (Level I) </w:t>
            </w:r>
          </w:p>
        </w:tc>
        <w:tc>
          <w:tcPr>
            <w:tcW w:w="2880" w:type="dxa"/>
            <w:tcBorders>
              <w:top w:val="single" w:sz="4" w:space="0" w:color="000000"/>
              <w:left w:val="single" w:sz="4" w:space="0" w:color="000000"/>
              <w:bottom w:val="single" w:sz="4" w:space="0" w:color="000000"/>
              <w:right w:val="single" w:sz="4" w:space="0" w:color="000000"/>
            </w:tcBorders>
            <w:vAlign w:val="center"/>
          </w:tcPr>
          <w:p w14:paraId="4490F4EB" w14:textId="77777777" w:rsidR="00823138" w:rsidRDefault="00A0477A">
            <w:pPr>
              <w:spacing w:after="0" w:line="259" w:lineRule="auto"/>
              <w:ind w:left="0" w:right="107" w:firstLine="0"/>
              <w:jc w:val="right"/>
            </w:pPr>
            <w:r>
              <w:t xml:space="preserve">2,000 </w:t>
            </w:r>
          </w:p>
        </w:tc>
      </w:tr>
    </w:tbl>
    <w:p w14:paraId="02DC979D" w14:textId="77777777" w:rsidR="00823138" w:rsidRDefault="00A0477A">
      <w:pPr>
        <w:spacing w:after="0" w:line="259" w:lineRule="auto"/>
        <w:ind w:left="0" w:firstLine="0"/>
        <w:jc w:val="left"/>
      </w:pPr>
      <w:r>
        <w:t xml:space="preserve"> </w:t>
      </w:r>
    </w:p>
    <w:p w14:paraId="63B11788" w14:textId="77777777" w:rsidR="00823138" w:rsidRDefault="00A0477A">
      <w:pPr>
        <w:spacing w:after="240" w:line="476" w:lineRule="auto"/>
        <w:ind w:left="-5"/>
      </w:pPr>
      <w:r>
        <w:t>(</w:t>
      </w:r>
      <w:r>
        <w:rPr>
          <w:u w:val="single" w:color="000000"/>
        </w:rPr>
        <w:t>DS</w:t>
      </w:r>
      <w:r>
        <w:t xml:space="preserve">, at 8, 81-83.)  </w:t>
      </w:r>
      <w:r w:rsidRPr="00C44AA3">
        <w:rPr>
          <w:highlight w:val="yellow"/>
        </w:rPr>
        <w:t>The values assigned to the claims were based on Quigley’s historical settlements, and the Official Unsecured Creditors’ Committee and the Future Claims Representative deemed them to be appropriate for current and future claimants.</w:t>
      </w:r>
      <w:r>
        <w:t xml:space="preserve">  (</w:t>
      </w:r>
      <w:r>
        <w:rPr>
          <w:u w:val="single" w:color="000000"/>
        </w:rPr>
        <w:t>Id.</w:t>
      </w:r>
      <w:r>
        <w:t xml:space="preserve"> at 8.) </w:t>
      </w:r>
    </w:p>
    <w:p w14:paraId="1BE0B0C6" w14:textId="77777777" w:rsidR="00823138" w:rsidRDefault="00A0477A" w:rsidP="00C44AA3">
      <w:pPr>
        <w:spacing w:after="0" w:line="475" w:lineRule="auto"/>
        <w:ind w:left="-14" w:firstLine="720"/>
      </w:pPr>
      <w:r>
        <w:t xml:space="preserve">The Plan divided Quigley’s creditors into several classes, but only Class 4 is the subject of the current dispute.  Class 4, entitled “Asbestos PI Claims,” included any claim, demand or remedy, “whether or not reduced to judgment, liquidated, unliquidated, fixed, contingent, matured, unmatured, disputed, undisputed, legal, equitable, bonded, secured, or unsecured,” resulting from exposure to Quigley’s asbestos containing </w:t>
      </w:r>
    </w:p>
    <w:p w14:paraId="15EA69C8" w14:textId="77777777" w:rsidR="00823138" w:rsidRDefault="00A0477A">
      <w:pPr>
        <w:spacing w:after="120" w:line="265" w:lineRule="auto"/>
        <w:ind w:right="8"/>
        <w:jc w:val="center"/>
      </w:pPr>
      <w:r>
        <w:t>8</w:t>
      </w:r>
    </w:p>
    <w:p w14:paraId="5CE8ECEE" w14:textId="77777777" w:rsidR="00823138" w:rsidRDefault="00A0477A">
      <w:pPr>
        <w:spacing w:line="479" w:lineRule="auto"/>
        <w:ind w:left="-5"/>
      </w:pPr>
      <w:r>
        <w:t>products.</w:t>
      </w:r>
      <w:r>
        <w:rPr>
          <w:vertAlign w:val="superscript"/>
        </w:rPr>
        <w:footnoteReference w:id="9"/>
      </w:r>
      <w:r>
        <w:t xml:space="preserve">  (</w:t>
      </w:r>
      <w:r>
        <w:rPr>
          <w:u w:val="single" w:color="000000"/>
        </w:rPr>
        <w:t>DS</w:t>
      </w:r>
      <w:r>
        <w:t xml:space="preserve">, at 50.)  Pursuant to the </w:t>
      </w:r>
      <w:r>
        <w:rPr>
          <w:u w:val="single" w:color="000000"/>
        </w:rPr>
        <w:t>Order Establishing Deadline for Filing Proofs of</w:t>
      </w:r>
      <w:r>
        <w:t xml:space="preserve"> </w:t>
      </w:r>
      <w:r>
        <w:rPr>
          <w:u w:val="single" w:color="000000"/>
        </w:rPr>
        <w:t>Claim and Approving Form and Manner of Notice Thereof</w:t>
      </w:r>
      <w:r>
        <w:t>, dated July 26, 2005 (“</w:t>
      </w:r>
      <w:r>
        <w:rPr>
          <w:u w:val="single" w:color="000000"/>
        </w:rPr>
        <w:t>Bar</w:t>
      </w:r>
      <w:r>
        <w:t xml:space="preserve"> </w:t>
      </w:r>
      <w:r>
        <w:rPr>
          <w:u w:val="single" w:color="000000"/>
        </w:rPr>
        <w:t>Date Order</w:t>
      </w:r>
      <w:r>
        <w:t xml:space="preserve">”) (ECF Doc. # 405), </w:t>
      </w:r>
      <w:r w:rsidRPr="00C44AA3">
        <w:rPr>
          <w:highlight w:val="yellow"/>
        </w:rPr>
        <w:t xml:space="preserve">the Court ordered the Asbestos PI Claimants holding unliquidated claims </w:t>
      </w:r>
      <w:r w:rsidRPr="00C44AA3">
        <w:rPr>
          <w:highlight w:val="yellow"/>
          <w:u w:val="single" w:color="000000"/>
        </w:rPr>
        <w:t>not</w:t>
      </w:r>
      <w:r w:rsidRPr="00C44AA3">
        <w:rPr>
          <w:highlight w:val="yellow"/>
        </w:rPr>
        <w:t xml:space="preserve"> to file proofs of claim in Quigley’s bankruptcy</w:t>
      </w:r>
      <w:r>
        <w:t xml:space="preserve">.  Quigley argued </w:t>
      </w:r>
      <w:r w:rsidRPr="00C44AA3">
        <w:rPr>
          <w:highlight w:val="yellow"/>
        </w:rPr>
        <w:lastRenderedPageBreak/>
        <w:t>and the Court agreed that claims-management should be undertaken by the Trust because the claims will be channeled into the Trust for final liquidation and payment</w:t>
      </w:r>
      <w:r>
        <w:t xml:space="preserve">.  Quigley also </w:t>
      </w:r>
      <w:r w:rsidRPr="00C44AA3">
        <w:rPr>
          <w:highlight w:val="yellow"/>
        </w:rPr>
        <w:t>contended that organizing and reviewing thousands of proofs of claim would take years and would delay confirmation.</w:t>
      </w:r>
      <w:r>
        <w:t xml:space="preserve">  (</w:t>
      </w:r>
      <w:r>
        <w:rPr>
          <w:u w:val="single" w:color="000000"/>
        </w:rPr>
        <w:t>Motion of Quigley Company, Inc. For an Order: (I)</w:t>
      </w:r>
      <w:r>
        <w:t xml:space="preserve"> </w:t>
      </w:r>
    </w:p>
    <w:p w14:paraId="6ED6470A" w14:textId="77777777" w:rsidR="00823138" w:rsidRDefault="00A0477A">
      <w:pPr>
        <w:spacing w:after="246" w:line="265" w:lineRule="auto"/>
        <w:ind w:left="-5"/>
        <w:jc w:val="left"/>
      </w:pPr>
      <w:r>
        <w:rPr>
          <w:u w:val="single" w:color="000000"/>
        </w:rPr>
        <w:t>Approving Quigley’s Disclosure Statement; (II) Approving Solicitation Procedures,</w:t>
      </w:r>
      <w:r>
        <w:t xml:space="preserve"> </w:t>
      </w:r>
    </w:p>
    <w:p w14:paraId="2D705002" w14:textId="77777777" w:rsidR="00823138" w:rsidRDefault="00A0477A">
      <w:pPr>
        <w:spacing w:after="246" w:line="265" w:lineRule="auto"/>
        <w:ind w:left="-5"/>
        <w:jc w:val="left"/>
      </w:pPr>
      <w:r>
        <w:rPr>
          <w:u w:val="single" w:color="000000"/>
        </w:rPr>
        <w:t>Forms of Ballots, and Manner of Notice; (III) Estimating Each Asbestos PI Claim at</w:t>
      </w:r>
      <w:r>
        <w:t xml:space="preserve"> </w:t>
      </w:r>
    </w:p>
    <w:p w14:paraId="48BA1C7E" w14:textId="77777777" w:rsidR="00823138" w:rsidRDefault="00A0477A">
      <w:pPr>
        <w:spacing w:after="246" w:line="265" w:lineRule="auto"/>
        <w:ind w:left="-5"/>
        <w:jc w:val="left"/>
      </w:pPr>
      <w:r>
        <w:rPr>
          <w:u w:val="single" w:color="000000"/>
        </w:rPr>
        <w:t>$1.00 Solely for Voting Purposes and (IV) Fixing Date, Time and Place for Confirming</w:t>
      </w:r>
      <w:r>
        <w:t xml:space="preserve"> </w:t>
      </w:r>
    </w:p>
    <w:p w14:paraId="26E3D75B" w14:textId="77777777" w:rsidR="00823138" w:rsidRDefault="00A0477A">
      <w:pPr>
        <w:pStyle w:val="Heading2"/>
        <w:spacing w:after="271" w:line="476" w:lineRule="auto"/>
        <w:ind w:left="-5"/>
      </w:pPr>
      <w:r>
        <w:t>Hearing and Deadline for Filing Objections Thereto</w:t>
      </w:r>
      <w:r>
        <w:rPr>
          <w:u w:val="none"/>
        </w:rPr>
        <w:t xml:space="preserve">, dated Aug. 17, 2005, at 16 (ECF </w:t>
      </w:r>
      <w:proofErr w:type="gramStart"/>
      <w:r>
        <w:rPr>
          <w:u w:val="none"/>
        </w:rPr>
        <w:t>Doc. #</w:t>
      </w:r>
      <w:proofErr w:type="gramEnd"/>
      <w:r>
        <w:rPr>
          <w:u w:val="none"/>
        </w:rPr>
        <w:t xml:space="preserve"> 421).) </w:t>
      </w:r>
    </w:p>
    <w:p w14:paraId="0DC97FC6" w14:textId="77777777" w:rsidR="00823138" w:rsidRDefault="00A0477A">
      <w:pPr>
        <w:pStyle w:val="Heading3"/>
        <w:tabs>
          <w:tab w:val="center" w:pos="2171"/>
        </w:tabs>
        <w:ind w:left="-15" w:firstLine="0"/>
      </w:pPr>
      <w:r>
        <w:t>D</w:t>
      </w:r>
      <w:proofErr w:type="gramStart"/>
      <w:r>
        <w:t xml:space="preserve">. </w:t>
      </w:r>
      <w:r>
        <w:tab/>
        <w:t>The</w:t>
      </w:r>
      <w:proofErr w:type="gramEnd"/>
      <w:r>
        <w:t xml:space="preserve"> Plan Voting Procedures </w:t>
      </w:r>
    </w:p>
    <w:p w14:paraId="06378DE0" w14:textId="77777777" w:rsidR="00823138" w:rsidRDefault="00A0477A" w:rsidP="00C44AA3">
      <w:pPr>
        <w:spacing w:after="0" w:line="499" w:lineRule="auto"/>
        <w:ind w:left="-15" w:firstLine="720"/>
      </w:pPr>
      <w:r>
        <w:t xml:space="preserve">On August 17, 2005, Quigley filed the </w:t>
      </w:r>
      <w:r>
        <w:rPr>
          <w:u w:val="single" w:color="000000"/>
        </w:rPr>
        <w:t>Solicitation Procedures Motion</w:t>
      </w:r>
      <w:r>
        <w:t xml:space="preserve"> requesting an order approving voting procedures.</w:t>
      </w:r>
      <w:r>
        <w:rPr>
          <w:vertAlign w:val="superscript"/>
        </w:rPr>
        <w:footnoteReference w:id="10"/>
      </w:r>
      <w:r>
        <w:t xml:space="preserve">  </w:t>
      </w:r>
      <w:r w:rsidRPr="00C44AA3">
        <w:rPr>
          <w:highlight w:val="yellow"/>
        </w:rPr>
        <w:t>Quigley</w:t>
      </w:r>
      <w:r>
        <w:t xml:space="preserve"> asked the Court to estimate the unliquidated Asbestos PI Claims </w:t>
      </w:r>
      <w:r w:rsidRPr="00C44AA3">
        <w:rPr>
          <w:highlight w:val="yellow"/>
        </w:rPr>
        <w:t>at $1.00 for voting purposes only</w:t>
      </w:r>
      <w:r>
        <w:t xml:space="preserve">.  The Ad-Hoc </w:t>
      </w:r>
    </w:p>
    <w:p w14:paraId="1C4A6DAB" w14:textId="77777777" w:rsidR="00823138" w:rsidRDefault="00A0477A" w:rsidP="00C44AA3">
      <w:pPr>
        <w:spacing w:after="0"/>
        <w:ind w:left="-5"/>
      </w:pPr>
      <w:r>
        <w:t xml:space="preserve">Committee of Tort Victims (the “Ad-Hoc Committee”), which is comprised of a group of </w:t>
      </w:r>
    </w:p>
    <w:p w14:paraId="6E5E01CD" w14:textId="77777777" w:rsidR="00823138" w:rsidRDefault="00A0477A">
      <w:pPr>
        <w:spacing w:after="120" w:line="265" w:lineRule="auto"/>
        <w:ind w:right="8"/>
        <w:jc w:val="center"/>
      </w:pPr>
      <w:r>
        <w:t>9</w:t>
      </w:r>
    </w:p>
    <w:p w14:paraId="2777F6A8" w14:textId="77777777" w:rsidR="00823138" w:rsidRDefault="00A0477A">
      <w:pPr>
        <w:spacing w:after="230" w:line="485" w:lineRule="auto"/>
        <w:ind w:left="-5"/>
      </w:pPr>
      <w:r>
        <w:t xml:space="preserve">Asbestos PI Claim holders that did not settle with </w:t>
      </w:r>
      <w:r w:rsidRPr="00C44AA3">
        <w:rPr>
          <w:highlight w:val="yellow"/>
        </w:rPr>
        <w:t>Pfizer, opposed Quigley’s motion</w:t>
      </w:r>
      <w:r>
        <w:t>.</w:t>
      </w:r>
      <w:r>
        <w:rPr>
          <w:vertAlign w:val="superscript"/>
        </w:rPr>
        <w:footnoteReference w:id="11"/>
      </w:r>
      <w:r>
        <w:t xml:space="preserve">  In substance, the Ad Hoc Committee argued that the Asbestos PI Claimants’ </w:t>
      </w:r>
      <w:r w:rsidRPr="00C44AA3">
        <w:rPr>
          <w:highlight w:val="yellow"/>
        </w:rPr>
        <w:t xml:space="preserve">votes should be </w:t>
      </w:r>
      <w:r w:rsidRPr="00C44AA3">
        <w:rPr>
          <w:highlight w:val="yellow"/>
        </w:rPr>
        <w:lastRenderedPageBreak/>
        <w:t>weighed based on the severity of their impairments, and that the votes of the Settling PI Claimants should be diluted to reflect the voluntary 90% reduction of their claims against the Trust.</w:t>
      </w:r>
      <w:r>
        <w:t xml:space="preserve">   </w:t>
      </w:r>
    </w:p>
    <w:p w14:paraId="403E5523" w14:textId="77777777" w:rsidR="00823138" w:rsidRDefault="00A0477A">
      <w:pPr>
        <w:spacing w:line="476" w:lineRule="auto"/>
        <w:ind w:left="-15" w:firstLine="720"/>
      </w:pPr>
      <w:r>
        <w:t xml:space="preserve">On January 23, 2006, Judge Beatty signed the </w:t>
      </w:r>
      <w:r>
        <w:rPr>
          <w:u w:val="single" w:color="000000"/>
        </w:rPr>
        <w:t>DS Order</w:t>
      </w:r>
      <w:r>
        <w:t xml:space="preserve"> approving the disclosure statement and the voting procedures.  The Court ordered each holder of an Asbestos PI </w:t>
      </w:r>
      <w:r w:rsidRPr="00C44AA3">
        <w:rPr>
          <w:highlight w:val="yellow"/>
        </w:rPr>
        <w:t>Claim to designate on its ballot whether he based his claim on mesothelioma, lung cancer, or another asbestos related disease</w:t>
      </w:r>
      <w:r>
        <w:t>.  (</w:t>
      </w:r>
      <w:r>
        <w:rPr>
          <w:u w:val="single" w:color="000000"/>
        </w:rPr>
        <w:t>DS Order</w:t>
      </w:r>
      <w:r>
        <w:t>, at ¶ 4.)  It also required the claimant to indicate whether he was a Settling PI Claimant. (</w:t>
      </w:r>
      <w:r>
        <w:rPr>
          <w:u w:val="single" w:color="000000"/>
        </w:rPr>
        <w:t>Id.</w:t>
      </w:r>
      <w:r>
        <w:t xml:space="preserve">, at ¶ 5.)   Finally, the order included the following provision: </w:t>
      </w:r>
    </w:p>
    <w:p w14:paraId="3254EBD8" w14:textId="77777777" w:rsidR="00823138" w:rsidRDefault="00A0477A">
      <w:pPr>
        <w:spacing w:after="0" w:line="238" w:lineRule="auto"/>
        <w:ind w:left="720" w:right="674" w:firstLine="720"/>
        <w:jc w:val="left"/>
      </w:pPr>
      <w:r>
        <w:t xml:space="preserve">Each Asbestos PI Claim (including Indirect Asbestos PI Claims), including any Asbestos PI Claims that Quigley has scheduled as liquidated, noncontingent or undisputed, shall be estimated at a fixed value of $1.00 pursuant to section 502(c) of </w:t>
      </w:r>
      <w:r w:rsidRPr="00C44AA3">
        <w:rPr>
          <w:highlight w:val="yellow"/>
        </w:rPr>
        <w:t>the Bankruptcy Code, solely for purposes of voting to accept or reject the Plan, and not for any other purpo</w:t>
      </w:r>
      <w:r>
        <w:t xml:space="preserve">se.  The Court shall determine the appropriate manner of tabulating votes on the Plan after the Voting Deadline, and all objections with respect thereto are hereby preserved. </w:t>
      </w:r>
    </w:p>
    <w:p w14:paraId="7EE885EC" w14:textId="77777777" w:rsidR="00823138" w:rsidRDefault="00A0477A" w:rsidP="00C44AA3">
      <w:pPr>
        <w:spacing w:after="0" w:line="259" w:lineRule="auto"/>
        <w:ind w:left="0" w:firstLine="0"/>
        <w:jc w:val="left"/>
      </w:pPr>
      <w:r>
        <w:t xml:space="preserve"> </w:t>
      </w:r>
    </w:p>
    <w:p w14:paraId="3966A160" w14:textId="77777777" w:rsidR="00823138" w:rsidRDefault="00A0477A" w:rsidP="00C44AA3">
      <w:pPr>
        <w:spacing w:after="0" w:line="476" w:lineRule="auto"/>
        <w:ind w:left="-5"/>
        <w:jc w:val="left"/>
      </w:pPr>
      <w:r>
        <w:t>(</w:t>
      </w:r>
      <w:r>
        <w:rPr>
          <w:u w:val="single" w:color="000000"/>
        </w:rPr>
        <w:t>DS Order</w:t>
      </w:r>
      <w:r>
        <w:t xml:space="preserve">, at ¶ 3.)  Although the </w:t>
      </w:r>
      <w:r>
        <w:rPr>
          <w:u w:val="single" w:color="000000"/>
        </w:rPr>
        <w:t>DS Order</w:t>
      </w:r>
      <w:r>
        <w:t xml:space="preserve"> appeared to resolve the $1.00 per vote issue, </w:t>
      </w:r>
      <w:r w:rsidRPr="00C44AA3">
        <w:rPr>
          <w:highlight w:val="yellow"/>
        </w:rPr>
        <w:t xml:space="preserve">the parties </w:t>
      </w:r>
      <w:proofErr w:type="gramStart"/>
      <w:r w:rsidRPr="00C44AA3">
        <w:rPr>
          <w:highlight w:val="yellow"/>
        </w:rPr>
        <w:t>agree</w:t>
      </w:r>
      <w:proofErr w:type="gramEnd"/>
      <w:r w:rsidRPr="00C44AA3">
        <w:rPr>
          <w:highlight w:val="yellow"/>
        </w:rPr>
        <w:t xml:space="preserve"> that it was the intent of the last sentence to defer the resolution of the issue.</w:t>
      </w:r>
      <w:r>
        <w:t xml:space="preserve"> </w:t>
      </w:r>
    </w:p>
    <w:p w14:paraId="3149B66B" w14:textId="77777777" w:rsidR="00823138" w:rsidRDefault="00A0477A" w:rsidP="00C44AA3">
      <w:pPr>
        <w:spacing w:after="0" w:line="265" w:lineRule="auto"/>
        <w:ind w:right="8"/>
        <w:jc w:val="center"/>
      </w:pPr>
      <w:r>
        <w:t>10</w:t>
      </w:r>
    </w:p>
    <w:p w14:paraId="73E7F8D7" w14:textId="77777777" w:rsidR="00823138" w:rsidRDefault="00A0477A" w:rsidP="00C44AA3">
      <w:pPr>
        <w:spacing w:after="0" w:line="476" w:lineRule="auto"/>
        <w:ind w:left="-15" w:firstLine="720"/>
      </w:pPr>
      <w:r>
        <w:t xml:space="preserve">Quigley thereafter solicited the votes of the Asbestos PI Claimants, and the voting is now complete.  According to the </w:t>
      </w:r>
      <w:r>
        <w:rPr>
          <w:u w:val="single" w:color="000000"/>
        </w:rPr>
        <w:t>Second Supplemental Declaration of Daniel P.</w:t>
      </w:r>
      <w:r>
        <w:t xml:space="preserve"> </w:t>
      </w:r>
    </w:p>
    <w:p w14:paraId="2542455F" w14:textId="77777777" w:rsidR="00823138" w:rsidRDefault="00A0477A" w:rsidP="00C44AA3">
      <w:pPr>
        <w:pStyle w:val="Heading2"/>
        <w:spacing w:after="0"/>
        <w:ind w:left="-5"/>
      </w:pPr>
      <w:r>
        <w:t>McSwigan Certifying Tabulation of Ballots Regarding Vote on Debtor’s Third Amended</w:t>
      </w:r>
      <w:r>
        <w:rPr>
          <w:u w:val="none"/>
        </w:rPr>
        <w:t xml:space="preserve"> </w:t>
      </w:r>
    </w:p>
    <w:p w14:paraId="7A6C0B53" w14:textId="77777777" w:rsidR="00823138" w:rsidRDefault="00A0477A" w:rsidP="00C44AA3">
      <w:pPr>
        <w:spacing w:after="0" w:line="476" w:lineRule="auto"/>
        <w:ind w:left="-5"/>
      </w:pPr>
      <w:proofErr w:type="gramStart"/>
      <w:r>
        <w:rPr>
          <w:u w:val="single" w:color="000000"/>
        </w:rPr>
        <w:t>Plan of Reorganization</w:t>
      </w:r>
      <w:r>
        <w:t>,</w:t>
      </w:r>
      <w:proofErr w:type="gramEnd"/>
      <w:r>
        <w:t xml:space="preserve"> dated July 17, 2006 (ECF Doc. # </w:t>
      </w:r>
      <w:proofErr w:type="gramStart"/>
      <w:r>
        <w:t>880)(</w:t>
      </w:r>
      <w:proofErr w:type="gramEnd"/>
      <w:r>
        <w:t>the “</w:t>
      </w:r>
      <w:r>
        <w:rPr>
          <w:u w:val="single" w:color="000000"/>
        </w:rPr>
        <w:t>Certification</w:t>
      </w:r>
      <w:r>
        <w:t xml:space="preserve">”), 209,171 holders of Class 4 Asbestos PI Claims voted.  Eighty-five percent – 177,530 – accepted the Plan.  </w:t>
      </w:r>
      <w:r w:rsidRPr="00C44AA3">
        <w:rPr>
          <w:highlight w:val="yellow"/>
        </w:rPr>
        <w:t>Fifteen percent, or 31,641, voted to reject it.</w:t>
      </w:r>
      <w:r>
        <w:t xml:space="preserve">  (</w:t>
      </w:r>
      <w:r>
        <w:rPr>
          <w:u w:val="single" w:color="000000"/>
        </w:rPr>
        <w:t>Certification</w:t>
      </w:r>
      <w:r>
        <w:t xml:space="preserve">, Ex. A.)  </w:t>
      </w:r>
    </w:p>
    <w:p w14:paraId="1DFB69BD" w14:textId="77777777" w:rsidR="00823138" w:rsidRDefault="00A0477A" w:rsidP="00C44AA3">
      <w:pPr>
        <w:spacing w:after="0" w:line="476" w:lineRule="auto"/>
        <w:ind w:left="-5"/>
      </w:pPr>
      <w:r>
        <w:t xml:space="preserve">Thus, Class 4 creditors voted </w:t>
      </w:r>
      <w:r w:rsidRPr="00C44AA3">
        <w:rPr>
          <w:highlight w:val="yellow"/>
        </w:rPr>
        <w:t>overwhelmingly in number</w:t>
      </w:r>
      <w:r>
        <w:t xml:space="preserve"> to accept the Plan, and if the Court adopts the $1.00 per vote methodology urged by Quigley, the Plan will satisfy the voting </w:t>
      </w:r>
      <w:r>
        <w:lastRenderedPageBreak/>
        <w:t>requirements for confirmation.  Consequently, the Court turns to the two voting issues discussed at the beginning of this opinion.</w:t>
      </w:r>
      <w:r>
        <w:rPr>
          <w:b/>
        </w:rPr>
        <w:t xml:space="preserve"> </w:t>
      </w:r>
    </w:p>
    <w:p w14:paraId="5114316E" w14:textId="77777777" w:rsidR="00823138" w:rsidRDefault="00A0477A" w:rsidP="00C44AA3">
      <w:pPr>
        <w:spacing w:after="0" w:line="259" w:lineRule="auto"/>
        <w:ind w:right="9"/>
        <w:jc w:val="center"/>
      </w:pPr>
      <w:r>
        <w:rPr>
          <w:b/>
        </w:rPr>
        <w:t xml:space="preserve">DISCUSSION </w:t>
      </w:r>
    </w:p>
    <w:p w14:paraId="0EB92487" w14:textId="77777777" w:rsidR="00823138" w:rsidRDefault="00A0477A" w:rsidP="00C44AA3">
      <w:pPr>
        <w:pStyle w:val="Heading1"/>
        <w:tabs>
          <w:tab w:val="center" w:pos="1374"/>
        </w:tabs>
        <w:spacing w:after="0"/>
        <w:ind w:left="-15" w:firstLine="0"/>
      </w:pPr>
      <w:r>
        <w:t>A</w:t>
      </w:r>
      <w:proofErr w:type="gramStart"/>
      <w:r>
        <w:t xml:space="preserve">. </w:t>
      </w:r>
      <w:r>
        <w:tab/>
        <w:t>Introduction</w:t>
      </w:r>
      <w:proofErr w:type="gramEnd"/>
      <w:r>
        <w:t xml:space="preserve"> </w:t>
      </w:r>
    </w:p>
    <w:p w14:paraId="6FBB012B" w14:textId="77777777" w:rsidR="00823138" w:rsidRDefault="00A0477A" w:rsidP="00C44AA3">
      <w:pPr>
        <w:spacing w:after="0" w:line="259" w:lineRule="auto"/>
        <w:ind w:left="0" w:firstLine="0"/>
        <w:jc w:val="left"/>
      </w:pPr>
      <w:r>
        <w:t xml:space="preserve"> </w:t>
      </w:r>
    </w:p>
    <w:p w14:paraId="7428BC50" w14:textId="77777777" w:rsidR="00823138" w:rsidRDefault="00A0477A" w:rsidP="00C44AA3">
      <w:pPr>
        <w:spacing w:after="0" w:line="483" w:lineRule="auto"/>
        <w:ind w:left="-15" w:firstLine="720"/>
      </w:pPr>
      <w:r>
        <w:t>With certain exceptions, an impaired class of creditors is entitled to vote on a plan.</w:t>
      </w:r>
      <w:r>
        <w:rPr>
          <w:vertAlign w:val="superscript"/>
        </w:rPr>
        <w:footnoteReference w:id="12"/>
      </w:r>
      <w:r>
        <w:t xml:space="preserve">  The class accepts the plan if it meets two voting requirements under 11 U.S.C. § 1126(c): number and amount.  More than 50% of the votes cast must vote to accept.  In addition, the </w:t>
      </w:r>
      <w:proofErr w:type="gramStart"/>
      <w:r w:rsidRPr="00C44AA3">
        <w:rPr>
          <w:highlight w:val="yellow"/>
        </w:rPr>
        <w:t>accepting</w:t>
      </w:r>
      <w:proofErr w:type="gramEnd"/>
      <w:r w:rsidRPr="00C44AA3">
        <w:rPr>
          <w:highlight w:val="yellow"/>
        </w:rPr>
        <w:t xml:space="preserve"> votes must account for at least two-thirds, in amount, of the votes cast</w:t>
      </w:r>
      <w:r>
        <w:t>.  When a plan, such as the one in this case, also contains a § 524(g) channeling injunction, the proponent must meet a heightened “number” requirement; the plan must be accepted by at least 75% of those voting if their claims will be addressed by the trust. 11 U.S.C. § 524(g)(2)(B)(ii)(</w:t>
      </w:r>
      <w:proofErr w:type="gramStart"/>
      <w:r>
        <w:t>IV)(</w:t>
      </w:r>
      <w:proofErr w:type="gramEnd"/>
      <w:r>
        <w:t xml:space="preserve">bb).  </w:t>
      </w:r>
    </w:p>
    <w:p w14:paraId="59CD4644" w14:textId="77777777" w:rsidR="00823138" w:rsidRDefault="00A0477A" w:rsidP="00C44AA3">
      <w:pPr>
        <w:spacing w:after="0" w:line="476" w:lineRule="auto"/>
        <w:ind w:left="-15" w:firstLine="720"/>
      </w:pPr>
      <w:r>
        <w:t xml:space="preserve">These straightforward rules are difficult to apply in tort cases, and particularly, in asbestos cases.  </w:t>
      </w:r>
      <w:r w:rsidRPr="00C44AA3">
        <w:rPr>
          <w:highlight w:val="yellow"/>
        </w:rPr>
        <w:t>Only “allowed” claims can vote</w:t>
      </w:r>
      <w:r>
        <w:t xml:space="preserve">.  11 U.S.C. § 1126(a).  Unless the debtor </w:t>
      </w:r>
    </w:p>
    <w:p w14:paraId="330D8CA0" w14:textId="77777777" w:rsidR="00823138" w:rsidRDefault="00A0477A" w:rsidP="00C44AA3">
      <w:pPr>
        <w:spacing w:after="0" w:line="265" w:lineRule="auto"/>
        <w:ind w:right="8"/>
        <w:jc w:val="center"/>
      </w:pPr>
      <w:r>
        <w:t>11</w:t>
      </w:r>
    </w:p>
    <w:p w14:paraId="29D89B83" w14:textId="77777777" w:rsidR="00823138" w:rsidRPr="00C44AA3" w:rsidRDefault="00A0477A" w:rsidP="00C44AA3">
      <w:pPr>
        <w:spacing w:after="0" w:line="477" w:lineRule="auto"/>
        <w:ind w:left="-5"/>
        <w:rPr>
          <w:highlight w:val="yellow"/>
        </w:rPr>
      </w:pPr>
      <w:r>
        <w:t xml:space="preserve">schedules a claim as undisputed, liquidated and non-contingent, a creditor must file a claim </w:t>
      </w:r>
      <w:proofErr w:type="gramStart"/>
      <w:r>
        <w:t>in order for</w:t>
      </w:r>
      <w:proofErr w:type="gramEnd"/>
      <w:r>
        <w:t xml:space="preserve"> it to be deemed “allowed.”  </w:t>
      </w:r>
      <w:r>
        <w:rPr>
          <w:u w:val="single" w:color="000000"/>
        </w:rPr>
        <w:t>See</w:t>
      </w:r>
      <w:r>
        <w:t xml:space="preserve"> F</w:t>
      </w:r>
      <w:r>
        <w:rPr>
          <w:sz w:val="19"/>
        </w:rPr>
        <w:t>ED</w:t>
      </w:r>
      <w:r>
        <w:t>. R. B</w:t>
      </w:r>
      <w:r>
        <w:rPr>
          <w:sz w:val="19"/>
        </w:rPr>
        <w:t>ANKR</w:t>
      </w:r>
      <w:r>
        <w:t xml:space="preserve">. P. 3002(a); 11 U.S.C. § 502(a).  </w:t>
      </w:r>
      <w:r w:rsidRPr="00C44AA3">
        <w:rPr>
          <w:highlight w:val="yellow"/>
        </w:rPr>
        <w:t xml:space="preserve">Many asbestos cases, including this one, excuse asbestos claimants from the requirement to file claims because of the practical difficulties involved.  As this case shows, the asbestos creditors number in the hundreds of thousands.  In addition, the filing of a </w:t>
      </w:r>
      <w:proofErr w:type="gramStart"/>
      <w:r w:rsidRPr="00C44AA3">
        <w:rPr>
          <w:highlight w:val="yellow"/>
        </w:rPr>
        <w:t>one page</w:t>
      </w:r>
      <w:proofErr w:type="gramEnd"/>
      <w:r w:rsidRPr="00C44AA3">
        <w:rPr>
          <w:highlight w:val="yellow"/>
        </w:rPr>
        <w:t xml:space="preserve"> proof of claim, </w:t>
      </w:r>
      <w:r w:rsidRPr="00C44AA3">
        <w:rPr>
          <w:highlight w:val="yellow"/>
          <w:u w:val="single" w:color="000000"/>
        </w:rPr>
        <w:t>see</w:t>
      </w:r>
      <w:r w:rsidRPr="00C44AA3">
        <w:rPr>
          <w:highlight w:val="yellow"/>
        </w:rPr>
        <w:t xml:space="preserve"> Official Form no. 10, with minimal information and an exorbitant or unliquidated demand is not helpful.  The alternative, designing a claim form that calls for</w:t>
      </w:r>
      <w:r>
        <w:t xml:space="preserve"> </w:t>
      </w:r>
      <w:r w:rsidRPr="00C44AA3">
        <w:rPr>
          <w:highlight w:val="yellow"/>
        </w:rPr>
        <w:t xml:space="preserve">more detailed medical information about </w:t>
      </w:r>
      <w:proofErr w:type="gramStart"/>
      <w:r w:rsidRPr="00C44AA3">
        <w:rPr>
          <w:highlight w:val="yellow"/>
        </w:rPr>
        <w:t>the nature</w:t>
      </w:r>
      <w:proofErr w:type="gramEnd"/>
      <w:r w:rsidRPr="00C44AA3">
        <w:rPr>
          <w:highlight w:val="yellow"/>
        </w:rPr>
        <w:t xml:space="preserve"> and the severity of the claimant’s impairment, is cumbersome and best postponed for submission to the </w:t>
      </w:r>
      <w:proofErr w:type="spellStart"/>
      <w:r w:rsidRPr="00C44AA3">
        <w:rPr>
          <w:highlight w:val="yellow"/>
        </w:rPr>
        <w:t>postconfirmation</w:t>
      </w:r>
      <w:proofErr w:type="spellEnd"/>
      <w:r w:rsidRPr="00C44AA3">
        <w:rPr>
          <w:highlight w:val="yellow"/>
        </w:rPr>
        <w:t xml:space="preserve"> </w:t>
      </w:r>
      <w:r w:rsidRPr="00C44AA3">
        <w:rPr>
          <w:highlight w:val="yellow"/>
        </w:rPr>
        <w:lastRenderedPageBreak/>
        <w:t xml:space="preserve">trust.  Accordingly, a bankruptcy court overseeing an asbestos case often enters order that permits the asbestos claimants to vote their unfilled claims, and allows their attorneys to vote the claims of </w:t>
      </w:r>
      <w:proofErr w:type="gramStart"/>
      <w:r w:rsidRPr="00C44AA3">
        <w:rPr>
          <w:highlight w:val="yellow"/>
        </w:rPr>
        <w:t>all of</w:t>
      </w:r>
      <w:proofErr w:type="gramEnd"/>
      <w:r w:rsidRPr="00C44AA3">
        <w:rPr>
          <w:highlight w:val="yellow"/>
        </w:rPr>
        <w:t xml:space="preserve"> the attorneys’ clients in a single, master </w:t>
      </w:r>
    </w:p>
    <w:p w14:paraId="75D2ABB5" w14:textId="77777777" w:rsidR="00823138" w:rsidRDefault="00A0477A">
      <w:pPr>
        <w:spacing w:after="216" w:line="501" w:lineRule="auto"/>
        <w:ind w:left="0" w:firstLine="0"/>
        <w:jc w:val="left"/>
      </w:pPr>
      <w:r w:rsidRPr="00C44AA3">
        <w:rPr>
          <w:highlight w:val="yellow"/>
        </w:rPr>
        <w:t>ballot.</w:t>
      </w:r>
      <w:r w:rsidRPr="00C44AA3">
        <w:rPr>
          <w:highlight w:val="yellow"/>
          <w:vertAlign w:val="superscript"/>
        </w:rPr>
        <w:footnoteReference w:id="13"/>
      </w:r>
      <w:r>
        <w:t xml:space="preserve">  </w:t>
      </w:r>
      <w:r>
        <w:rPr>
          <w:u w:val="single" w:color="000000"/>
        </w:rPr>
        <w:t>See</w:t>
      </w:r>
      <w:r>
        <w:t xml:space="preserve"> S. E</w:t>
      </w:r>
      <w:r>
        <w:rPr>
          <w:sz w:val="19"/>
        </w:rPr>
        <w:t xml:space="preserve">LIZABETH </w:t>
      </w:r>
      <w:r>
        <w:t>G</w:t>
      </w:r>
      <w:r>
        <w:rPr>
          <w:sz w:val="19"/>
        </w:rPr>
        <w:t>IBSON</w:t>
      </w:r>
      <w:r>
        <w:t>, J</w:t>
      </w:r>
      <w:r>
        <w:rPr>
          <w:sz w:val="19"/>
        </w:rPr>
        <w:t xml:space="preserve">UDICIAL </w:t>
      </w:r>
      <w:r>
        <w:t>M</w:t>
      </w:r>
      <w:r>
        <w:rPr>
          <w:sz w:val="19"/>
        </w:rPr>
        <w:t xml:space="preserve">ANAGEMENT OF </w:t>
      </w:r>
      <w:r>
        <w:t>M</w:t>
      </w:r>
      <w:r>
        <w:rPr>
          <w:sz w:val="19"/>
        </w:rPr>
        <w:t xml:space="preserve">ASS </w:t>
      </w:r>
      <w:r>
        <w:t>T</w:t>
      </w:r>
      <w:r>
        <w:rPr>
          <w:sz w:val="19"/>
        </w:rPr>
        <w:t xml:space="preserve">ORT </w:t>
      </w:r>
      <w:r>
        <w:t>B</w:t>
      </w:r>
      <w:r>
        <w:rPr>
          <w:sz w:val="19"/>
        </w:rPr>
        <w:t xml:space="preserve">ANKRUPTCY </w:t>
      </w:r>
      <w:r>
        <w:t>C</w:t>
      </w:r>
      <w:r>
        <w:rPr>
          <w:sz w:val="19"/>
        </w:rPr>
        <w:t>ASES</w:t>
      </w:r>
      <w:r>
        <w:t xml:space="preserve"> 130-31 (Fed. Jud. Ctr. </w:t>
      </w:r>
      <w:proofErr w:type="gramStart"/>
      <w:r>
        <w:t>2005)(</w:t>
      </w:r>
      <w:proofErr w:type="gramEnd"/>
      <w:r>
        <w:t>“G</w:t>
      </w:r>
      <w:r>
        <w:rPr>
          <w:sz w:val="19"/>
        </w:rPr>
        <w:t>IBSON</w:t>
      </w:r>
      <w:r>
        <w:t xml:space="preserve">”). </w:t>
      </w:r>
    </w:p>
    <w:p w14:paraId="2E1224A8" w14:textId="77777777" w:rsidR="00823138" w:rsidRPr="00C44AA3" w:rsidRDefault="00A0477A" w:rsidP="00C44AA3">
      <w:pPr>
        <w:spacing w:after="0" w:line="478" w:lineRule="auto"/>
        <w:ind w:left="-14" w:firstLine="720"/>
        <w:rPr>
          <w:highlight w:val="yellow"/>
        </w:rPr>
      </w:pPr>
      <w:r>
        <w:t xml:space="preserve">Even if the tort claimant files a claim, voting is still a problem.  Tort claims are usually unliquidated, and hence, </w:t>
      </w:r>
      <w:r w:rsidRPr="00C44AA3">
        <w:rPr>
          <w:highlight w:val="yellow"/>
        </w:rPr>
        <w:t>the Court must estimate their value for voting purposes.  F</w:t>
      </w:r>
      <w:r w:rsidRPr="00C44AA3">
        <w:rPr>
          <w:sz w:val="19"/>
          <w:highlight w:val="yellow"/>
        </w:rPr>
        <w:t>ED</w:t>
      </w:r>
      <w:r w:rsidRPr="00C44AA3">
        <w:rPr>
          <w:highlight w:val="yellow"/>
        </w:rPr>
        <w:t>. R. B</w:t>
      </w:r>
      <w:r w:rsidRPr="00C44AA3">
        <w:rPr>
          <w:sz w:val="19"/>
          <w:highlight w:val="yellow"/>
        </w:rPr>
        <w:t>ANKR</w:t>
      </w:r>
      <w:r w:rsidRPr="00C44AA3">
        <w:rPr>
          <w:highlight w:val="yellow"/>
        </w:rPr>
        <w:t>. P. 3018(a</w:t>
      </w:r>
      <w:proofErr w:type="gramStart"/>
      <w:r w:rsidRPr="00C44AA3">
        <w:rPr>
          <w:highlight w:val="yellow"/>
        </w:rPr>
        <w:t>)(</w:t>
      </w:r>
      <w:proofErr w:type="gramEnd"/>
      <w:r w:rsidRPr="00C44AA3">
        <w:rPr>
          <w:highlight w:val="yellow"/>
        </w:rPr>
        <w:t>“Notwithstanding objection to a claim or interest, the court after notice and hearing may temporarily allow the claim or interest in an amount which the court deems proper for the purpose of accepting or rejecting the plan</w:t>
      </w:r>
      <w:r>
        <w:t xml:space="preserve">.”); </w:t>
      </w:r>
      <w:r>
        <w:rPr>
          <w:u w:val="single" w:color="000000"/>
        </w:rPr>
        <w:t>accord</w:t>
      </w:r>
      <w:r>
        <w:t xml:space="preserve"> </w:t>
      </w:r>
      <w:r>
        <w:rPr>
          <w:u w:val="single" w:color="000000"/>
        </w:rPr>
        <w:t>Kane</w:t>
      </w:r>
      <w:r>
        <w:t xml:space="preserve"> </w:t>
      </w:r>
      <w:r>
        <w:rPr>
          <w:u w:val="single" w:color="000000"/>
        </w:rPr>
        <w:t>v. Johns-Manville Corp (In re Johns-Manville Corp.)</w:t>
      </w:r>
      <w:r>
        <w:t>, 843 F.2d 636, 646 (2d Cir. 1988) (“</w:t>
      </w:r>
      <w:r>
        <w:rPr>
          <w:u w:val="single" w:color="000000"/>
        </w:rPr>
        <w:t>Manville</w:t>
      </w:r>
      <w:r>
        <w:t xml:space="preserve">”).  The Bankruptcy Code and the Federal Bankruptcy Rules provide little guidance, and the estimation of claims for voting purposes is essentially </w:t>
      </w:r>
      <w:r w:rsidRPr="00C44AA3">
        <w:rPr>
          <w:highlight w:val="yellow"/>
        </w:rPr>
        <w:t xml:space="preserve">committed to the </w:t>
      </w:r>
    </w:p>
    <w:p w14:paraId="09151C13" w14:textId="77777777" w:rsidR="00823138" w:rsidRPr="00C44AA3" w:rsidRDefault="00A0477A">
      <w:pPr>
        <w:spacing w:after="120" w:line="265" w:lineRule="auto"/>
        <w:ind w:right="8"/>
        <w:jc w:val="center"/>
        <w:rPr>
          <w:highlight w:val="yellow"/>
        </w:rPr>
      </w:pPr>
      <w:r w:rsidRPr="00C44AA3">
        <w:rPr>
          <w:highlight w:val="yellow"/>
        </w:rPr>
        <w:t>12</w:t>
      </w:r>
    </w:p>
    <w:p w14:paraId="09E2AC9E" w14:textId="77777777" w:rsidR="00823138" w:rsidRDefault="00A0477A">
      <w:pPr>
        <w:spacing w:after="272" w:line="476" w:lineRule="auto"/>
        <w:ind w:left="-5"/>
      </w:pPr>
      <w:r w:rsidRPr="00C44AA3">
        <w:rPr>
          <w:highlight w:val="yellow"/>
        </w:rPr>
        <w:t xml:space="preserve">court’s discretion.  </w:t>
      </w:r>
      <w:r w:rsidRPr="00C44AA3">
        <w:rPr>
          <w:highlight w:val="yellow"/>
          <w:u w:val="single" w:color="000000"/>
        </w:rPr>
        <w:t>Bittner v. Borne Chem. Co.</w:t>
      </w:r>
      <w:r w:rsidRPr="00C44AA3">
        <w:rPr>
          <w:highlight w:val="yellow"/>
        </w:rPr>
        <w:t>, 691 F.2d 134, 135-136 (3d Cir. 1982);</w:t>
      </w:r>
      <w:r>
        <w:t xml:space="preserve"> </w:t>
      </w:r>
      <w:r>
        <w:rPr>
          <w:u w:val="single" w:color="000000"/>
        </w:rPr>
        <w:t>Pension Benefit Guar. Corp. v.  Enron Corp. (In re Enron</w:t>
      </w:r>
      <w:r>
        <w:t xml:space="preserve">), No. 04 Civ. 5499 (HB), 2004 WL 2434928, at *5 (S.D.N.Y. Nov. 1, 2004); </w:t>
      </w:r>
      <w:r>
        <w:rPr>
          <w:u w:val="single" w:color="000000"/>
        </w:rPr>
        <w:t>In re Ralph Lauren Womenswear, Inc.</w:t>
      </w:r>
      <w:r>
        <w:t>, 197 B.R. 771, 775 (</w:t>
      </w:r>
      <w:proofErr w:type="spellStart"/>
      <w:r>
        <w:t>Bankr</w:t>
      </w:r>
      <w:proofErr w:type="spellEnd"/>
      <w:r>
        <w:t xml:space="preserve">. S.D.N.Y. 1996).  In the end, any estimation should ensure that the voting power is commensurate with the creditor’s economic interests in the case.  </w:t>
      </w:r>
      <w:r>
        <w:rPr>
          <w:u w:val="single" w:color="000000"/>
        </w:rPr>
        <w:t>Enron</w:t>
      </w:r>
      <w:r>
        <w:t xml:space="preserve">, 2004 WL 2434928, at *5. </w:t>
      </w:r>
    </w:p>
    <w:p w14:paraId="5804E737" w14:textId="77777777" w:rsidR="00823138" w:rsidRDefault="00A0477A">
      <w:pPr>
        <w:pStyle w:val="Heading1"/>
        <w:tabs>
          <w:tab w:val="center" w:pos="1985"/>
        </w:tabs>
        <w:ind w:left="-15" w:firstLine="0"/>
      </w:pPr>
      <w:r>
        <w:lastRenderedPageBreak/>
        <w:t>B</w:t>
      </w:r>
      <w:proofErr w:type="gramStart"/>
      <w:r>
        <w:t xml:space="preserve">. </w:t>
      </w:r>
      <w:r>
        <w:tab/>
        <w:t>Estimating</w:t>
      </w:r>
      <w:proofErr w:type="gramEnd"/>
      <w:r>
        <w:t xml:space="preserve"> Methodology </w:t>
      </w:r>
    </w:p>
    <w:p w14:paraId="4F26FD33" w14:textId="77777777" w:rsidR="00823138" w:rsidRDefault="00A0477A">
      <w:pPr>
        <w:spacing w:line="477" w:lineRule="auto"/>
        <w:ind w:left="-15" w:firstLine="720"/>
      </w:pPr>
      <w:r w:rsidRPr="00B03E66">
        <w:rPr>
          <w:highlight w:val="yellow"/>
        </w:rPr>
        <w:t xml:space="preserve">Two estimation approaches have emerged in asbestos cases.  The first, pressed by Quigley, values </w:t>
      </w:r>
      <w:proofErr w:type="gramStart"/>
      <w:r w:rsidRPr="00B03E66">
        <w:rPr>
          <w:highlight w:val="yellow"/>
        </w:rPr>
        <w:t>all of</w:t>
      </w:r>
      <w:proofErr w:type="gramEnd"/>
      <w:r w:rsidRPr="00B03E66">
        <w:rPr>
          <w:highlight w:val="yellow"/>
        </w:rPr>
        <w:t xml:space="preserve"> the claims at $1.00 for voting purposes.  The second weighs the votes by ascribing values based on the claimant’s impairment.</w:t>
      </w:r>
      <w:r>
        <w:t xml:space="preserve">  </w:t>
      </w:r>
      <w:r>
        <w:rPr>
          <w:u w:val="single" w:color="000000"/>
        </w:rPr>
        <w:t>See</w:t>
      </w:r>
      <w:r>
        <w:t xml:space="preserve"> G</w:t>
      </w:r>
      <w:r>
        <w:rPr>
          <w:sz w:val="19"/>
        </w:rPr>
        <w:t>IBSON</w:t>
      </w:r>
      <w:r>
        <w:t xml:space="preserve"> 132-33.  </w:t>
      </w:r>
    </w:p>
    <w:p w14:paraId="25CC6DAA" w14:textId="77777777" w:rsidR="00823138" w:rsidRDefault="00A0477A">
      <w:pPr>
        <w:spacing w:after="246" w:line="490" w:lineRule="auto"/>
        <w:ind w:left="-5"/>
      </w:pPr>
      <w:r>
        <w:t xml:space="preserve">Judicial support for estimating unliquidated claims at $1.00 comes primarily from </w:t>
      </w:r>
      <w:r>
        <w:rPr>
          <w:u w:val="single" w:color="000000"/>
        </w:rPr>
        <w:t>Manville</w:t>
      </w:r>
      <w:r>
        <w:t xml:space="preserve"> and </w:t>
      </w:r>
      <w:r>
        <w:rPr>
          <w:u w:val="single" w:color="000000"/>
        </w:rPr>
        <w:t>Menard-Sanford v. Mabey (In re A.H. Robins Co.)</w:t>
      </w:r>
      <w:r>
        <w:t xml:space="preserve">, 880 F.2d 694 (4th Cir.), </w:t>
      </w:r>
      <w:r>
        <w:rPr>
          <w:u w:val="single" w:color="000000"/>
        </w:rPr>
        <w:t>cert. denied</w:t>
      </w:r>
      <w:r>
        <w:t>, 493 U.S. 959 (1989) (“</w:t>
      </w:r>
      <w:r>
        <w:rPr>
          <w:u w:val="single" w:color="000000"/>
        </w:rPr>
        <w:t>Robins</w:t>
      </w:r>
      <w:r>
        <w:t>”).</w:t>
      </w:r>
      <w:r>
        <w:rPr>
          <w:vertAlign w:val="superscript"/>
        </w:rPr>
        <w:footnoteReference w:id="14"/>
      </w:r>
      <w:r>
        <w:t xml:space="preserve"> </w:t>
      </w:r>
    </w:p>
    <w:p w14:paraId="2E97C7F5" w14:textId="77777777" w:rsidR="00823138" w:rsidRPr="00B03E66" w:rsidRDefault="00A0477A" w:rsidP="00C44AA3">
      <w:pPr>
        <w:spacing w:after="0" w:line="476" w:lineRule="auto"/>
        <w:ind w:left="-15" w:firstLine="720"/>
        <w:rPr>
          <w:highlight w:val="yellow"/>
        </w:rPr>
      </w:pPr>
      <w:r>
        <w:t xml:space="preserve">In </w:t>
      </w:r>
      <w:r w:rsidRPr="00B03E66">
        <w:rPr>
          <w:highlight w:val="yellow"/>
          <w:u w:val="single" w:color="000000"/>
        </w:rPr>
        <w:t>Manville</w:t>
      </w:r>
      <w:r>
        <w:t xml:space="preserve">, the bankruptcy court adopted a procedure that combined the proof of claim with the </w:t>
      </w:r>
      <w:proofErr w:type="gramStart"/>
      <w:r>
        <w:t>ballot, and</w:t>
      </w:r>
      <w:proofErr w:type="gramEnd"/>
      <w:r>
        <w:t xml:space="preserve"> estimated each asbestos claim at $1.00 for voting purposes.  </w:t>
      </w:r>
      <w:r>
        <w:rPr>
          <w:u w:val="single" w:color="000000"/>
        </w:rPr>
        <w:t>Manville</w:t>
      </w:r>
      <w:r>
        <w:t xml:space="preserve">, 843 F.2d at 641.  In all, 52,440 claimants voted, and 50,275, or 95.8%, accepted the plan.  </w:t>
      </w:r>
      <w:r>
        <w:rPr>
          <w:u w:val="single" w:color="000000"/>
        </w:rPr>
        <w:t>Id.</w:t>
      </w:r>
      <w:r>
        <w:t xml:space="preserve">  One creditor challenged the voting procedures.  He argued, </w:t>
      </w:r>
      <w:r>
        <w:rPr>
          <w:u w:val="single" w:color="000000"/>
        </w:rPr>
        <w:t>inter</w:t>
      </w:r>
      <w:r>
        <w:t xml:space="preserve"> </w:t>
      </w:r>
      <w:r>
        <w:rPr>
          <w:u w:val="single" w:color="000000"/>
        </w:rPr>
        <w:t>alia</w:t>
      </w:r>
      <w:r>
        <w:t xml:space="preserve">, that the $1.00 estimate was arbitrary, deprived him of the opportunity to vote the amount indicated in his claim, and essentially </w:t>
      </w:r>
      <w:r w:rsidRPr="00B03E66">
        <w:rPr>
          <w:highlight w:val="yellow"/>
        </w:rPr>
        <w:t xml:space="preserve">disenfranchised or discouraged those with </w:t>
      </w:r>
    </w:p>
    <w:p w14:paraId="0FDEDA7F" w14:textId="77777777" w:rsidR="00823138" w:rsidRPr="00B03E66" w:rsidRDefault="00A0477A" w:rsidP="00C44AA3">
      <w:pPr>
        <w:spacing w:after="0" w:line="265" w:lineRule="auto"/>
        <w:ind w:right="8"/>
        <w:jc w:val="center"/>
        <w:rPr>
          <w:highlight w:val="yellow"/>
        </w:rPr>
      </w:pPr>
      <w:r w:rsidRPr="00B03E66">
        <w:rPr>
          <w:highlight w:val="yellow"/>
        </w:rPr>
        <w:t>13</w:t>
      </w:r>
    </w:p>
    <w:p w14:paraId="73710177" w14:textId="77777777" w:rsidR="00823138" w:rsidRDefault="00A0477A" w:rsidP="00C44AA3">
      <w:pPr>
        <w:spacing w:after="0" w:line="476" w:lineRule="auto"/>
        <w:ind w:left="-5"/>
      </w:pPr>
      <w:r w:rsidRPr="00B03E66">
        <w:rPr>
          <w:highlight w:val="yellow"/>
        </w:rPr>
        <w:t>large claims from opposing the plan.</w:t>
      </w:r>
      <w:r>
        <w:t xml:space="preserve">  </w:t>
      </w:r>
      <w:r>
        <w:rPr>
          <w:u w:val="single" w:color="000000"/>
        </w:rPr>
        <w:t>Id.</w:t>
      </w:r>
      <w:r>
        <w:t xml:space="preserve"> at 646.  The Court rejected the challenge, noting that it did not have to decide if the voting procedures violated the Bankruptcy Code; “</w:t>
      </w:r>
      <w:r w:rsidRPr="00B03E66">
        <w:rPr>
          <w:highlight w:val="yellow"/>
        </w:rPr>
        <w:t xml:space="preserve">the alleged irregularities were at most harmless error.”  </w:t>
      </w:r>
      <w:r w:rsidRPr="00B03E66">
        <w:rPr>
          <w:highlight w:val="yellow"/>
          <w:u w:val="single" w:color="000000"/>
        </w:rPr>
        <w:t>Id.</w:t>
      </w:r>
      <w:r w:rsidRPr="00B03E66">
        <w:rPr>
          <w:highlight w:val="yellow"/>
        </w:rPr>
        <w:t xml:space="preserve"> at 647.  </w:t>
      </w:r>
      <w:proofErr w:type="gramStart"/>
      <w:r w:rsidRPr="00B03E66">
        <w:rPr>
          <w:highlight w:val="yellow"/>
        </w:rPr>
        <w:t>In light of</w:t>
      </w:r>
      <w:proofErr w:type="gramEnd"/>
      <w:r w:rsidRPr="00B03E66">
        <w:rPr>
          <w:highlight w:val="yellow"/>
        </w:rPr>
        <w:t xml:space="preserve"> the overwhelming acceptance, none of the alternative procedures advocated by the objecting party would change the outcome of the vote.</w:t>
      </w:r>
      <w:r>
        <w:t xml:space="preserve">  </w:t>
      </w:r>
      <w:r>
        <w:rPr>
          <w:u w:val="single" w:color="000000"/>
        </w:rPr>
        <w:t>Id.</w:t>
      </w:r>
      <w:r>
        <w:t xml:space="preserve"> </w:t>
      </w:r>
    </w:p>
    <w:p w14:paraId="51522F6F" w14:textId="77777777" w:rsidR="00823138" w:rsidRDefault="00A0477A">
      <w:pPr>
        <w:spacing w:line="476" w:lineRule="auto"/>
        <w:ind w:left="-15" w:firstLine="720"/>
      </w:pPr>
      <w:r>
        <w:t xml:space="preserve">The </w:t>
      </w:r>
      <w:r>
        <w:rPr>
          <w:u w:val="single" w:color="000000"/>
        </w:rPr>
        <w:t>Robins</w:t>
      </w:r>
      <w:r>
        <w:t xml:space="preserve"> court reached a similar conclusion.  </w:t>
      </w:r>
      <w:r>
        <w:rPr>
          <w:u w:val="single" w:color="000000"/>
        </w:rPr>
        <w:t>Robins</w:t>
      </w:r>
      <w:r>
        <w:t xml:space="preserve"> involved tort claims arising from the use of the </w:t>
      </w:r>
      <w:proofErr w:type="spellStart"/>
      <w:r w:rsidRPr="00B03E66">
        <w:rPr>
          <w:highlight w:val="yellow"/>
        </w:rPr>
        <w:t>Dalkon</w:t>
      </w:r>
      <w:proofErr w:type="spellEnd"/>
      <w:r w:rsidRPr="00B03E66">
        <w:rPr>
          <w:highlight w:val="yellow"/>
        </w:rPr>
        <w:t xml:space="preserve"> Shield</w:t>
      </w:r>
      <w:r>
        <w:t xml:space="preserve"> rather than asbestos.  Approximately </w:t>
      </w:r>
      <w:r w:rsidRPr="00B03E66">
        <w:rPr>
          <w:highlight w:val="yellow"/>
        </w:rPr>
        <w:t>195,000 personal</w:t>
      </w:r>
      <w:r>
        <w:t xml:space="preserve"> </w:t>
      </w:r>
      <w:r>
        <w:lastRenderedPageBreak/>
        <w:t xml:space="preserve">injury claims were asserted, and the district court, which presided over the bankruptcy case, </w:t>
      </w:r>
      <w:r w:rsidRPr="00B03E66">
        <w:rPr>
          <w:highlight w:val="yellow"/>
        </w:rPr>
        <w:t>estimated each claim in the same amount for voting purposes</w:t>
      </w:r>
      <w:r>
        <w:t xml:space="preserve">.  </w:t>
      </w:r>
      <w:r>
        <w:rPr>
          <w:u w:val="single" w:color="000000"/>
        </w:rPr>
        <w:t>Robins</w:t>
      </w:r>
      <w:r>
        <w:t xml:space="preserve">, </w:t>
      </w:r>
    </w:p>
    <w:p w14:paraId="58F2A33E" w14:textId="77777777" w:rsidR="00823138" w:rsidRDefault="00A0477A">
      <w:pPr>
        <w:spacing w:after="247"/>
        <w:ind w:left="-5"/>
      </w:pPr>
      <w:r>
        <w:t xml:space="preserve">880 F.2d at 697.  Approximately 140,000 claimants voted, </w:t>
      </w:r>
      <w:r w:rsidRPr="00B03E66">
        <w:rPr>
          <w:highlight w:val="yellow"/>
        </w:rPr>
        <w:t>and 94.38% accepted the plan</w:t>
      </w:r>
      <w:r>
        <w:t xml:space="preserve">.  </w:t>
      </w:r>
    </w:p>
    <w:p w14:paraId="6F6D6D45" w14:textId="77777777" w:rsidR="00823138" w:rsidRDefault="00A0477A">
      <w:pPr>
        <w:spacing w:after="239" w:line="476" w:lineRule="auto"/>
        <w:ind w:left="-5"/>
      </w:pPr>
      <w:r>
        <w:rPr>
          <w:u w:val="single" w:color="000000"/>
        </w:rPr>
        <w:t>Id.</w:t>
      </w:r>
      <w:r>
        <w:t xml:space="preserve"> at 698.  Persuaded by the reasoning of the </w:t>
      </w:r>
      <w:r>
        <w:rPr>
          <w:u w:val="single" w:color="000000"/>
        </w:rPr>
        <w:t>Manville</w:t>
      </w:r>
      <w:r>
        <w:t xml:space="preserve"> Court, the Fourth Circuit Court of Appeals rejected the challenge to the voting procedure “because, in view of the outcome of the vote, the challenged procedure was at most harmless error.”  </w:t>
      </w:r>
      <w:r>
        <w:rPr>
          <w:u w:val="single" w:color="000000"/>
        </w:rPr>
        <w:t>Id.</w:t>
      </w:r>
      <w:r>
        <w:t xml:space="preserve">  </w:t>
      </w:r>
    </w:p>
    <w:p w14:paraId="5405D18C" w14:textId="77777777" w:rsidR="00823138" w:rsidRDefault="00A0477A">
      <w:pPr>
        <w:spacing w:after="239" w:line="477" w:lineRule="auto"/>
        <w:ind w:left="-15" w:firstLine="720"/>
      </w:pPr>
      <w:r w:rsidRPr="00B03E66">
        <w:rPr>
          <w:highlight w:val="yellow"/>
        </w:rPr>
        <w:t>It appears, then, that the $1.00 per vote method can be used when support is overwhelming and a different voting method will not change the result.</w:t>
      </w:r>
      <w:r>
        <w:t xml:space="preserve">  Where the harmless error rule cannot be applied, another approach may be necessary.  The alternative is to weigh each vote based on the nature and impairment of each claimant’s injury</w:t>
      </w:r>
      <w:r w:rsidRPr="00B03E66">
        <w:rPr>
          <w:highlight w:val="yellow"/>
        </w:rPr>
        <w:t>.  This method more accurately aligns the voting strength with the ultimate claim value, G</w:t>
      </w:r>
      <w:r w:rsidRPr="00B03E66">
        <w:rPr>
          <w:sz w:val="19"/>
          <w:highlight w:val="yellow"/>
        </w:rPr>
        <w:t>IBSON</w:t>
      </w:r>
      <w:r w:rsidRPr="00B03E66">
        <w:rPr>
          <w:highlight w:val="yellow"/>
        </w:rPr>
        <w:t xml:space="preserve"> 133, and prevents the holders of relatively small claims from disenfranchising the more severely impaired who hold larger claims.</w:t>
      </w:r>
      <w:r>
        <w:t xml:space="preserve"> </w:t>
      </w:r>
    </w:p>
    <w:p w14:paraId="7E44CDD5" w14:textId="77777777" w:rsidR="00823138" w:rsidRDefault="00A0477A" w:rsidP="00C44AA3">
      <w:pPr>
        <w:spacing w:after="0" w:line="476" w:lineRule="auto"/>
        <w:ind w:left="-15" w:firstLine="720"/>
      </w:pPr>
      <w:r>
        <w:t xml:space="preserve">Quigley has proposed an alternative that weighs the votes according to the values scheduled in the Plan.  Much of the information can be extracted from the ballots, even </w:t>
      </w:r>
    </w:p>
    <w:p w14:paraId="30996CC0" w14:textId="77777777" w:rsidR="00823138" w:rsidRDefault="00A0477A" w:rsidP="00C44AA3">
      <w:pPr>
        <w:spacing w:after="0" w:line="265" w:lineRule="auto"/>
        <w:ind w:right="8"/>
        <w:jc w:val="center"/>
      </w:pPr>
      <w:r>
        <w:t>14</w:t>
      </w:r>
    </w:p>
    <w:p w14:paraId="08EDCBB5" w14:textId="77777777" w:rsidR="00823138" w:rsidRDefault="00A0477A" w:rsidP="00C44AA3">
      <w:pPr>
        <w:spacing w:after="0" w:line="476" w:lineRule="auto"/>
        <w:ind w:left="-5"/>
      </w:pPr>
      <w:proofErr w:type="gramStart"/>
      <w:r>
        <w:t>though</w:t>
      </w:r>
      <w:proofErr w:type="gramEnd"/>
      <w:r>
        <w:t xml:space="preserve"> the three categories of diseases listed in the ballot subsume the seven categories established in the TDP.  In addition, this approach fulfills the expectations of the claimants since their votes are presumably cast, in part, based upon the amount the creditors expect to receive from the Trust.  Moreover, both sides acknowledge that this result is reasonable.  (</w:t>
      </w:r>
      <w:r>
        <w:rPr>
          <w:u w:val="single" w:color="000000"/>
        </w:rPr>
        <w:t>See</w:t>
      </w:r>
      <w:r>
        <w:t xml:space="preserve"> </w:t>
      </w:r>
      <w:r>
        <w:rPr>
          <w:u w:val="single" w:color="000000"/>
        </w:rPr>
        <w:t>Supplemental Vote Tabulation Memorandum</w:t>
      </w:r>
      <w:r>
        <w:t xml:space="preserve">, at ¶ 32; </w:t>
      </w:r>
    </w:p>
    <w:p w14:paraId="25AC9CF2" w14:textId="77777777" w:rsidR="00823138" w:rsidRDefault="00A0477A">
      <w:pPr>
        <w:spacing w:after="246" w:line="265" w:lineRule="auto"/>
        <w:ind w:left="-5"/>
        <w:jc w:val="left"/>
      </w:pPr>
      <w:r>
        <w:rPr>
          <w:u w:val="single" w:color="000000"/>
        </w:rPr>
        <w:t>Memorandum of the Ad-Hoc Committee of Tort Victims in Support of a Voting</w:t>
      </w:r>
      <w:r>
        <w:t xml:space="preserve"> </w:t>
      </w:r>
    </w:p>
    <w:p w14:paraId="6A0DC09C" w14:textId="77777777" w:rsidR="00823138" w:rsidRDefault="00A0477A">
      <w:pPr>
        <w:spacing w:after="246" w:line="265" w:lineRule="auto"/>
        <w:ind w:left="-5"/>
        <w:jc w:val="left"/>
      </w:pPr>
      <w:r>
        <w:rPr>
          <w:u w:val="single" w:color="000000"/>
        </w:rPr>
        <w:t xml:space="preserve">Methodology that </w:t>
      </w:r>
      <w:proofErr w:type="gramStart"/>
      <w:r>
        <w:rPr>
          <w:u w:val="single" w:color="000000"/>
        </w:rPr>
        <w:t>Takes into Account</w:t>
      </w:r>
      <w:proofErr w:type="gramEnd"/>
      <w:r>
        <w:rPr>
          <w:u w:val="single" w:color="000000"/>
        </w:rPr>
        <w:t xml:space="preserve"> Both the Differing Interests Held by Settling and</w:t>
      </w:r>
      <w:r>
        <w:t xml:space="preserve"> </w:t>
      </w:r>
    </w:p>
    <w:p w14:paraId="2CA31290" w14:textId="77777777" w:rsidR="00823138" w:rsidRDefault="00A0477A">
      <w:pPr>
        <w:pStyle w:val="Heading2"/>
        <w:ind w:left="-5"/>
      </w:pPr>
      <w:r>
        <w:lastRenderedPageBreak/>
        <w:t>Non-Settling Claimants as Well as Disease-Based Variations in Claim Value</w:t>
      </w:r>
      <w:r>
        <w:rPr>
          <w:u w:val="none"/>
        </w:rPr>
        <w:t xml:space="preserve">, dated June </w:t>
      </w:r>
    </w:p>
    <w:p w14:paraId="070BFBC0" w14:textId="77777777" w:rsidR="00823138" w:rsidRPr="00B03E66" w:rsidRDefault="00A0477A">
      <w:pPr>
        <w:spacing w:after="240" w:line="476" w:lineRule="auto"/>
        <w:ind w:left="-5"/>
        <w:rPr>
          <w:highlight w:val="yellow"/>
        </w:rPr>
      </w:pPr>
      <w:r>
        <w:t>2, 2006 (“</w:t>
      </w:r>
      <w:r>
        <w:rPr>
          <w:u w:val="single" w:color="000000"/>
        </w:rPr>
        <w:t>Memorandum of the Ad-Hoc Committee</w:t>
      </w:r>
      <w:r>
        <w:t>”</w:t>
      </w:r>
      <w:proofErr w:type="gramStart"/>
      <w:r>
        <w:t>),  at</w:t>
      </w:r>
      <w:proofErr w:type="gramEnd"/>
      <w:r>
        <w:t xml:space="preserve"> 11 </w:t>
      </w:r>
      <w:proofErr w:type="gramStart"/>
      <w:r>
        <w:t>n.14  (</w:t>
      </w:r>
      <w:proofErr w:type="gramEnd"/>
      <w:r>
        <w:t>ECF Doc. # 838) (</w:t>
      </w:r>
      <w:r w:rsidRPr="00B03E66">
        <w:rPr>
          <w:highlight w:val="yellow"/>
        </w:rPr>
        <w:t xml:space="preserve">noting that a methodology that applies some objective criteria, for example, “actual historical settlement values or TDP-based values would seem more appropriate in this case.”).) </w:t>
      </w:r>
    </w:p>
    <w:p w14:paraId="71C5BBA1" w14:textId="77777777" w:rsidR="00823138" w:rsidRDefault="00A0477A">
      <w:pPr>
        <w:spacing w:line="475" w:lineRule="auto"/>
        <w:ind w:left="-15" w:firstLine="720"/>
      </w:pPr>
      <w:r w:rsidRPr="00B03E66">
        <w:rPr>
          <w:highlight w:val="yellow"/>
        </w:rPr>
        <w:t>The use of historical settlement values, preferred by the Ad Hoc Committee, makes less sense.</w:t>
      </w:r>
      <w:r>
        <w:t xml:space="preserve">  The Ad Hoc Committee contends that the use of values derived from </w:t>
      </w:r>
    </w:p>
    <w:p w14:paraId="49BC093F" w14:textId="77777777" w:rsidR="00823138" w:rsidRDefault="00A0477A" w:rsidP="00C44AA3">
      <w:pPr>
        <w:spacing w:after="0" w:line="476" w:lineRule="auto"/>
        <w:ind w:left="-5"/>
      </w:pPr>
      <w:r>
        <w:t xml:space="preserve">Quigley’s historical records will reflect the actual economic and legal viability of the Asbestos PI Claims presently at stake.  For the sake of efficiency, it proposes to seek discovery and prepare a matrix that will describe what each claimant should be paid.  The matrix will also </w:t>
      </w:r>
      <w:proofErr w:type="gramStart"/>
      <w:r>
        <w:t>take into account</w:t>
      </w:r>
      <w:proofErr w:type="gramEnd"/>
      <w:r>
        <w:t xml:space="preserve"> the settlement history of the law firms that represented each Asbestos PI Claimant.  It asserts that such information is pertinent because certain firms settled, on </w:t>
      </w:r>
      <w:proofErr w:type="gramStart"/>
      <w:r>
        <w:t>the average</w:t>
      </w:r>
      <w:proofErr w:type="gramEnd"/>
      <w:r>
        <w:t xml:space="preserve">, for approximately </w:t>
      </w:r>
      <w:r w:rsidRPr="00B03E66">
        <w:rPr>
          <w:highlight w:val="yellow"/>
        </w:rPr>
        <w:t xml:space="preserve">$475 per claim, while for other firms settled, on </w:t>
      </w:r>
      <w:proofErr w:type="gramStart"/>
      <w:r w:rsidRPr="00B03E66">
        <w:rPr>
          <w:highlight w:val="yellow"/>
        </w:rPr>
        <w:t>the average</w:t>
      </w:r>
      <w:proofErr w:type="gramEnd"/>
      <w:r w:rsidRPr="00B03E66">
        <w:rPr>
          <w:highlight w:val="yellow"/>
        </w:rPr>
        <w:t>, for $281,250 per claim.</w:t>
      </w:r>
      <w:r>
        <w:t xml:space="preserve"> (</w:t>
      </w:r>
      <w:r>
        <w:rPr>
          <w:u w:val="single" w:color="000000"/>
        </w:rPr>
        <w:t>Memorandum of the Ad-Hoc</w:t>
      </w:r>
      <w:r>
        <w:t xml:space="preserve"> </w:t>
      </w:r>
      <w:r>
        <w:rPr>
          <w:u w:val="single" w:color="000000"/>
        </w:rPr>
        <w:t>Committee</w:t>
      </w:r>
      <w:r>
        <w:t xml:space="preserve">, at 13.)   </w:t>
      </w:r>
    </w:p>
    <w:p w14:paraId="4DBB962B" w14:textId="77777777" w:rsidR="00823138" w:rsidRDefault="00A0477A" w:rsidP="00C44AA3">
      <w:pPr>
        <w:spacing w:after="0" w:line="265" w:lineRule="auto"/>
        <w:ind w:right="8"/>
        <w:jc w:val="center"/>
      </w:pPr>
      <w:r>
        <w:t>15</w:t>
      </w:r>
    </w:p>
    <w:p w14:paraId="307CD91F" w14:textId="77777777" w:rsidR="00823138" w:rsidRDefault="00A0477A" w:rsidP="00C44AA3">
      <w:pPr>
        <w:spacing w:after="0" w:line="476" w:lineRule="auto"/>
        <w:ind w:left="-15" w:firstLine="720"/>
      </w:pPr>
      <w:r>
        <w:t xml:space="preserve">The Ad Hoc Committee’s proposal is no better and is more </w:t>
      </w:r>
      <w:proofErr w:type="gramStart"/>
      <w:r>
        <w:t>time consuming</w:t>
      </w:r>
      <w:proofErr w:type="gramEnd"/>
      <w:r>
        <w:t xml:space="preserve"> than the use of the TDP values.  Claims are settled based on the individual merit of the underlying claim, and relevant factors include the plaintiff’s age, disease, medical proof, pain and suffering, exposure history, and lifestyle.  (</w:t>
      </w:r>
      <w:r>
        <w:rPr>
          <w:u w:val="single" w:color="000000"/>
        </w:rPr>
        <w:t>Supplemental Vote Tabulation</w:t>
      </w:r>
      <w:r>
        <w:t xml:space="preserve"> </w:t>
      </w:r>
    </w:p>
    <w:p w14:paraId="40A24A83" w14:textId="77777777" w:rsidR="00823138" w:rsidRDefault="00A0477A">
      <w:pPr>
        <w:spacing w:after="272" w:line="476" w:lineRule="auto"/>
        <w:ind w:left="-5"/>
      </w:pPr>
      <w:r>
        <w:rPr>
          <w:u w:val="single" w:color="000000"/>
        </w:rPr>
        <w:t>Memorandum</w:t>
      </w:r>
      <w:r>
        <w:t xml:space="preserve">, ¶ 37.)  </w:t>
      </w:r>
      <w:r w:rsidRPr="00B03E66">
        <w:rPr>
          <w:highlight w:val="yellow"/>
        </w:rPr>
        <w:t xml:space="preserve">The same bits of information would be necessary under the Ad Hoc Committee’s proposal, and the Court would have to review every claim, including the identity of the lawyer representing the claimant, to determine its appropriate voting weight.  Furthermore, the TDP values already reflect Quigley’s settlement experience, have been approved by the Official Committee of Unsecured Creditors and the Future Claims </w:t>
      </w:r>
      <w:r w:rsidRPr="00B03E66">
        <w:rPr>
          <w:highlight w:val="yellow"/>
        </w:rPr>
        <w:lastRenderedPageBreak/>
        <w:t>Representative, and no one has suggested that the TPD values, or the differences in values assigned t</w:t>
      </w:r>
      <w:r w:rsidRPr="00B03E66">
        <w:rPr>
          <w:highlight w:val="yellow"/>
        </w:rPr>
        <w:t>o the various disease categories, are arbitrary or unreasonable.</w:t>
      </w:r>
      <w:r>
        <w:t xml:space="preserve"> </w:t>
      </w:r>
    </w:p>
    <w:p w14:paraId="2D114BAC" w14:textId="77777777" w:rsidR="00823138" w:rsidRDefault="00A0477A">
      <w:pPr>
        <w:pStyle w:val="Heading3"/>
        <w:tabs>
          <w:tab w:val="center" w:pos="1921"/>
        </w:tabs>
        <w:ind w:left="-15" w:firstLine="0"/>
      </w:pPr>
      <w:r>
        <w:t>C</w:t>
      </w:r>
      <w:proofErr w:type="gramStart"/>
      <w:r>
        <w:t xml:space="preserve">. </w:t>
      </w:r>
      <w:r>
        <w:tab/>
        <w:t>The</w:t>
      </w:r>
      <w:proofErr w:type="gramEnd"/>
      <w:r>
        <w:t xml:space="preserve"> Voting in this Case </w:t>
      </w:r>
    </w:p>
    <w:p w14:paraId="0B90D549" w14:textId="77777777" w:rsidR="00823138" w:rsidRDefault="00A0477A">
      <w:pPr>
        <w:spacing w:after="240" w:line="476" w:lineRule="auto"/>
        <w:ind w:left="-15" w:firstLine="720"/>
      </w:pPr>
      <w:r>
        <w:t xml:space="preserve">As noted, 85% of the Asbestos PI Claimants that voted accepted the Plan.  This number will not change, regardless of the methodology used.  Accordingly, the vote to accept meets the “more than one-half in number” requirement under § 1126(c), and the three-quarters requirement imposed by § 524(g).  The choice between methodologies will only affect the “two-thirds in amount” test under § 1126(c).  Under the $1.00 per vote method, the same 85% vote also satisfies this criterion. </w:t>
      </w:r>
    </w:p>
    <w:p w14:paraId="4E531627" w14:textId="77777777" w:rsidR="00823138" w:rsidRDefault="00A0477A" w:rsidP="00C44AA3">
      <w:pPr>
        <w:spacing w:after="0" w:line="476" w:lineRule="auto"/>
        <w:ind w:left="-15" w:firstLine="720"/>
      </w:pPr>
      <w:r>
        <w:t xml:space="preserve">The use of weighted voting, based on the TDP values, also results in </w:t>
      </w:r>
      <w:proofErr w:type="gramStart"/>
      <w:r>
        <w:t>the acceptance</w:t>
      </w:r>
      <w:proofErr w:type="gramEnd"/>
      <w:r>
        <w:t xml:space="preserve"> by at least two-thirds in amount.  Quigley made a rough estimate of the weighted votes based on the three categories of impairments listed on the ballots.  Except </w:t>
      </w:r>
    </w:p>
    <w:p w14:paraId="6485BEB1" w14:textId="77777777" w:rsidR="00823138" w:rsidRDefault="00A0477A" w:rsidP="00C44AA3">
      <w:pPr>
        <w:spacing w:after="0" w:line="265" w:lineRule="auto"/>
        <w:ind w:right="8"/>
        <w:jc w:val="center"/>
      </w:pPr>
      <w:r>
        <w:t>16</w:t>
      </w:r>
    </w:p>
    <w:p w14:paraId="79F1750C" w14:textId="77777777" w:rsidR="00823138" w:rsidRDefault="00A0477A" w:rsidP="00C44AA3">
      <w:pPr>
        <w:spacing w:after="0"/>
        <w:ind w:left="-5"/>
      </w:pPr>
      <w:r>
        <w:t>for “Mesothelioma,” each ballot category encompasses more than one Plan category.</w:t>
      </w:r>
      <w:r>
        <w:rPr>
          <w:vertAlign w:val="superscript"/>
        </w:rPr>
        <w:t xml:space="preserve"> </w:t>
      </w:r>
      <w:proofErr w:type="gramStart"/>
      <w:r>
        <w:rPr>
          <w:vertAlign w:val="superscript"/>
        </w:rPr>
        <w:t>17</w:t>
      </w:r>
      <w:r>
        <w:t xml:space="preserve">  </w:t>
      </w:r>
      <w:r>
        <w:t>The</w:t>
      </w:r>
      <w:proofErr w:type="gramEnd"/>
      <w:r>
        <w:t xml:space="preserve"> scheduled value of the disease categories fluctuates based on the severity of the impairment.  For example, the ballot category “Other” encompasses the last four scheduled categories in the TDP, which range in value between $35,000 and $2,000.  Quigley weighed the voting results using the lowest scheduled value, and the result, depicted in the following chart, shows that approximately 73% in amount accepted the Plan (</w:t>
      </w:r>
      <w:r>
        <w:rPr>
          <w:u w:val="single" w:color="000000"/>
        </w:rPr>
        <w:t>see</w:t>
      </w:r>
      <w:r>
        <w:t xml:space="preserve"> </w:t>
      </w:r>
      <w:r>
        <w:rPr>
          <w:u w:val="single" w:color="000000"/>
        </w:rPr>
        <w:t>Certification</w:t>
      </w:r>
      <w:r>
        <w:t xml:space="preserve">, Ex. B): </w:t>
      </w:r>
    </w:p>
    <w:tbl>
      <w:tblPr>
        <w:tblStyle w:val="TableGrid"/>
        <w:tblW w:w="8856" w:type="dxa"/>
        <w:tblInd w:w="-108" w:type="dxa"/>
        <w:tblCellMar>
          <w:top w:w="171" w:type="dxa"/>
          <w:left w:w="107" w:type="dxa"/>
          <w:bottom w:w="0" w:type="dxa"/>
          <w:right w:w="48" w:type="dxa"/>
        </w:tblCellMar>
        <w:tblLook w:val="04A0" w:firstRow="1" w:lastRow="0" w:firstColumn="1" w:lastColumn="0" w:noHBand="0" w:noVBand="1"/>
      </w:tblPr>
      <w:tblGrid>
        <w:gridCol w:w="1589"/>
        <w:gridCol w:w="1090"/>
        <w:gridCol w:w="1026"/>
        <w:gridCol w:w="1662"/>
        <w:gridCol w:w="994"/>
        <w:gridCol w:w="1416"/>
        <w:gridCol w:w="1079"/>
      </w:tblGrid>
      <w:tr w:rsidR="00823138" w14:paraId="7741719E" w14:textId="77777777">
        <w:trPr>
          <w:trHeight w:val="802"/>
        </w:trPr>
        <w:tc>
          <w:tcPr>
            <w:tcW w:w="1590" w:type="dxa"/>
            <w:tcBorders>
              <w:top w:val="single" w:sz="4" w:space="0" w:color="000000"/>
              <w:left w:val="single" w:sz="4" w:space="0" w:color="000000"/>
              <w:bottom w:val="single" w:sz="4" w:space="0" w:color="000000"/>
              <w:right w:val="single" w:sz="4" w:space="0" w:color="000000"/>
            </w:tcBorders>
          </w:tcPr>
          <w:p w14:paraId="3F244B04" w14:textId="77777777" w:rsidR="00823138" w:rsidRPr="00B03E66" w:rsidRDefault="00A0477A">
            <w:pPr>
              <w:spacing w:after="0" w:line="259" w:lineRule="auto"/>
              <w:ind w:left="0" w:right="62" w:firstLine="0"/>
              <w:jc w:val="center"/>
              <w:rPr>
                <w:highlight w:val="yellow"/>
              </w:rPr>
            </w:pPr>
            <w:r w:rsidRPr="00B03E66">
              <w:rPr>
                <w:b/>
                <w:highlight w:val="yellow"/>
              </w:rPr>
              <w:t xml:space="preserve">Disease </w:t>
            </w:r>
          </w:p>
        </w:tc>
        <w:tc>
          <w:tcPr>
            <w:tcW w:w="1090" w:type="dxa"/>
            <w:tcBorders>
              <w:top w:val="single" w:sz="4" w:space="0" w:color="000000"/>
              <w:left w:val="single" w:sz="4" w:space="0" w:color="000000"/>
              <w:bottom w:val="single" w:sz="4" w:space="0" w:color="000000"/>
              <w:right w:val="single" w:sz="4" w:space="0" w:color="000000"/>
            </w:tcBorders>
            <w:vAlign w:val="center"/>
          </w:tcPr>
          <w:p w14:paraId="6E5EA374" w14:textId="77777777" w:rsidR="00823138" w:rsidRPr="00B03E66" w:rsidRDefault="00A0477A">
            <w:pPr>
              <w:spacing w:after="0" w:line="259" w:lineRule="auto"/>
              <w:ind w:left="0" w:right="62" w:firstLine="0"/>
              <w:jc w:val="center"/>
              <w:rPr>
                <w:highlight w:val="yellow"/>
              </w:rPr>
            </w:pPr>
            <w:r w:rsidRPr="00B03E66">
              <w:rPr>
                <w:b/>
                <w:highlight w:val="yellow"/>
              </w:rPr>
              <w:t xml:space="preserve">TDP </w:t>
            </w:r>
          </w:p>
          <w:p w14:paraId="3FB19286" w14:textId="77777777" w:rsidR="00823138" w:rsidRPr="00B03E66" w:rsidRDefault="00A0477A">
            <w:pPr>
              <w:spacing w:after="0" w:line="259" w:lineRule="auto"/>
              <w:ind w:left="57" w:firstLine="0"/>
              <w:jc w:val="left"/>
              <w:rPr>
                <w:highlight w:val="yellow"/>
              </w:rPr>
            </w:pPr>
            <w:r w:rsidRPr="00B03E66">
              <w:rPr>
                <w:b/>
                <w:highlight w:val="yellow"/>
              </w:rPr>
              <w:t>Value</w:t>
            </w:r>
            <w:r w:rsidRPr="00B03E66">
              <w:rPr>
                <w:highlight w:val="yellow"/>
                <w:vertAlign w:val="superscript"/>
              </w:rPr>
              <w:t>18</w:t>
            </w:r>
            <w:r w:rsidRPr="00B03E66">
              <w:rPr>
                <w:b/>
                <w:highlight w:val="yellow"/>
              </w:rPr>
              <w:t xml:space="preserve"> </w:t>
            </w:r>
          </w:p>
        </w:tc>
        <w:tc>
          <w:tcPr>
            <w:tcW w:w="1026" w:type="dxa"/>
            <w:tcBorders>
              <w:top w:val="single" w:sz="4" w:space="0" w:color="000000"/>
              <w:left w:val="single" w:sz="4" w:space="0" w:color="000000"/>
              <w:bottom w:val="single" w:sz="4" w:space="0" w:color="000000"/>
              <w:right w:val="single" w:sz="4" w:space="0" w:color="000000"/>
            </w:tcBorders>
          </w:tcPr>
          <w:p w14:paraId="1A4F0269" w14:textId="77777777" w:rsidR="00823138" w:rsidRPr="00B03E66" w:rsidRDefault="00A0477A">
            <w:pPr>
              <w:spacing w:after="0" w:line="259" w:lineRule="auto"/>
              <w:ind w:left="52" w:firstLine="0"/>
              <w:jc w:val="left"/>
              <w:rPr>
                <w:highlight w:val="yellow"/>
              </w:rPr>
            </w:pPr>
            <w:r w:rsidRPr="00B03E66">
              <w:rPr>
                <w:b/>
                <w:highlight w:val="yellow"/>
              </w:rPr>
              <w:t xml:space="preserve">Accept </w:t>
            </w:r>
          </w:p>
        </w:tc>
        <w:tc>
          <w:tcPr>
            <w:tcW w:w="1662" w:type="dxa"/>
            <w:tcBorders>
              <w:top w:val="single" w:sz="4" w:space="0" w:color="000000"/>
              <w:left w:val="single" w:sz="4" w:space="0" w:color="000000"/>
              <w:bottom w:val="single" w:sz="4" w:space="0" w:color="000000"/>
              <w:right w:val="single" w:sz="4" w:space="0" w:color="000000"/>
            </w:tcBorders>
          </w:tcPr>
          <w:p w14:paraId="641C46EA" w14:textId="77777777" w:rsidR="00823138" w:rsidRPr="00B03E66" w:rsidRDefault="00A0477A">
            <w:pPr>
              <w:spacing w:after="0" w:line="259" w:lineRule="auto"/>
              <w:ind w:left="39" w:firstLine="0"/>
              <w:jc w:val="left"/>
              <w:rPr>
                <w:highlight w:val="yellow"/>
              </w:rPr>
            </w:pPr>
            <w:r w:rsidRPr="00B03E66">
              <w:rPr>
                <w:b/>
                <w:highlight w:val="yellow"/>
              </w:rPr>
              <w:t xml:space="preserve">Accept Value </w:t>
            </w:r>
          </w:p>
        </w:tc>
        <w:tc>
          <w:tcPr>
            <w:tcW w:w="994" w:type="dxa"/>
            <w:tcBorders>
              <w:top w:val="single" w:sz="4" w:space="0" w:color="000000"/>
              <w:left w:val="single" w:sz="4" w:space="0" w:color="000000"/>
              <w:bottom w:val="single" w:sz="4" w:space="0" w:color="000000"/>
              <w:right w:val="single" w:sz="4" w:space="0" w:color="000000"/>
            </w:tcBorders>
          </w:tcPr>
          <w:p w14:paraId="2BD977DE" w14:textId="77777777" w:rsidR="00823138" w:rsidRPr="00B03E66" w:rsidRDefault="00A0477A">
            <w:pPr>
              <w:spacing w:after="0" w:line="259" w:lineRule="auto"/>
              <w:ind w:left="63" w:firstLine="0"/>
              <w:jc w:val="left"/>
              <w:rPr>
                <w:highlight w:val="yellow"/>
              </w:rPr>
            </w:pPr>
            <w:r w:rsidRPr="00B03E66">
              <w:rPr>
                <w:b/>
                <w:highlight w:val="yellow"/>
              </w:rPr>
              <w:t xml:space="preserve">Reject </w:t>
            </w:r>
          </w:p>
        </w:tc>
        <w:tc>
          <w:tcPr>
            <w:tcW w:w="1416" w:type="dxa"/>
            <w:tcBorders>
              <w:top w:val="single" w:sz="4" w:space="0" w:color="000000"/>
              <w:left w:val="single" w:sz="4" w:space="0" w:color="000000"/>
              <w:bottom w:val="single" w:sz="4" w:space="0" w:color="000000"/>
              <w:right w:val="single" w:sz="4" w:space="0" w:color="000000"/>
            </w:tcBorders>
            <w:vAlign w:val="center"/>
          </w:tcPr>
          <w:p w14:paraId="50D858F6" w14:textId="77777777" w:rsidR="00823138" w:rsidRPr="00B03E66" w:rsidRDefault="00A0477A">
            <w:pPr>
              <w:spacing w:after="0" w:line="259" w:lineRule="auto"/>
              <w:ind w:left="0" w:firstLine="0"/>
              <w:jc w:val="center"/>
              <w:rPr>
                <w:highlight w:val="yellow"/>
              </w:rPr>
            </w:pPr>
            <w:r w:rsidRPr="00B03E66">
              <w:rPr>
                <w:b/>
                <w:highlight w:val="yellow"/>
              </w:rPr>
              <w:t xml:space="preserve">Reject Value </w:t>
            </w:r>
          </w:p>
        </w:tc>
        <w:tc>
          <w:tcPr>
            <w:tcW w:w="1079" w:type="dxa"/>
            <w:tcBorders>
              <w:top w:val="single" w:sz="4" w:space="0" w:color="000000"/>
              <w:left w:val="single" w:sz="4" w:space="0" w:color="000000"/>
              <w:bottom w:val="single" w:sz="4" w:space="0" w:color="000000"/>
              <w:right w:val="single" w:sz="4" w:space="0" w:color="000000"/>
            </w:tcBorders>
            <w:vAlign w:val="center"/>
          </w:tcPr>
          <w:p w14:paraId="16D9C2FD" w14:textId="77777777" w:rsidR="00823138" w:rsidRPr="00B03E66" w:rsidRDefault="00A0477A">
            <w:pPr>
              <w:spacing w:after="0" w:line="259" w:lineRule="auto"/>
              <w:ind w:left="0" w:right="59" w:firstLine="0"/>
              <w:jc w:val="center"/>
              <w:rPr>
                <w:highlight w:val="yellow"/>
              </w:rPr>
            </w:pPr>
            <w:r w:rsidRPr="00B03E66">
              <w:rPr>
                <w:b/>
                <w:highlight w:val="yellow"/>
              </w:rPr>
              <w:t xml:space="preserve">% </w:t>
            </w:r>
          </w:p>
          <w:p w14:paraId="3B1A33C9" w14:textId="77777777" w:rsidR="00823138" w:rsidRPr="00B03E66" w:rsidRDefault="00A0477A">
            <w:pPr>
              <w:spacing w:after="0" w:line="259" w:lineRule="auto"/>
              <w:ind w:left="79" w:firstLine="0"/>
              <w:jc w:val="left"/>
              <w:rPr>
                <w:highlight w:val="yellow"/>
              </w:rPr>
            </w:pPr>
            <w:r w:rsidRPr="00B03E66">
              <w:rPr>
                <w:b/>
                <w:highlight w:val="yellow"/>
              </w:rPr>
              <w:t xml:space="preserve">Accept </w:t>
            </w:r>
          </w:p>
        </w:tc>
      </w:tr>
      <w:tr w:rsidR="00823138" w14:paraId="34A74059" w14:textId="77777777">
        <w:trPr>
          <w:trHeight w:val="526"/>
        </w:trPr>
        <w:tc>
          <w:tcPr>
            <w:tcW w:w="1590" w:type="dxa"/>
            <w:tcBorders>
              <w:top w:val="single" w:sz="4" w:space="0" w:color="000000"/>
              <w:left w:val="single" w:sz="4" w:space="0" w:color="000000"/>
              <w:bottom w:val="single" w:sz="4" w:space="0" w:color="000000"/>
              <w:right w:val="single" w:sz="4" w:space="0" w:color="000000"/>
            </w:tcBorders>
            <w:vAlign w:val="center"/>
          </w:tcPr>
          <w:p w14:paraId="24B0C52B" w14:textId="77777777" w:rsidR="00823138" w:rsidRPr="00B03E66" w:rsidRDefault="00A0477A">
            <w:pPr>
              <w:spacing w:after="0" w:line="259" w:lineRule="auto"/>
              <w:ind w:left="1" w:firstLine="0"/>
              <w:rPr>
                <w:highlight w:val="yellow"/>
              </w:rPr>
            </w:pPr>
            <w:r w:rsidRPr="00B03E66">
              <w:rPr>
                <w:highlight w:val="yellow"/>
              </w:rPr>
              <w:t xml:space="preserve">Mesothelioma </w:t>
            </w:r>
          </w:p>
        </w:tc>
        <w:tc>
          <w:tcPr>
            <w:tcW w:w="1090" w:type="dxa"/>
            <w:tcBorders>
              <w:top w:val="single" w:sz="4" w:space="0" w:color="000000"/>
              <w:left w:val="single" w:sz="4" w:space="0" w:color="000000"/>
              <w:bottom w:val="single" w:sz="4" w:space="0" w:color="000000"/>
              <w:right w:val="single" w:sz="4" w:space="0" w:color="000000"/>
            </w:tcBorders>
            <w:vAlign w:val="center"/>
          </w:tcPr>
          <w:p w14:paraId="2C88C562" w14:textId="77777777" w:rsidR="00823138" w:rsidRPr="00B03E66" w:rsidRDefault="00A0477A">
            <w:pPr>
              <w:spacing w:after="0" w:line="259" w:lineRule="auto"/>
              <w:ind w:left="92" w:firstLine="0"/>
              <w:jc w:val="left"/>
              <w:rPr>
                <w:highlight w:val="yellow"/>
              </w:rPr>
            </w:pPr>
            <w:r w:rsidRPr="00B03E66">
              <w:rPr>
                <w:highlight w:val="yellow"/>
              </w:rPr>
              <w:t xml:space="preserve">225,000 </w:t>
            </w:r>
          </w:p>
        </w:tc>
        <w:tc>
          <w:tcPr>
            <w:tcW w:w="1026" w:type="dxa"/>
            <w:tcBorders>
              <w:top w:val="single" w:sz="4" w:space="0" w:color="000000"/>
              <w:left w:val="single" w:sz="4" w:space="0" w:color="000000"/>
              <w:bottom w:val="single" w:sz="4" w:space="0" w:color="000000"/>
              <w:right w:val="single" w:sz="4" w:space="0" w:color="000000"/>
            </w:tcBorders>
            <w:vAlign w:val="center"/>
          </w:tcPr>
          <w:p w14:paraId="16091460" w14:textId="77777777" w:rsidR="00823138" w:rsidRPr="00B03E66" w:rsidRDefault="00A0477A">
            <w:pPr>
              <w:spacing w:after="0" w:line="259" w:lineRule="auto"/>
              <w:ind w:left="269" w:firstLine="0"/>
              <w:jc w:val="left"/>
              <w:rPr>
                <w:highlight w:val="yellow"/>
              </w:rPr>
            </w:pPr>
            <w:r w:rsidRPr="00B03E66">
              <w:rPr>
                <w:highlight w:val="yellow"/>
              </w:rPr>
              <w:t>5,085</w:t>
            </w:r>
          </w:p>
        </w:tc>
        <w:tc>
          <w:tcPr>
            <w:tcW w:w="1662" w:type="dxa"/>
            <w:tcBorders>
              <w:top w:val="single" w:sz="4" w:space="0" w:color="000000"/>
              <w:left w:val="single" w:sz="4" w:space="0" w:color="000000"/>
              <w:bottom w:val="single" w:sz="4" w:space="0" w:color="000000"/>
              <w:right w:val="single" w:sz="4" w:space="0" w:color="000000"/>
            </w:tcBorders>
            <w:vAlign w:val="center"/>
          </w:tcPr>
          <w:p w14:paraId="755F5D32" w14:textId="77777777" w:rsidR="00823138" w:rsidRPr="00B03E66" w:rsidRDefault="00A0477A">
            <w:pPr>
              <w:spacing w:after="0" w:line="259" w:lineRule="auto"/>
              <w:ind w:left="64" w:firstLine="0"/>
              <w:jc w:val="left"/>
              <w:rPr>
                <w:highlight w:val="yellow"/>
              </w:rPr>
            </w:pPr>
            <w:r w:rsidRPr="00B03E66">
              <w:rPr>
                <w:highlight w:val="yellow"/>
              </w:rPr>
              <w:t>1,144,125,000</w:t>
            </w:r>
          </w:p>
        </w:tc>
        <w:tc>
          <w:tcPr>
            <w:tcW w:w="994" w:type="dxa"/>
            <w:tcBorders>
              <w:top w:val="single" w:sz="4" w:space="0" w:color="000000"/>
              <w:left w:val="single" w:sz="4" w:space="0" w:color="000000"/>
              <w:bottom w:val="single" w:sz="4" w:space="0" w:color="000000"/>
              <w:right w:val="single" w:sz="4" w:space="0" w:color="000000"/>
            </w:tcBorders>
            <w:vAlign w:val="center"/>
          </w:tcPr>
          <w:p w14:paraId="66873B73" w14:textId="77777777" w:rsidR="00823138" w:rsidRPr="00B03E66" w:rsidRDefault="00A0477A">
            <w:pPr>
              <w:spacing w:after="0" w:line="259" w:lineRule="auto"/>
              <w:ind w:left="237" w:firstLine="0"/>
              <w:jc w:val="left"/>
              <w:rPr>
                <w:highlight w:val="yellow"/>
              </w:rPr>
            </w:pPr>
            <w:r w:rsidRPr="00B03E66">
              <w:rPr>
                <w:highlight w:val="yellow"/>
              </w:rPr>
              <w:t>2,222</w:t>
            </w:r>
          </w:p>
        </w:tc>
        <w:tc>
          <w:tcPr>
            <w:tcW w:w="1416" w:type="dxa"/>
            <w:tcBorders>
              <w:top w:val="single" w:sz="4" w:space="0" w:color="000000"/>
              <w:left w:val="single" w:sz="4" w:space="0" w:color="000000"/>
              <w:bottom w:val="single" w:sz="4" w:space="0" w:color="000000"/>
              <w:right w:val="single" w:sz="4" w:space="0" w:color="000000"/>
            </w:tcBorders>
            <w:vAlign w:val="center"/>
          </w:tcPr>
          <w:p w14:paraId="6D00A761" w14:textId="77777777" w:rsidR="00823138" w:rsidRPr="00B03E66" w:rsidRDefault="00A0477A">
            <w:pPr>
              <w:spacing w:after="0" w:line="259" w:lineRule="auto"/>
              <w:ind w:left="0" w:firstLine="0"/>
              <w:jc w:val="left"/>
              <w:rPr>
                <w:highlight w:val="yellow"/>
              </w:rPr>
            </w:pPr>
            <w:r w:rsidRPr="00B03E66">
              <w:rPr>
                <w:highlight w:val="yellow"/>
              </w:rPr>
              <w:t xml:space="preserve">499,950,000 </w:t>
            </w:r>
          </w:p>
        </w:tc>
        <w:tc>
          <w:tcPr>
            <w:tcW w:w="1079" w:type="dxa"/>
            <w:tcBorders>
              <w:top w:val="single" w:sz="4" w:space="0" w:color="000000"/>
              <w:left w:val="single" w:sz="4" w:space="0" w:color="000000"/>
              <w:bottom w:val="single" w:sz="4" w:space="0" w:color="000000"/>
              <w:right w:val="single" w:sz="4" w:space="0" w:color="000000"/>
            </w:tcBorders>
            <w:vAlign w:val="center"/>
          </w:tcPr>
          <w:p w14:paraId="4D223710" w14:textId="77777777" w:rsidR="00823138" w:rsidRPr="00B03E66" w:rsidRDefault="00A0477A">
            <w:pPr>
              <w:spacing w:after="0" w:line="259" w:lineRule="auto"/>
              <w:ind w:left="123" w:firstLine="0"/>
              <w:jc w:val="left"/>
              <w:rPr>
                <w:highlight w:val="yellow"/>
              </w:rPr>
            </w:pPr>
            <w:r w:rsidRPr="00B03E66">
              <w:rPr>
                <w:highlight w:val="yellow"/>
              </w:rPr>
              <w:t>69.59%</w:t>
            </w:r>
          </w:p>
        </w:tc>
      </w:tr>
      <w:tr w:rsidR="00823138" w14:paraId="7D56C815" w14:textId="77777777">
        <w:trPr>
          <w:trHeight w:val="527"/>
        </w:trPr>
        <w:tc>
          <w:tcPr>
            <w:tcW w:w="1590" w:type="dxa"/>
            <w:tcBorders>
              <w:top w:val="single" w:sz="4" w:space="0" w:color="000000"/>
              <w:left w:val="single" w:sz="4" w:space="0" w:color="000000"/>
              <w:bottom w:val="single" w:sz="4" w:space="0" w:color="000000"/>
              <w:right w:val="single" w:sz="4" w:space="0" w:color="000000"/>
            </w:tcBorders>
            <w:vAlign w:val="center"/>
          </w:tcPr>
          <w:p w14:paraId="0F5C6084" w14:textId="77777777" w:rsidR="00823138" w:rsidRPr="00B03E66" w:rsidRDefault="00A0477A">
            <w:pPr>
              <w:spacing w:after="0" w:line="259" w:lineRule="auto"/>
              <w:ind w:left="1" w:firstLine="0"/>
              <w:jc w:val="left"/>
              <w:rPr>
                <w:highlight w:val="yellow"/>
              </w:rPr>
            </w:pPr>
            <w:r w:rsidRPr="00B03E66">
              <w:rPr>
                <w:highlight w:val="yellow"/>
              </w:rPr>
              <w:t xml:space="preserve">Lung Cancer </w:t>
            </w:r>
          </w:p>
        </w:tc>
        <w:tc>
          <w:tcPr>
            <w:tcW w:w="1090" w:type="dxa"/>
            <w:tcBorders>
              <w:top w:val="single" w:sz="4" w:space="0" w:color="000000"/>
              <w:left w:val="single" w:sz="4" w:space="0" w:color="000000"/>
              <w:bottom w:val="single" w:sz="4" w:space="0" w:color="000000"/>
              <w:right w:val="single" w:sz="4" w:space="0" w:color="000000"/>
            </w:tcBorders>
            <w:vAlign w:val="center"/>
          </w:tcPr>
          <w:p w14:paraId="65EF54AF" w14:textId="77777777" w:rsidR="00823138" w:rsidRPr="00B03E66" w:rsidRDefault="00A0477A">
            <w:pPr>
              <w:spacing w:after="0" w:line="259" w:lineRule="auto"/>
              <w:ind w:left="0" w:right="61" w:firstLine="0"/>
              <w:jc w:val="right"/>
              <w:rPr>
                <w:highlight w:val="yellow"/>
              </w:rPr>
            </w:pPr>
            <w:r w:rsidRPr="00B03E66">
              <w:rPr>
                <w:highlight w:val="yellow"/>
              </w:rPr>
              <w:t xml:space="preserve">15,000 </w:t>
            </w:r>
          </w:p>
        </w:tc>
        <w:tc>
          <w:tcPr>
            <w:tcW w:w="1026" w:type="dxa"/>
            <w:tcBorders>
              <w:top w:val="single" w:sz="4" w:space="0" w:color="000000"/>
              <w:left w:val="single" w:sz="4" w:space="0" w:color="000000"/>
              <w:bottom w:val="single" w:sz="4" w:space="0" w:color="000000"/>
              <w:right w:val="single" w:sz="4" w:space="0" w:color="000000"/>
            </w:tcBorders>
            <w:vAlign w:val="center"/>
          </w:tcPr>
          <w:p w14:paraId="2990A846" w14:textId="77777777" w:rsidR="00823138" w:rsidRPr="00B03E66" w:rsidRDefault="00A0477A">
            <w:pPr>
              <w:spacing w:after="0" w:line="259" w:lineRule="auto"/>
              <w:ind w:left="0" w:right="61" w:firstLine="0"/>
              <w:jc w:val="right"/>
              <w:rPr>
                <w:highlight w:val="yellow"/>
              </w:rPr>
            </w:pPr>
            <w:r w:rsidRPr="00B03E66">
              <w:rPr>
                <w:highlight w:val="yellow"/>
              </w:rPr>
              <w:t>10,896</w:t>
            </w:r>
          </w:p>
        </w:tc>
        <w:tc>
          <w:tcPr>
            <w:tcW w:w="1662" w:type="dxa"/>
            <w:tcBorders>
              <w:top w:val="single" w:sz="4" w:space="0" w:color="000000"/>
              <w:left w:val="single" w:sz="4" w:space="0" w:color="000000"/>
              <w:bottom w:val="single" w:sz="4" w:space="0" w:color="000000"/>
              <w:right w:val="single" w:sz="4" w:space="0" w:color="000000"/>
            </w:tcBorders>
            <w:vAlign w:val="center"/>
          </w:tcPr>
          <w:p w14:paraId="2D945215" w14:textId="77777777" w:rsidR="00823138" w:rsidRPr="00B03E66" w:rsidRDefault="00A0477A">
            <w:pPr>
              <w:spacing w:after="0" w:line="259" w:lineRule="auto"/>
              <w:ind w:left="245" w:firstLine="0"/>
              <w:jc w:val="left"/>
              <w:rPr>
                <w:highlight w:val="yellow"/>
              </w:rPr>
            </w:pPr>
            <w:r w:rsidRPr="00B03E66">
              <w:rPr>
                <w:highlight w:val="yellow"/>
              </w:rPr>
              <w:t>163,440,000</w:t>
            </w:r>
          </w:p>
        </w:tc>
        <w:tc>
          <w:tcPr>
            <w:tcW w:w="994" w:type="dxa"/>
            <w:tcBorders>
              <w:top w:val="single" w:sz="4" w:space="0" w:color="000000"/>
              <w:left w:val="single" w:sz="4" w:space="0" w:color="000000"/>
              <w:bottom w:val="single" w:sz="4" w:space="0" w:color="000000"/>
              <w:right w:val="single" w:sz="4" w:space="0" w:color="000000"/>
            </w:tcBorders>
            <w:vAlign w:val="center"/>
          </w:tcPr>
          <w:p w14:paraId="2E1DC280" w14:textId="77777777" w:rsidR="00823138" w:rsidRPr="00B03E66" w:rsidRDefault="00A0477A">
            <w:pPr>
              <w:spacing w:after="0" w:line="259" w:lineRule="auto"/>
              <w:ind w:left="238" w:firstLine="0"/>
              <w:jc w:val="left"/>
              <w:rPr>
                <w:highlight w:val="yellow"/>
              </w:rPr>
            </w:pPr>
            <w:r w:rsidRPr="00B03E66">
              <w:rPr>
                <w:highlight w:val="yellow"/>
              </w:rPr>
              <w:t>3,599</w:t>
            </w:r>
          </w:p>
        </w:tc>
        <w:tc>
          <w:tcPr>
            <w:tcW w:w="1416" w:type="dxa"/>
            <w:tcBorders>
              <w:top w:val="single" w:sz="4" w:space="0" w:color="000000"/>
              <w:left w:val="single" w:sz="4" w:space="0" w:color="000000"/>
              <w:bottom w:val="single" w:sz="4" w:space="0" w:color="000000"/>
              <w:right w:val="single" w:sz="4" w:space="0" w:color="000000"/>
            </w:tcBorders>
            <w:vAlign w:val="center"/>
          </w:tcPr>
          <w:p w14:paraId="46BB7E4B" w14:textId="77777777" w:rsidR="00823138" w:rsidRPr="00B03E66" w:rsidRDefault="00A0477A">
            <w:pPr>
              <w:spacing w:after="0" w:line="259" w:lineRule="auto"/>
              <w:ind w:left="0" w:right="61" w:firstLine="0"/>
              <w:jc w:val="right"/>
              <w:rPr>
                <w:highlight w:val="yellow"/>
              </w:rPr>
            </w:pPr>
            <w:r w:rsidRPr="00B03E66">
              <w:rPr>
                <w:highlight w:val="yellow"/>
              </w:rPr>
              <w:t xml:space="preserve">53,985,000 </w:t>
            </w:r>
          </w:p>
        </w:tc>
        <w:tc>
          <w:tcPr>
            <w:tcW w:w="1079" w:type="dxa"/>
            <w:tcBorders>
              <w:top w:val="single" w:sz="4" w:space="0" w:color="000000"/>
              <w:left w:val="single" w:sz="4" w:space="0" w:color="000000"/>
              <w:bottom w:val="single" w:sz="4" w:space="0" w:color="000000"/>
              <w:right w:val="single" w:sz="4" w:space="0" w:color="000000"/>
            </w:tcBorders>
            <w:vAlign w:val="center"/>
          </w:tcPr>
          <w:p w14:paraId="21E8DC43" w14:textId="77777777" w:rsidR="00823138" w:rsidRPr="00B03E66" w:rsidRDefault="00A0477A">
            <w:pPr>
              <w:spacing w:after="0" w:line="259" w:lineRule="auto"/>
              <w:ind w:left="122" w:firstLine="0"/>
              <w:jc w:val="left"/>
              <w:rPr>
                <w:highlight w:val="yellow"/>
              </w:rPr>
            </w:pPr>
            <w:r w:rsidRPr="00B03E66">
              <w:rPr>
                <w:highlight w:val="yellow"/>
              </w:rPr>
              <w:t>75.17%</w:t>
            </w:r>
          </w:p>
        </w:tc>
      </w:tr>
      <w:tr w:rsidR="00823138" w14:paraId="258D5FB4" w14:textId="77777777">
        <w:trPr>
          <w:trHeight w:val="526"/>
        </w:trPr>
        <w:tc>
          <w:tcPr>
            <w:tcW w:w="1590" w:type="dxa"/>
            <w:tcBorders>
              <w:top w:val="single" w:sz="4" w:space="0" w:color="000000"/>
              <w:left w:val="single" w:sz="4" w:space="0" w:color="000000"/>
              <w:bottom w:val="single" w:sz="4" w:space="0" w:color="000000"/>
              <w:right w:val="single" w:sz="4" w:space="0" w:color="000000"/>
            </w:tcBorders>
            <w:vAlign w:val="center"/>
          </w:tcPr>
          <w:p w14:paraId="0546D45B" w14:textId="77777777" w:rsidR="00823138" w:rsidRPr="00B03E66" w:rsidRDefault="00A0477A">
            <w:pPr>
              <w:spacing w:after="0" w:line="259" w:lineRule="auto"/>
              <w:ind w:left="1" w:firstLine="0"/>
              <w:jc w:val="left"/>
              <w:rPr>
                <w:highlight w:val="yellow"/>
              </w:rPr>
            </w:pPr>
            <w:r w:rsidRPr="00B03E66">
              <w:rPr>
                <w:highlight w:val="yellow"/>
              </w:rPr>
              <w:t xml:space="preserve">Other  </w:t>
            </w:r>
          </w:p>
        </w:tc>
        <w:tc>
          <w:tcPr>
            <w:tcW w:w="1090" w:type="dxa"/>
            <w:tcBorders>
              <w:top w:val="single" w:sz="4" w:space="0" w:color="000000"/>
              <w:left w:val="single" w:sz="4" w:space="0" w:color="000000"/>
              <w:bottom w:val="single" w:sz="4" w:space="0" w:color="000000"/>
              <w:right w:val="single" w:sz="4" w:space="0" w:color="000000"/>
            </w:tcBorders>
            <w:vAlign w:val="center"/>
          </w:tcPr>
          <w:p w14:paraId="094D4AF4" w14:textId="77777777" w:rsidR="00823138" w:rsidRPr="00B03E66" w:rsidRDefault="00A0477A">
            <w:pPr>
              <w:spacing w:after="0" w:line="259" w:lineRule="auto"/>
              <w:ind w:left="0" w:right="61" w:firstLine="0"/>
              <w:jc w:val="right"/>
              <w:rPr>
                <w:highlight w:val="yellow"/>
              </w:rPr>
            </w:pPr>
            <w:r w:rsidRPr="00B03E66">
              <w:rPr>
                <w:highlight w:val="yellow"/>
              </w:rPr>
              <w:t xml:space="preserve">2,000 </w:t>
            </w:r>
          </w:p>
        </w:tc>
        <w:tc>
          <w:tcPr>
            <w:tcW w:w="1026" w:type="dxa"/>
            <w:tcBorders>
              <w:top w:val="single" w:sz="4" w:space="0" w:color="000000"/>
              <w:left w:val="single" w:sz="4" w:space="0" w:color="000000"/>
              <w:bottom w:val="single" w:sz="4" w:space="0" w:color="000000"/>
              <w:right w:val="single" w:sz="4" w:space="0" w:color="000000"/>
            </w:tcBorders>
            <w:vAlign w:val="center"/>
          </w:tcPr>
          <w:p w14:paraId="75412657" w14:textId="77777777" w:rsidR="00823138" w:rsidRPr="00B03E66" w:rsidRDefault="00A0477A">
            <w:pPr>
              <w:spacing w:after="0" w:line="259" w:lineRule="auto"/>
              <w:ind w:left="30" w:firstLine="0"/>
              <w:jc w:val="left"/>
              <w:rPr>
                <w:highlight w:val="yellow"/>
              </w:rPr>
            </w:pPr>
            <w:r w:rsidRPr="00B03E66">
              <w:rPr>
                <w:highlight w:val="yellow"/>
              </w:rPr>
              <w:t>161,412</w:t>
            </w:r>
          </w:p>
        </w:tc>
        <w:tc>
          <w:tcPr>
            <w:tcW w:w="1662" w:type="dxa"/>
            <w:tcBorders>
              <w:top w:val="single" w:sz="4" w:space="0" w:color="000000"/>
              <w:left w:val="single" w:sz="4" w:space="0" w:color="000000"/>
              <w:bottom w:val="single" w:sz="4" w:space="0" w:color="000000"/>
              <w:right w:val="single" w:sz="4" w:space="0" w:color="000000"/>
            </w:tcBorders>
            <w:vAlign w:val="center"/>
          </w:tcPr>
          <w:p w14:paraId="5F68BE2E" w14:textId="77777777" w:rsidR="00823138" w:rsidRPr="00B03E66" w:rsidRDefault="00A0477A">
            <w:pPr>
              <w:spacing w:after="0" w:line="259" w:lineRule="auto"/>
              <w:ind w:left="245" w:firstLine="0"/>
              <w:jc w:val="left"/>
              <w:rPr>
                <w:highlight w:val="yellow"/>
              </w:rPr>
            </w:pPr>
            <w:r w:rsidRPr="00B03E66">
              <w:rPr>
                <w:highlight w:val="yellow"/>
              </w:rPr>
              <w:t>322,824,000</w:t>
            </w:r>
          </w:p>
        </w:tc>
        <w:tc>
          <w:tcPr>
            <w:tcW w:w="994" w:type="dxa"/>
            <w:tcBorders>
              <w:top w:val="single" w:sz="4" w:space="0" w:color="000000"/>
              <w:left w:val="single" w:sz="4" w:space="0" w:color="000000"/>
              <w:bottom w:val="single" w:sz="4" w:space="0" w:color="000000"/>
              <w:right w:val="single" w:sz="4" w:space="0" w:color="000000"/>
            </w:tcBorders>
            <w:vAlign w:val="center"/>
          </w:tcPr>
          <w:p w14:paraId="5054DE2D" w14:textId="77777777" w:rsidR="00823138" w:rsidRPr="00B03E66" w:rsidRDefault="00A0477A">
            <w:pPr>
              <w:spacing w:after="0" w:line="259" w:lineRule="auto"/>
              <w:ind w:left="0" w:right="60" w:firstLine="0"/>
              <w:jc w:val="right"/>
              <w:rPr>
                <w:highlight w:val="yellow"/>
              </w:rPr>
            </w:pPr>
            <w:r w:rsidRPr="00B03E66">
              <w:rPr>
                <w:highlight w:val="yellow"/>
              </w:rPr>
              <w:t>24,883</w:t>
            </w:r>
          </w:p>
        </w:tc>
        <w:tc>
          <w:tcPr>
            <w:tcW w:w="1416" w:type="dxa"/>
            <w:tcBorders>
              <w:top w:val="single" w:sz="4" w:space="0" w:color="000000"/>
              <w:left w:val="single" w:sz="4" w:space="0" w:color="000000"/>
              <w:bottom w:val="single" w:sz="4" w:space="0" w:color="000000"/>
              <w:right w:val="single" w:sz="4" w:space="0" w:color="000000"/>
            </w:tcBorders>
            <w:vAlign w:val="center"/>
          </w:tcPr>
          <w:p w14:paraId="62DC3AAA" w14:textId="77777777" w:rsidR="00823138" w:rsidRPr="00B03E66" w:rsidRDefault="00A0477A">
            <w:pPr>
              <w:spacing w:after="0" w:line="259" w:lineRule="auto"/>
              <w:ind w:left="0" w:right="60" w:firstLine="0"/>
              <w:jc w:val="right"/>
              <w:rPr>
                <w:highlight w:val="yellow"/>
              </w:rPr>
            </w:pPr>
            <w:r w:rsidRPr="00B03E66">
              <w:rPr>
                <w:highlight w:val="yellow"/>
              </w:rPr>
              <w:t xml:space="preserve">49,766,000 </w:t>
            </w:r>
          </w:p>
        </w:tc>
        <w:tc>
          <w:tcPr>
            <w:tcW w:w="1079" w:type="dxa"/>
            <w:tcBorders>
              <w:top w:val="single" w:sz="4" w:space="0" w:color="000000"/>
              <w:left w:val="single" w:sz="4" w:space="0" w:color="000000"/>
              <w:bottom w:val="single" w:sz="4" w:space="0" w:color="000000"/>
              <w:right w:val="single" w:sz="4" w:space="0" w:color="000000"/>
            </w:tcBorders>
            <w:vAlign w:val="center"/>
          </w:tcPr>
          <w:p w14:paraId="35C36F30" w14:textId="77777777" w:rsidR="00823138" w:rsidRPr="00B03E66" w:rsidRDefault="00A0477A">
            <w:pPr>
              <w:spacing w:after="0" w:line="259" w:lineRule="auto"/>
              <w:ind w:left="123" w:firstLine="0"/>
              <w:jc w:val="left"/>
              <w:rPr>
                <w:highlight w:val="yellow"/>
              </w:rPr>
            </w:pPr>
            <w:r w:rsidRPr="00B03E66">
              <w:rPr>
                <w:highlight w:val="yellow"/>
              </w:rPr>
              <w:t>86.64%</w:t>
            </w:r>
          </w:p>
        </w:tc>
      </w:tr>
      <w:tr w:rsidR="00823138" w14:paraId="0213053D" w14:textId="77777777">
        <w:trPr>
          <w:trHeight w:val="527"/>
        </w:trPr>
        <w:tc>
          <w:tcPr>
            <w:tcW w:w="1590" w:type="dxa"/>
            <w:tcBorders>
              <w:top w:val="single" w:sz="4" w:space="0" w:color="000000"/>
              <w:left w:val="single" w:sz="4" w:space="0" w:color="000000"/>
              <w:bottom w:val="single" w:sz="4" w:space="0" w:color="000000"/>
              <w:right w:val="single" w:sz="4" w:space="0" w:color="000000"/>
            </w:tcBorders>
            <w:vAlign w:val="center"/>
          </w:tcPr>
          <w:p w14:paraId="3B9D3902" w14:textId="77777777" w:rsidR="00823138" w:rsidRPr="00B03E66" w:rsidRDefault="00A0477A">
            <w:pPr>
              <w:spacing w:after="0" w:line="259" w:lineRule="auto"/>
              <w:ind w:left="1" w:firstLine="0"/>
              <w:jc w:val="left"/>
              <w:rPr>
                <w:highlight w:val="yellow"/>
              </w:rPr>
            </w:pPr>
            <w:r w:rsidRPr="00B03E66">
              <w:rPr>
                <w:b/>
                <w:highlight w:val="yellow"/>
              </w:rPr>
              <w:t xml:space="preserve">All Diseases </w:t>
            </w:r>
          </w:p>
        </w:tc>
        <w:tc>
          <w:tcPr>
            <w:tcW w:w="1090" w:type="dxa"/>
            <w:tcBorders>
              <w:top w:val="single" w:sz="4" w:space="0" w:color="000000"/>
              <w:left w:val="single" w:sz="4" w:space="0" w:color="000000"/>
              <w:bottom w:val="single" w:sz="4" w:space="0" w:color="000000"/>
              <w:right w:val="single" w:sz="4" w:space="0" w:color="000000"/>
            </w:tcBorders>
            <w:vAlign w:val="center"/>
          </w:tcPr>
          <w:p w14:paraId="19A0D98C" w14:textId="77777777" w:rsidR="00823138" w:rsidRPr="00B03E66" w:rsidRDefault="00A0477A">
            <w:pPr>
              <w:spacing w:after="0" w:line="259" w:lineRule="auto"/>
              <w:ind w:left="0" w:right="2" w:firstLine="0"/>
              <w:jc w:val="right"/>
              <w:rPr>
                <w:highlight w:val="yellow"/>
              </w:rPr>
            </w:pPr>
            <w:r w:rsidRPr="00B03E66">
              <w:rPr>
                <w:b/>
                <w:highlight w:val="yellow"/>
              </w:rPr>
              <w:t xml:space="preserve"> </w:t>
            </w:r>
          </w:p>
        </w:tc>
        <w:tc>
          <w:tcPr>
            <w:tcW w:w="1026" w:type="dxa"/>
            <w:tcBorders>
              <w:top w:val="single" w:sz="4" w:space="0" w:color="000000"/>
              <w:left w:val="single" w:sz="4" w:space="0" w:color="000000"/>
              <w:bottom w:val="single" w:sz="4" w:space="0" w:color="000000"/>
              <w:right w:val="single" w:sz="4" w:space="0" w:color="000000"/>
            </w:tcBorders>
            <w:vAlign w:val="center"/>
          </w:tcPr>
          <w:p w14:paraId="4AC67ED7" w14:textId="77777777" w:rsidR="00823138" w:rsidRPr="00B03E66" w:rsidRDefault="00A0477A">
            <w:pPr>
              <w:spacing w:after="0" w:line="259" w:lineRule="auto"/>
              <w:ind w:left="29" w:firstLine="0"/>
              <w:jc w:val="left"/>
              <w:rPr>
                <w:highlight w:val="yellow"/>
              </w:rPr>
            </w:pPr>
            <w:r w:rsidRPr="00B03E66">
              <w:rPr>
                <w:b/>
                <w:highlight w:val="yellow"/>
              </w:rPr>
              <w:t>177,393</w:t>
            </w:r>
          </w:p>
        </w:tc>
        <w:tc>
          <w:tcPr>
            <w:tcW w:w="1662" w:type="dxa"/>
            <w:tcBorders>
              <w:top w:val="single" w:sz="4" w:space="0" w:color="000000"/>
              <w:left w:val="single" w:sz="4" w:space="0" w:color="000000"/>
              <w:bottom w:val="single" w:sz="4" w:space="0" w:color="000000"/>
              <w:right w:val="single" w:sz="4" w:space="0" w:color="000000"/>
            </w:tcBorders>
            <w:vAlign w:val="center"/>
          </w:tcPr>
          <w:p w14:paraId="3BFCD3AD" w14:textId="77777777" w:rsidR="00823138" w:rsidRPr="00B03E66" w:rsidRDefault="00A0477A">
            <w:pPr>
              <w:spacing w:after="0" w:line="259" w:lineRule="auto"/>
              <w:ind w:left="64" w:firstLine="0"/>
              <w:jc w:val="left"/>
              <w:rPr>
                <w:highlight w:val="yellow"/>
              </w:rPr>
            </w:pPr>
            <w:r w:rsidRPr="00B03E66">
              <w:rPr>
                <w:b/>
                <w:highlight w:val="yellow"/>
              </w:rPr>
              <w:t>1,630,389,000</w:t>
            </w:r>
          </w:p>
        </w:tc>
        <w:tc>
          <w:tcPr>
            <w:tcW w:w="994" w:type="dxa"/>
            <w:tcBorders>
              <w:top w:val="single" w:sz="4" w:space="0" w:color="000000"/>
              <w:left w:val="single" w:sz="4" w:space="0" w:color="000000"/>
              <w:bottom w:val="single" w:sz="4" w:space="0" w:color="000000"/>
              <w:right w:val="single" w:sz="4" w:space="0" w:color="000000"/>
            </w:tcBorders>
            <w:vAlign w:val="center"/>
          </w:tcPr>
          <w:p w14:paraId="6D5157F4" w14:textId="77777777" w:rsidR="00823138" w:rsidRPr="00B03E66" w:rsidRDefault="00A0477A">
            <w:pPr>
              <w:spacing w:after="0" w:line="259" w:lineRule="auto"/>
              <w:ind w:left="0" w:right="61" w:firstLine="0"/>
              <w:jc w:val="right"/>
              <w:rPr>
                <w:highlight w:val="yellow"/>
              </w:rPr>
            </w:pPr>
            <w:r w:rsidRPr="00B03E66">
              <w:rPr>
                <w:b/>
                <w:highlight w:val="yellow"/>
              </w:rPr>
              <w:t>30,704</w:t>
            </w:r>
          </w:p>
        </w:tc>
        <w:tc>
          <w:tcPr>
            <w:tcW w:w="1416" w:type="dxa"/>
            <w:tcBorders>
              <w:top w:val="single" w:sz="4" w:space="0" w:color="000000"/>
              <w:left w:val="single" w:sz="4" w:space="0" w:color="000000"/>
              <w:bottom w:val="single" w:sz="4" w:space="0" w:color="000000"/>
              <w:right w:val="single" w:sz="4" w:space="0" w:color="000000"/>
            </w:tcBorders>
            <w:vAlign w:val="center"/>
          </w:tcPr>
          <w:p w14:paraId="64A8301D" w14:textId="77777777" w:rsidR="00823138" w:rsidRPr="00B03E66" w:rsidRDefault="00A0477A">
            <w:pPr>
              <w:spacing w:after="0" w:line="259" w:lineRule="auto"/>
              <w:ind w:left="0" w:firstLine="0"/>
              <w:jc w:val="left"/>
              <w:rPr>
                <w:highlight w:val="yellow"/>
              </w:rPr>
            </w:pPr>
            <w:r w:rsidRPr="00B03E66">
              <w:rPr>
                <w:b/>
                <w:highlight w:val="yellow"/>
              </w:rPr>
              <w:t xml:space="preserve">603,701,000 </w:t>
            </w:r>
          </w:p>
        </w:tc>
        <w:tc>
          <w:tcPr>
            <w:tcW w:w="1079" w:type="dxa"/>
            <w:tcBorders>
              <w:top w:val="single" w:sz="4" w:space="0" w:color="000000"/>
              <w:left w:val="single" w:sz="4" w:space="0" w:color="000000"/>
              <w:bottom w:val="single" w:sz="4" w:space="0" w:color="000000"/>
              <w:right w:val="single" w:sz="4" w:space="0" w:color="000000"/>
            </w:tcBorders>
            <w:vAlign w:val="center"/>
          </w:tcPr>
          <w:p w14:paraId="234AA7C5" w14:textId="77777777" w:rsidR="00823138" w:rsidRPr="00B03E66" w:rsidRDefault="00A0477A">
            <w:pPr>
              <w:spacing w:after="0" w:line="259" w:lineRule="auto"/>
              <w:ind w:left="86" w:firstLine="0"/>
              <w:jc w:val="left"/>
              <w:rPr>
                <w:highlight w:val="yellow"/>
              </w:rPr>
            </w:pPr>
            <w:r w:rsidRPr="00B03E66">
              <w:rPr>
                <w:b/>
                <w:highlight w:val="yellow"/>
              </w:rPr>
              <w:t>72.98%</w:t>
            </w:r>
          </w:p>
        </w:tc>
      </w:tr>
    </w:tbl>
    <w:p w14:paraId="2EBCB261" w14:textId="77777777" w:rsidR="00823138" w:rsidRDefault="00A0477A">
      <w:pPr>
        <w:spacing w:after="175" w:line="476" w:lineRule="auto"/>
        <w:ind w:left="-15" w:firstLine="720"/>
      </w:pPr>
      <w:r>
        <w:lastRenderedPageBreak/>
        <w:t xml:space="preserve">Since the results are the same using $1.00 per vote or the TDP values, the use of the former is harmless error at most.  This conclusion also holds true if the Court estimates the Settling PI Claimants </w:t>
      </w:r>
      <w:proofErr w:type="gramStart"/>
      <w:r>
        <w:t>votes</w:t>
      </w:r>
      <w:proofErr w:type="gramEnd"/>
      <w:r>
        <w:t xml:space="preserve"> at 10% of their value, but for the opposite </w:t>
      </w:r>
    </w:p>
    <w:p w14:paraId="1813F614" w14:textId="77777777" w:rsidR="00823138" w:rsidRDefault="00A0477A">
      <w:pPr>
        <w:spacing w:after="0" w:line="259" w:lineRule="auto"/>
        <w:ind w:left="0" w:firstLine="0"/>
        <w:jc w:val="left"/>
      </w:pPr>
      <w:r>
        <w:rPr>
          <w:strike/>
        </w:rPr>
        <w:t xml:space="preserve">                                                </w:t>
      </w:r>
      <w:r>
        <w:t xml:space="preserve"> </w:t>
      </w:r>
    </w:p>
    <w:p w14:paraId="50D428A5" w14:textId="77777777" w:rsidR="00823138" w:rsidRDefault="00A0477A">
      <w:pPr>
        <w:spacing w:after="0" w:line="224" w:lineRule="auto"/>
        <w:ind w:left="-5" w:right="8468"/>
        <w:jc w:val="left"/>
      </w:pPr>
      <w:r>
        <w:rPr>
          <w:sz w:val="13"/>
        </w:rPr>
        <w:t>17</w:t>
      </w:r>
    </w:p>
    <w:p w14:paraId="76281170" w14:textId="77777777" w:rsidR="00823138" w:rsidRDefault="00A0477A">
      <w:pPr>
        <w:spacing w:after="5" w:line="248" w:lineRule="auto"/>
        <w:ind w:left="-15" w:firstLine="130"/>
      </w:pPr>
      <w:r>
        <w:rPr>
          <w:sz w:val="20"/>
        </w:rPr>
        <w:t xml:space="preserve">    As noted, the TDP listed seven disease types while the ballot listed only three.  According to Quigley, “Lung Cancer” subsumed “Lung Cancer 1” and “Lung Cancer 2” claims, and “Other” subsumed “Other Cancer,” “Severe Asbestosis,” “Asbestosis/Pleural Disease (Level II)” and “Asbestosis/Pleural Disease (Level I)” claims.  (</w:t>
      </w:r>
      <w:r>
        <w:rPr>
          <w:sz w:val="20"/>
          <w:u w:val="single" w:color="000000"/>
        </w:rPr>
        <w:t>Supplemental Vote Tabulation Memorandum</w:t>
      </w:r>
      <w:r>
        <w:rPr>
          <w:sz w:val="20"/>
        </w:rPr>
        <w:t xml:space="preserve">, at ¶ 33.)     The TDP schedules Lung Cancer I </w:t>
      </w:r>
      <w:proofErr w:type="gramStart"/>
      <w:r>
        <w:rPr>
          <w:sz w:val="20"/>
        </w:rPr>
        <w:t>claims</w:t>
      </w:r>
      <w:proofErr w:type="gramEnd"/>
      <w:r>
        <w:rPr>
          <w:sz w:val="20"/>
        </w:rPr>
        <w:t xml:space="preserve"> in the TDP </w:t>
      </w:r>
      <w:proofErr w:type="gramStart"/>
      <w:r>
        <w:rPr>
          <w:sz w:val="20"/>
        </w:rPr>
        <w:t>is</w:t>
      </w:r>
      <w:proofErr w:type="gramEnd"/>
      <w:r>
        <w:rPr>
          <w:sz w:val="20"/>
        </w:rPr>
        <w:t xml:space="preserve"> $35,000 and ascribed no value to Lung Cancer II.  In their papers, the parties estimated the value of the votes in class 4 using both the $15,000 value and the $35,000 value for Asbestos PI Claimants who indicated a claim stemming from Lung Cancer, and neither party has argued that this difference is material. (</w:t>
      </w:r>
      <w:r>
        <w:rPr>
          <w:sz w:val="20"/>
          <w:u w:val="single" w:color="000000"/>
        </w:rPr>
        <w:t>See</w:t>
      </w:r>
      <w:r>
        <w:rPr>
          <w:sz w:val="20"/>
        </w:rPr>
        <w:t xml:space="preserve"> </w:t>
      </w:r>
      <w:r>
        <w:rPr>
          <w:sz w:val="20"/>
          <w:u w:val="single" w:color="000000"/>
        </w:rPr>
        <w:t>Supplemental Vote Tabulation Memorandum</w:t>
      </w:r>
      <w:r>
        <w:rPr>
          <w:sz w:val="20"/>
        </w:rPr>
        <w:t xml:space="preserve">, at ¶ 36 n.8; </w:t>
      </w:r>
      <w:r>
        <w:rPr>
          <w:sz w:val="20"/>
          <w:u w:val="single" w:color="000000"/>
        </w:rPr>
        <w:t>Memorandum of the Ad-Hoc Committee</w:t>
      </w:r>
      <w:r>
        <w:rPr>
          <w:sz w:val="20"/>
        </w:rPr>
        <w:t xml:space="preserve">, at 15.)   </w:t>
      </w:r>
    </w:p>
    <w:p w14:paraId="7A31EB2C" w14:textId="77777777" w:rsidR="00823138" w:rsidRDefault="00A0477A">
      <w:pPr>
        <w:spacing w:after="0" w:line="224" w:lineRule="auto"/>
        <w:ind w:left="-5" w:right="8468"/>
        <w:jc w:val="left"/>
      </w:pPr>
      <w:r>
        <w:rPr>
          <w:sz w:val="20"/>
        </w:rPr>
        <w:t xml:space="preserve"> </w:t>
      </w:r>
      <w:r>
        <w:rPr>
          <w:sz w:val="13"/>
        </w:rPr>
        <w:t>18</w:t>
      </w:r>
    </w:p>
    <w:p w14:paraId="6817EFFE" w14:textId="77777777" w:rsidR="00823138" w:rsidRDefault="00A0477A" w:rsidP="00C44AA3">
      <w:pPr>
        <w:spacing w:after="0" w:line="248" w:lineRule="auto"/>
        <w:ind w:left="-15" w:firstLine="130"/>
      </w:pPr>
      <w:r>
        <w:rPr>
          <w:sz w:val="20"/>
        </w:rPr>
        <w:t xml:space="preserve">  The scheduled value of mesothelioma claims in the Disclosure Statement is $200,000, but both parties used $225,000 in their calculations. (</w:t>
      </w:r>
      <w:r>
        <w:rPr>
          <w:sz w:val="20"/>
          <w:u w:val="single" w:color="000000"/>
        </w:rPr>
        <w:t>See</w:t>
      </w:r>
      <w:r>
        <w:rPr>
          <w:sz w:val="20"/>
        </w:rPr>
        <w:t xml:space="preserve"> </w:t>
      </w:r>
      <w:r>
        <w:rPr>
          <w:sz w:val="20"/>
          <w:u w:val="single" w:color="000000"/>
        </w:rPr>
        <w:t>Supplemental Vote Tabulation Memorandum</w:t>
      </w:r>
      <w:r>
        <w:rPr>
          <w:sz w:val="20"/>
        </w:rPr>
        <w:t xml:space="preserve">, at ¶ 35; </w:t>
      </w:r>
      <w:r>
        <w:rPr>
          <w:sz w:val="20"/>
          <w:u w:val="single" w:color="000000"/>
        </w:rPr>
        <w:t>Memorandum of the Ad-Hoc Committee</w:t>
      </w:r>
      <w:r>
        <w:rPr>
          <w:sz w:val="20"/>
        </w:rPr>
        <w:t xml:space="preserve">, at 15.) </w:t>
      </w:r>
    </w:p>
    <w:p w14:paraId="795ECA99" w14:textId="77777777" w:rsidR="00823138" w:rsidRDefault="00A0477A" w:rsidP="00C44AA3">
      <w:pPr>
        <w:spacing w:after="0" w:line="259" w:lineRule="auto"/>
        <w:ind w:left="360" w:firstLine="0"/>
        <w:jc w:val="left"/>
      </w:pPr>
      <w:r>
        <w:rPr>
          <w:sz w:val="22"/>
        </w:rPr>
        <w:t xml:space="preserve"> </w:t>
      </w:r>
    </w:p>
    <w:p w14:paraId="448F3BEE" w14:textId="77777777" w:rsidR="00823138" w:rsidRDefault="00A0477A" w:rsidP="00C44AA3">
      <w:pPr>
        <w:spacing w:after="0" w:line="259" w:lineRule="auto"/>
        <w:ind w:left="0" w:firstLine="0"/>
        <w:jc w:val="left"/>
      </w:pPr>
      <w:r>
        <w:rPr>
          <w:sz w:val="20"/>
        </w:rPr>
        <w:t xml:space="preserve"> </w:t>
      </w:r>
    </w:p>
    <w:p w14:paraId="45FAE61D" w14:textId="77777777" w:rsidR="00823138" w:rsidRDefault="00A0477A" w:rsidP="00C44AA3">
      <w:pPr>
        <w:spacing w:after="0" w:line="265" w:lineRule="auto"/>
        <w:ind w:right="8"/>
        <w:jc w:val="center"/>
      </w:pPr>
      <w:r>
        <w:t>17</w:t>
      </w:r>
    </w:p>
    <w:p w14:paraId="455AB968" w14:textId="77777777" w:rsidR="00823138" w:rsidRDefault="00A0477A" w:rsidP="00C44AA3">
      <w:pPr>
        <w:spacing w:after="0" w:line="476" w:lineRule="auto"/>
        <w:ind w:left="-5"/>
      </w:pPr>
      <w:r>
        <w:t xml:space="preserve">reason.  Regardless of which methodology is used, the dilution by 90% will prevent the Plan from satisfying the two-thirds in amount requirement under 11 U.S.C. § 1126(c).  </w:t>
      </w:r>
    </w:p>
    <w:p w14:paraId="4487A093" w14:textId="77777777" w:rsidR="00823138" w:rsidRDefault="00A0477A">
      <w:pPr>
        <w:spacing w:after="519"/>
        <w:ind w:left="-5"/>
      </w:pPr>
      <w:r>
        <w:t xml:space="preserve">Accordingly, we turn to this issue. </w:t>
      </w:r>
    </w:p>
    <w:p w14:paraId="2228006B" w14:textId="77777777" w:rsidR="00823138" w:rsidRDefault="00A0477A">
      <w:pPr>
        <w:tabs>
          <w:tab w:val="center" w:pos="2131"/>
        </w:tabs>
        <w:spacing w:after="290" w:line="259" w:lineRule="auto"/>
        <w:ind w:left="-15" w:firstLine="0"/>
        <w:jc w:val="left"/>
      </w:pPr>
      <w:r>
        <w:rPr>
          <w:b/>
        </w:rPr>
        <w:t>D</w:t>
      </w:r>
      <w:proofErr w:type="gramStart"/>
      <w:r>
        <w:rPr>
          <w:b/>
        </w:rPr>
        <w:t xml:space="preserve">. </w:t>
      </w:r>
      <w:r>
        <w:rPr>
          <w:b/>
        </w:rPr>
        <w:tab/>
        <w:t>The</w:t>
      </w:r>
      <w:proofErr w:type="gramEnd"/>
      <w:r>
        <w:rPr>
          <w:b/>
        </w:rPr>
        <w:t xml:space="preserve"> Revised Voting Results </w:t>
      </w:r>
    </w:p>
    <w:p w14:paraId="73A4DA9D" w14:textId="77777777" w:rsidR="00823138" w:rsidRDefault="00A0477A">
      <w:pPr>
        <w:pStyle w:val="Heading3"/>
        <w:tabs>
          <w:tab w:val="center" w:pos="810"/>
          <w:tab w:val="center" w:pos="3498"/>
        </w:tabs>
        <w:ind w:left="-15" w:firstLine="0"/>
      </w:pPr>
      <w:r>
        <w:t xml:space="preserve"> </w:t>
      </w:r>
      <w:r>
        <w:tab/>
        <w:t>1</w:t>
      </w:r>
      <w:proofErr w:type="gramStart"/>
      <w:r>
        <w:t xml:space="preserve">. </w:t>
      </w:r>
      <w:r>
        <w:tab/>
        <w:t>The</w:t>
      </w:r>
      <w:proofErr w:type="gramEnd"/>
      <w:r>
        <w:t xml:space="preserve"> Rationale for Discounting the Votes </w:t>
      </w:r>
    </w:p>
    <w:p w14:paraId="1663BFC2" w14:textId="77777777" w:rsidR="00823138" w:rsidRDefault="00A0477A">
      <w:pPr>
        <w:spacing w:after="240" w:line="476" w:lineRule="auto"/>
        <w:ind w:left="-15" w:firstLine="720"/>
      </w:pPr>
      <w:r>
        <w:t xml:space="preserve">Each side argues strongly for or against the dilution of the Settling PI Claimants’ votes.  The Ad Hoc Committee contends that dilution of the Settling PI Claimants’ votes is mandated by </w:t>
      </w:r>
      <w:proofErr w:type="gramStart"/>
      <w:r>
        <w:rPr>
          <w:u w:val="single" w:color="000000"/>
        </w:rPr>
        <w:t>In</w:t>
      </w:r>
      <w:proofErr w:type="gramEnd"/>
      <w:r>
        <w:rPr>
          <w:u w:val="single" w:color="000000"/>
        </w:rPr>
        <w:t xml:space="preserve"> re Combustion Eng’g, Inc.</w:t>
      </w:r>
      <w:r>
        <w:t xml:space="preserve">, 391 F.3d 190 (3d Cir. 2004).  The Plan proponents maintain that the plain language of the Bankruptcy Code requires the opposite conclusion.   </w:t>
      </w:r>
    </w:p>
    <w:p w14:paraId="0BC03FBC" w14:textId="77777777" w:rsidR="00823138" w:rsidRDefault="00A0477A">
      <w:pPr>
        <w:spacing w:after="240" w:line="476" w:lineRule="auto"/>
        <w:ind w:left="-15" w:firstLine="720"/>
      </w:pPr>
      <w:r>
        <w:t xml:space="preserve">In </w:t>
      </w:r>
      <w:r>
        <w:rPr>
          <w:u w:val="single" w:color="000000"/>
        </w:rPr>
        <w:t>Combustion Engineering</w:t>
      </w:r>
      <w:r>
        <w:t xml:space="preserve">, the debtor </w:t>
      </w:r>
      <w:proofErr w:type="gramStart"/>
      <w:r>
        <w:t>entered into</w:t>
      </w:r>
      <w:proofErr w:type="gramEnd"/>
      <w:r>
        <w:t xml:space="preserve"> pre-petition settlements with its asbestos creditors as part of a pre-packaged bankruptcy plan.  Each settling claimant received between 37.5% and 95% of his claim. The debtor funded the settlement by </w:t>
      </w:r>
      <w:r>
        <w:lastRenderedPageBreak/>
        <w:t xml:space="preserve">transferring most of its assets to a pre-petition trust.  </w:t>
      </w:r>
      <w:r>
        <w:rPr>
          <w:u w:val="single" w:color="000000"/>
        </w:rPr>
        <w:t>Id.</w:t>
      </w:r>
      <w:r>
        <w:t xml:space="preserve"> </w:t>
      </w:r>
      <w:proofErr w:type="gramStart"/>
      <w:r>
        <w:t>at</w:t>
      </w:r>
      <w:proofErr w:type="gramEnd"/>
      <w:r>
        <w:t xml:space="preserve"> 204.  The settling claimants retained their claims for the balance, the so-called “stub claims,” which they could assert in the bankruptcy case.  </w:t>
      </w:r>
      <w:r>
        <w:rPr>
          <w:u w:val="single" w:color="000000"/>
        </w:rPr>
        <w:t>Id.</w:t>
      </w:r>
      <w:r>
        <w:t xml:space="preserve"> at 205.  The plan was overwhelmingly accepted, and </w:t>
      </w:r>
      <w:proofErr w:type="gramStart"/>
      <w:r>
        <w:t>the vast majority of</w:t>
      </w:r>
      <w:proofErr w:type="gramEnd"/>
      <w:r>
        <w:t xml:space="preserve"> the votes cast belonged to the stub claimants.  </w:t>
      </w:r>
      <w:r>
        <w:rPr>
          <w:u w:val="single" w:color="000000"/>
        </w:rPr>
        <w:t>See</w:t>
      </w:r>
      <w:r>
        <w:t xml:space="preserve"> </w:t>
      </w:r>
      <w:r>
        <w:rPr>
          <w:u w:val="single" w:color="000000"/>
        </w:rPr>
        <w:t>id.</w:t>
      </w:r>
      <w:r>
        <w:t xml:space="preserve"> at 208.   </w:t>
      </w:r>
    </w:p>
    <w:p w14:paraId="6959C2FF" w14:textId="77777777" w:rsidR="00823138" w:rsidRDefault="00A0477A" w:rsidP="00C44AA3">
      <w:pPr>
        <w:spacing w:after="0" w:line="476" w:lineRule="auto"/>
        <w:ind w:left="-15" w:firstLine="720"/>
      </w:pPr>
      <w:r>
        <w:t xml:space="preserve">Although the lower courts confirmed the plan, the Third Circuit Court of Appeals reversed and remanded, raising substantial issues regarding the pre-petition settlements and the stub claims.  The transfer to the pre-petition trust, and the trust payments to the stub claimants, may have been voidable preferences, </w:t>
      </w:r>
      <w:r>
        <w:rPr>
          <w:u w:val="single" w:color="000000"/>
        </w:rPr>
        <w:t>id.</w:t>
      </w:r>
      <w:r>
        <w:t xml:space="preserve"> at </w:t>
      </w:r>
      <w:proofErr w:type="gramStart"/>
      <w:r>
        <w:t>240, and</w:t>
      </w:r>
      <w:proofErr w:type="gramEnd"/>
      <w:r>
        <w:t xml:space="preserve"> violated the principle of equality of distribution among creditors.  </w:t>
      </w:r>
      <w:r>
        <w:rPr>
          <w:u w:val="single" w:color="000000"/>
        </w:rPr>
        <w:t>Id.</w:t>
      </w:r>
      <w:r>
        <w:t xml:space="preserve"> at 241-42.  The plan may have </w:t>
      </w:r>
      <w:proofErr w:type="gramStart"/>
      <w:r>
        <w:t>treated</w:t>
      </w:r>
      <w:proofErr w:type="gramEnd"/>
      <w:r>
        <w:t xml:space="preserve"> </w:t>
      </w:r>
    </w:p>
    <w:p w14:paraId="339A9737" w14:textId="77777777" w:rsidR="00823138" w:rsidRDefault="00A0477A" w:rsidP="00C44AA3">
      <w:pPr>
        <w:spacing w:after="0" w:line="265" w:lineRule="auto"/>
        <w:ind w:right="8"/>
        <w:jc w:val="center"/>
      </w:pPr>
      <w:r>
        <w:t>18</w:t>
      </w:r>
    </w:p>
    <w:p w14:paraId="4CA7E602" w14:textId="77777777" w:rsidR="00823138" w:rsidRDefault="00A0477A" w:rsidP="00C44AA3">
      <w:pPr>
        <w:spacing w:after="0" w:line="476" w:lineRule="auto"/>
        <w:ind w:left="-5"/>
      </w:pPr>
      <w:proofErr w:type="gramStart"/>
      <w:r>
        <w:t>particular groups</w:t>
      </w:r>
      <w:proofErr w:type="gramEnd"/>
      <w:r>
        <w:t xml:space="preserve"> of claimants unfairly, and the lower courts had not evaluated the overall fairness of the plan from the perspective of settling versus non-settling claimants.  </w:t>
      </w:r>
      <w:r>
        <w:rPr>
          <w:u w:val="single" w:color="000000"/>
        </w:rPr>
        <w:t>Id.</w:t>
      </w:r>
      <w:r>
        <w:t xml:space="preserve"> at 242.  The creation of the stub claims may have constituted artificial impairment and manipulated the voting.  </w:t>
      </w:r>
      <w:r>
        <w:rPr>
          <w:u w:val="single" w:color="000000"/>
        </w:rPr>
        <w:t>Id.</w:t>
      </w:r>
      <w:r>
        <w:t xml:space="preserve"> at 244-45.  Finally, the creation of stub claims implicated concerns about the debtor’s good faith.  </w:t>
      </w:r>
      <w:r>
        <w:rPr>
          <w:u w:val="single" w:color="000000"/>
        </w:rPr>
        <w:t>Id.</w:t>
      </w:r>
      <w:r>
        <w:t xml:space="preserve"> at 247.    </w:t>
      </w:r>
    </w:p>
    <w:p w14:paraId="602FAA13" w14:textId="77777777" w:rsidR="00823138" w:rsidRDefault="00A0477A">
      <w:pPr>
        <w:spacing w:after="252" w:line="259" w:lineRule="auto"/>
        <w:ind w:right="-8"/>
        <w:jc w:val="right"/>
      </w:pPr>
      <w:r>
        <w:rPr>
          <w:u w:val="single" w:color="000000"/>
        </w:rPr>
        <w:t>Combustion Engineering</w:t>
      </w:r>
      <w:r>
        <w:t xml:space="preserve"> is distinguishable from this case.  In </w:t>
      </w:r>
      <w:r>
        <w:rPr>
          <w:u w:val="single" w:color="000000"/>
        </w:rPr>
        <w:t>Combustion</w:t>
      </w:r>
      <w:r>
        <w:t xml:space="preserve"> </w:t>
      </w:r>
    </w:p>
    <w:p w14:paraId="1F9C8275" w14:textId="77777777" w:rsidR="00823138" w:rsidRDefault="00A0477A">
      <w:pPr>
        <w:spacing w:after="239" w:line="476" w:lineRule="auto"/>
        <w:ind w:left="-5"/>
      </w:pPr>
      <w:r>
        <w:rPr>
          <w:u w:val="single" w:color="000000"/>
        </w:rPr>
        <w:t>Engineering</w:t>
      </w:r>
      <w:r>
        <w:t xml:space="preserve">, the debtor used its own assets to pay settling claimants, arguably “preferring” the settling claimants but certainly diminishing what remained for those who chose not to settle.  Here, Pfizer used its own funds to settle.  There are no preferential transfers.  In addition, the amount of assets available to all creditors is more rather than less </w:t>
      </w:r>
      <w:proofErr w:type="gramStart"/>
      <w:r>
        <w:t>as a result of</w:t>
      </w:r>
      <w:proofErr w:type="gramEnd"/>
      <w:r>
        <w:t xml:space="preserve"> the settlements.  Accordingly, the settlement will not reduce the distribution that those parties, who chose for their own reasons not to settle, wi</w:t>
      </w:r>
      <w:r>
        <w:t xml:space="preserve">ll receive under the Plan.   </w:t>
      </w:r>
    </w:p>
    <w:p w14:paraId="52457707" w14:textId="77777777" w:rsidR="00823138" w:rsidRDefault="00A0477A" w:rsidP="00C44AA3">
      <w:pPr>
        <w:spacing w:after="0" w:line="476" w:lineRule="auto"/>
        <w:ind w:left="-15" w:firstLine="720"/>
      </w:pPr>
      <w:r>
        <w:t xml:space="preserve">Moreover, many of the problems in </w:t>
      </w:r>
      <w:r>
        <w:rPr>
          <w:u w:val="single" w:color="000000"/>
        </w:rPr>
        <w:t>Combustion Engineering</w:t>
      </w:r>
      <w:r>
        <w:t xml:space="preserve"> turned on the failure to develop a sufficient factual record, or make factual findings, regarding discrimination, </w:t>
      </w:r>
      <w:r>
        <w:lastRenderedPageBreak/>
        <w:t xml:space="preserve">good faith, artificial impairment and vote manipulation.  Here, the Court has not yet conducted the confirmation hearing.  It has advised all sides in this case that these factual issues, and their potential impact on the voting, are reserved for the confirmation hearing.  The only question, at this point, is whether the Court should discount the Settling PI </w:t>
      </w:r>
      <w:proofErr w:type="gramStart"/>
      <w:r>
        <w:t>Claimants</w:t>
      </w:r>
      <w:proofErr w:type="gramEnd"/>
      <w:r>
        <w:t xml:space="preserve"> votes regardless of the Pl</w:t>
      </w:r>
      <w:r>
        <w:t xml:space="preserve">an proponents’ good or bad faith, or the other concerns identified by the Third Circuit.  Accordingly, </w:t>
      </w:r>
      <w:r>
        <w:rPr>
          <w:u w:val="single" w:color="000000"/>
        </w:rPr>
        <w:t>Combustion Engineering</w:t>
      </w:r>
      <w:r>
        <w:t xml:space="preserve"> does not mandate discounting their votes by 90%. </w:t>
      </w:r>
    </w:p>
    <w:p w14:paraId="4DF42E0B" w14:textId="77777777" w:rsidR="00823138" w:rsidRDefault="00A0477A" w:rsidP="00C44AA3">
      <w:pPr>
        <w:spacing w:after="0" w:line="265" w:lineRule="auto"/>
        <w:ind w:right="8"/>
        <w:jc w:val="center"/>
      </w:pPr>
      <w:r>
        <w:t>19</w:t>
      </w:r>
    </w:p>
    <w:p w14:paraId="2B97486B" w14:textId="77777777" w:rsidR="00823138" w:rsidRDefault="00A0477A" w:rsidP="00C44AA3">
      <w:pPr>
        <w:spacing w:after="0" w:line="476" w:lineRule="auto"/>
        <w:ind w:left="-15" w:firstLine="720"/>
      </w:pPr>
      <w:r>
        <w:t xml:space="preserve">Nor does the language of the Bankruptcy Code call for the opposite result.  Pfizer and Quigley argue that diluting the Settling PI Claimants’ votes would be contrary to several of its provisions.  Section 1126(c), they assert, imposes a “mechanical test” under which each creditor is entitled to vote its “allowed” claim.  The only exception is </w:t>
      </w:r>
    </w:p>
    <w:p w14:paraId="65C20457" w14:textId="77777777" w:rsidR="00823138" w:rsidRDefault="00A0477A">
      <w:pPr>
        <w:spacing w:after="240" w:line="476" w:lineRule="auto"/>
        <w:ind w:left="-5"/>
      </w:pPr>
      <w:r>
        <w:t>“designation” under 11 U.S.C. § 1126(e), and designation requires a finding of bad faith.  Moreover, § 1123(a)(4) requires a plan to provide the same treatment for each member of a class, unless the holder of the claim or interest agrees to less favorable treatment.  It does not, however, insist that the creditor who voluntarily agrees to accept less favorable treatment accept a corresponding reduction in its vote.  By agreeing to take less, the Settling PI Claimants essentially agreed to less favorable tre</w:t>
      </w:r>
      <w:r>
        <w:t xml:space="preserve">atment under this Plan. </w:t>
      </w:r>
    </w:p>
    <w:p w14:paraId="5F2D64C8" w14:textId="77777777" w:rsidR="00823138" w:rsidRDefault="00A0477A">
      <w:pPr>
        <w:spacing w:after="240" w:line="476" w:lineRule="auto"/>
        <w:ind w:left="-15" w:firstLine="720"/>
      </w:pPr>
      <w:r>
        <w:t xml:space="preserve">The argument misstates the question.  An Asbestos PI Claimant does not hold an allowed claim unless he filed a claim, and with few exceptions, the record does not reflect that any did.  In fact, the bar date order told them they should not.  Consequently, the current exercise involves an attempt to estimate the value of each Asbestos PI Claim for voting purposes.  The question now posed is simply whether the Court should consider the Settling PI Claimants’ concession of 90% of their claims under the Pfizer </w:t>
      </w:r>
      <w:r>
        <w:t xml:space="preserve">settlement in estimating the value of their claims for voting purposes. </w:t>
      </w:r>
    </w:p>
    <w:p w14:paraId="6B802B10" w14:textId="77777777" w:rsidR="00823138" w:rsidRDefault="00A0477A" w:rsidP="00C44AA3">
      <w:pPr>
        <w:spacing w:after="0" w:line="476" w:lineRule="auto"/>
        <w:ind w:left="-15" w:firstLine="720"/>
      </w:pPr>
      <w:r>
        <w:lastRenderedPageBreak/>
        <w:t xml:space="preserve">The Court concludes that it should.  The factor is relevant because it ensures voting power that is commensurate with the Settling PI Claimants’ economic interests and the economic realities of the case.  </w:t>
      </w:r>
      <w:r>
        <w:rPr>
          <w:u w:val="single" w:color="000000"/>
        </w:rPr>
        <w:t>Enron</w:t>
      </w:r>
      <w:r>
        <w:t xml:space="preserve">, 2004 WL 2434928, at *5.  This does not mean that a creditor must always reduce the amount of its claim as the result of a </w:t>
      </w:r>
      <w:proofErr w:type="gramStart"/>
      <w:r>
        <w:t>third party</w:t>
      </w:r>
      <w:proofErr w:type="gramEnd"/>
      <w:r>
        <w:t xml:space="preserve"> payment.  But the Settling PI Claimants contractually agreed to reduce their recoveries in this </w:t>
      </w:r>
      <w:proofErr w:type="gramStart"/>
      <w:r>
        <w:t>case, and</w:t>
      </w:r>
      <w:proofErr w:type="gramEnd"/>
      <w:r>
        <w:t xml:space="preserve"> intentionally conferred a benefit on the Quigley estate.  Under </w:t>
      </w:r>
    </w:p>
    <w:p w14:paraId="2F00FFEC" w14:textId="77777777" w:rsidR="00823138" w:rsidRDefault="00A0477A" w:rsidP="00C44AA3">
      <w:pPr>
        <w:spacing w:after="0" w:line="265" w:lineRule="auto"/>
        <w:ind w:right="8"/>
        <w:jc w:val="center"/>
      </w:pPr>
      <w:r>
        <w:t>20</w:t>
      </w:r>
    </w:p>
    <w:p w14:paraId="5466C4FE" w14:textId="77777777" w:rsidR="00823138" w:rsidRDefault="00A0477A" w:rsidP="00C44AA3">
      <w:pPr>
        <w:spacing w:after="0" w:line="476" w:lineRule="auto"/>
        <w:ind w:left="-5"/>
      </w:pPr>
      <w:proofErr w:type="gramStart"/>
      <w:r>
        <w:t>the</w:t>
      </w:r>
      <w:proofErr w:type="gramEnd"/>
      <w:r>
        <w:t xml:space="preserve"> Pfizer settlement, which is essentially a class settlement, Settling PI Claimants agreed, for good and valuable consideration, to accept 10% of the liquidated value of their claims against the Trust.  If the Settling PI Claimants held liquidated </w:t>
      </w:r>
      <w:proofErr w:type="gramStart"/>
      <w:r>
        <w:t>claims, and</w:t>
      </w:r>
      <w:proofErr w:type="gramEnd"/>
      <w:r>
        <w:t xml:space="preserve"> agreed as part of a settlement to take 10%, their allowed claims, and hence, their </w:t>
      </w:r>
      <w:proofErr w:type="gramStart"/>
      <w:r>
        <w:t>votes,</w:t>
      </w:r>
      <w:proofErr w:type="gramEnd"/>
      <w:r>
        <w:t xml:space="preserve"> would be reduced to the settlement amount. </w:t>
      </w:r>
    </w:p>
    <w:p w14:paraId="05A03053" w14:textId="77777777" w:rsidR="00823138" w:rsidRDefault="00A0477A">
      <w:pPr>
        <w:spacing w:after="272" w:line="476" w:lineRule="auto"/>
        <w:ind w:left="-15" w:firstLine="720"/>
      </w:pPr>
      <w:r>
        <w:t xml:space="preserve">Here, Settling PI Claims are unliquidated, and the settling parties cannot fix that amount today.  Instead, the Settling PI Claimants did the next best thing.  They agreed that whenever their claims are liquidated by the Trust, they will accept 10% of that amount.  There is no reason to treat this settlement differently from the settlement of a liquidated amount. </w:t>
      </w:r>
    </w:p>
    <w:p w14:paraId="6D6A90C7" w14:textId="77777777" w:rsidR="00823138" w:rsidRDefault="00A0477A">
      <w:pPr>
        <w:pStyle w:val="Heading3"/>
        <w:tabs>
          <w:tab w:val="center" w:pos="810"/>
          <w:tab w:val="center" w:pos="3495"/>
        </w:tabs>
        <w:ind w:left="0" w:firstLine="0"/>
      </w:pPr>
      <w:r>
        <w:rPr>
          <w:rFonts w:ascii="Calibri" w:eastAsia="Calibri" w:hAnsi="Calibri" w:cs="Calibri"/>
          <w:b w:val="0"/>
          <w:sz w:val="22"/>
        </w:rPr>
        <w:tab/>
      </w:r>
      <w:r>
        <w:t>2</w:t>
      </w:r>
      <w:proofErr w:type="gramStart"/>
      <w:r>
        <w:t xml:space="preserve">. </w:t>
      </w:r>
      <w:r>
        <w:tab/>
        <w:t>The</w:t>
      </w:r>
      <w:proofErr w:type="gramEnd"/>
      <w:r>
        <w:t xml:space="preserve"> Results of the Voting After Dilution </w:t>
      </w:r>
    </w:p>
    <w:p w14:paraId="2C411E13" w14:textId="77777777" w:rsidR="00823138" w:rsidRDefault="00A0477A">
      <w:pPr>
        <w:spacing w:after="219"/>
        <w:ind w:left="-15" w:firstLine="720"/>
      </w:pPr>
      <w:r>
        <w:t>After discounting the Settling PI Claimants’ votes by 90%, the Class 4 vote is insufficient to meet the requirement for acceptance.  The following chart reflects the voting results under the $1.00 per vote method prior to any dilution, and divides the claimants between those who settled and those who did not (</w:t>
      </w:r>
      <w:r>
        <w:rPr>
          <w:u w:val="single" w:color="000000"/>
        </w:rPr>
        <w:t>see</w:t>
      </w:r>
      <w:r>
        <w:t xml:space="preserve"> </w:t>
      </w:r>
      <w:r>
        <w:rPr>
          <w:u w:val="single" w:color="000000"/>
        </w:rPr>
        <w:t>Certification</w:t>
      </w:r>
      <w:r>
        <w:t xml:space="preserve">, Ex. C-2): </w:t>
      </w:r>
    </w:p>
    <w:tbl>
      <w:tblPr>
        <w:tblStyle w:val="TableGrid"/>
        <w:tblW w:w="7920" w:type="dxa"/>
        <w:tblInd w:w="540" w:type="dxa"/>
        <w:tblCellMar>
          <w:top w:w="48" w:type="dxa"/>
          <w:left w:w="115" w:type="dxa"/>
          <w:bottom w:w="0" w:type="dxa"/>
          <w:right w:w="53" w:type="dxa"/>
        </w:tblCellMar>
        <w:tblLook w:val="04A0" w:firstRow="1" w:lastRow="0" w:firstColumn="1" w:lastColumn="0" w:noHBand="0" w:noVBand="1"/>
      </w:tblPr>
      <w:tblGrid>
        <w:gridCol w:w="1800"/>
        <w:gridCol w:w="1620"/>
        <w:gridCol w:w="1620"/>
        <w:gridCol w:w="1460"/>
        <w:gridCol w:w="1420"/>
      </w:tblGrid>
      <w:tr w:rsidR="00823138" w14:paraId="1AAFB76E" w14:textId="77777777">
        <w:trPr>
          <w:trHeight w:val="516"/>
        </w:trPr>
        <w:tc>
          <w:tcPr>
            <w:tcW w:w="1800" w:type="dxa"/>
            <w:tcBorders>
              <w:top w:val="single" w:sz="4" w:space="0" w:color="000000"/>
              <w:left w:val="single" w:sz="4" w:space="0" w:color="000000"/>
              <w:bottom w:val="single" w:sz="4" w:space="0" w:color="000000"/>
              <w:right w:val="single" w:sz="4" w:space="0" w:color="000000"/>
            </w:tcBorders>
          </w:tcPr>
          <w:p w14:paraId="592B9B70" w14:textId="77777777" w:rsidR="00823138" w:rsidRDefault="00A0477A">
            <w:pPr>
              <w:spacing w:after="0" w:line="259" w:lineRule="auto"/>
              <w:ind w:left="0" w:right="63" w:firstLine="0"/>
              <w:jc w:val="center"/>
            </w:pPr>
            <w:r>
              <w:rPr>
                <w:b/>
                <w:sz w:val="22"/>
              </w:rPr>
              <w:t xml:space="preserve">Claimants </w:t>
            </w:r>
          </w:p>
        </w:tc>
        <w:tc>
          <w:tcPr>
            <w:tcW w:w="1620" w:type="dxa"/>
            <w:tcBorders>
              <w:top w:val="single" w:sz="4" w:space="0" w:color="000000"/>
              <w:left w:val="single" w:sz="4" w:space="0" w:color="000000"/>
              <w:bottom w:val="single" w:sz="4" w:space="0" w:color="000000"/>
              <w:right w:val="single" w:sz="4" w:space="0" w:color="000000"/>
            </w:tcBorders>
          </w:tcPr>
          <w:p w14:paraId="78F6FE09" w14:textId="77777777" w:rsidR="00823138" w:rsidRDefault="00A0477A">
            <w:pPr>
              <w:spacing w:after="0" w:line="259" w:lineRule="auto"/>
              <w:ind w:left="0" w:right="64" w:firstLine="0"/>
              <w:jc w:val="center"/>
            </w:pPr>
            <w:r>
              <w:rPr>
                <w:b/>
                <w:sz w:val="22"/>
              </w:rPr>
              <w:t xml:space="preserve">Accepting </w:t>
            </w:r>
          </w:p>
        </w:tc>
        <w:tc>
          <w:tcPr>
            <w:tcW w:w="1620" w:type="dxa"/>
            <w:tcBorders>
              <w:top w:val="single" w:sz="4" w:space="0" w:color="000000"/>
              <w:left w:val="single" w:sz="4" w:space="0" w:color="000000"/>
              <w:bottom w:val="single" w:sz="4" w:space="0" w:color="000000"/>
              <w:right w:val="single" w:sz="4" w:space="0" w:color="000000"/>
            </w:tcBorders>
          </w:tcPr>
          <w:p w14:paraId="367CA41E" w14:textId="77777777" w:rsidR="00823138" w:rsidRDefault="00A0477A">
            <w:pPr>
              <w:spacing w:after="0" w:line="259" w:lineRule="auto"/>
              <w:ind w:left="0" w:right="62" w:firstLine="0"/>
              <w:jc w:val="center"/>
            </w:pPr>
            <w:r>
              <w:rPr>
                <w:b/>
                <w:sz w:val="22"/>
              </w:rPr>
              <w:t xml:space="preserve">Rejecting </w:t>
            </w:r>
          </w:p>
        </w:tc>
        <w:tc>
          <w:tcPr>
            <w:tcW w:w="1460" w:type="dxa"/>
            <w:tcBorders>
              <w:top w:val="single" w:sz="4" w:space="0" w:color="000000"/>
              <w:left w:val="single" w:sz="4" w:space="0" w:color="000000"/>
              <w:bottom w:val="single" w:sz="4" w:space="0" w:color="000000"/>
              <w:right w:val="single" w:sz="4" w:space="0" w:color="000000"/>
            </w:tcBorders>
          </w:tcPr>
          <w:p w14:paraId="66B0EEAF" w14:textId="77777777" w:rsidR="00823138" w:rsidRDefault="00A0477A">
            <w:pPr>
              <w:spacing w:after="0" w:line="259" w:lineRule="auto"/>
              <w:ind w:left="0" w:firstLine="0"/>
              <w:jc w:val="center"/>
            </w:pPr>
            <w:r>
              <w:rPr>
                <w:b/>
                <w:sz w:val="22"/>
              </w:rPr>
              <w:t xml:space="preserve">Percentage Accepting </w:t>
            </w:r>
          </w:p>
        </w:tc>
        <w:tc>
          <w:tcPr>
            <w:tcW w:w="1420" w:type="dxa"/>
            <w:tcBorders>
              <w:top w:val="single" w:sz="4" w:space="0" w:color="000000"/>
              <w:left w:val="single" w:sz="4" w:space="0" w:color="000000"/>
              <w:bottom w:val="single" w:sz="4" w:space="0" w:color="000000"/>
              <w:right w:val="single" w:sz="4" w:space="0" w:color="000000"/>
            </w:tcBorders>
          </w:tcPr>
          <w:p w14:paraId="2CC19CF9" w14:textId="77777777" w:rsidR="00823138" w:rsidRDefault="00A0477A">
            <w:pPr>
              <w:spacing w:after="0" w:line="259" w:lineRule="auto"/>
              <w:ind w:left="0" w:firstLine="0"/>
              <w:jc w:val="center"/>
            </w:pPr>
            <w:r>
              <w:rPr>
                <w:b/>
                <w:sz w:val="22"/>
              </w:rPr>
              <w:t xml:space="preserve">Percentage Rejecting </w:t>
            </w:r>
          </w:p>
        </w:tc>
      </w:tr>
      <w:tr w:rsidR="00823138" w14:paraId="76ECB22D" w14:textId="77777777">
        <w:trPr>
          <w:trHeight w:val="516"/>
        </w:trPr>
        <w:tc>
          <w:tcPr>
            <w:tcW w:w="1800" w:type="dxa"/>
            <w:tcBorders>
              <w:top w:val="single" w:sz="4" w:space="0" w:color="000000"/>
              <w:left w:val="single" w:sz="4" w:space="0" w:color="000000"/>
              <w:bottom w:val="single" w:sz="4" w:space="0" w:color="000000"/>
              <w:right w:val="single" w:sz="4" w:space="0" w:color="000000"/>
            </w:tcBorders>
          </w:tcPr>
          <w:p w14:paraId="621CA890" w14:textId="77777777" w:rsidR="00823138" w:rsidRDefault="00A0477A">
            <w:pPr>
              <w:spacing w:after="0" w:line="259" w:lineRule="auto"/>
              <w:ind w:left="0" w:firstLine="0"/>
              <w:jc w:val="center"/>
            </w:pPr>
            <w:r>
              <w:rPr>
                <w:sz w:val="22"/>
              </w:rPr>
              <w:t xml:space="preserve">Settling PI Claimants </w:t>
            </w:r>
          </w:p>
        </w:tc>
        <w:tc>
          <w:tcPr>
            <w:tcW w:w="1620" w:type="dxa"/>
            <w:tcBorders>
              <w:top w:val="single" w:sz="4" w:space="0" w:color="000000"/>
              <w:left w:val="single" w:sz="4" w:space="0" w:color="000000"/>
              <w:bottom w:val="single" w:sz="4" w:space="0" w:color="000000"/>
              <w:right w:val="single" w:sz="4" w:space="0" w:color="000000"/>
            </w:tcBorders>
          </w:tcPr>
          <w:p w14:paraId="007B7F99" w14:textId="77777777" w:rsidR="00823138" w:rsidRDefault="00A0477A">
            <w:pPr>
              <w:spacing w:after="0" w:line="259" w:lineRule="auto"/>
              <w:ind w:left="0" w:right="56" w:firstLine="0"/>
              <w:jc w:val="right"/>
            </w:pPr>
            <w:r>
              <w:rPr>
                <w:sz w:val="22"/>
              </w:rPr>
              <w:t>140,593</w:t>
            </w:r>
          </w:p>
        </w:tc>
        <w:tc>
          <w:tcPr>
            <w:tcW w:w="1620" w:type="dxa"/>
            <w:tcBorders>
              <w:top w:val="single" w:sz="4" w:space="0" w:color="000000"/>
              <w:left w:val="single" w:sz="4" w:space="0" w:color="000000"/>
              <w:bottom w:val="single" w:sz="4" w:space="0" w:color="000000"/>
              <w:right w:val="single" w:sz="4" w:space="0" w:color="000000"/>
            </w:tcBorders>
          </w:tcPr>
          <w:p w14:paraId="1CDAB78C" w14:textId="77777777" w:rsidR="00823138" w:rsidRDefault="00A0477A">
            <w:pPr>
              <w:spacing w:after="0" w:line="259" w:lineRule="auto"/>
              <w:ind w:left="0" w:right="56" w:firstLine="0"/>
              <w:jc w:val="right"/>
            </w:pPr>
            <w:r>
              <w:rPr>
                <w:sz w:val="22"/>
              </w:rPr>
              <w:t>4,233</w:t>
            </w:r>
          </w:p>
        </w:tc>
        <w:tc>
          <w:tcPr>
            <w:tcW w:w="1460" w:type="dxa"/>
            <w:tcBorders>
              <w:top w:val="single" w:sz="4" w:space="0" w:color="000000"/>
              <w:left w:val="single" w:sz="4" w:space="0" w:color="000000"/>
              <w:bottom w:val="single" w:sz="4" w:space="0" w:color="000000"/>
              <w:right w:val="single" w:sz="4" w:space="0" w:color="000000"/>
            </w:tcBorders>
          </w:tcPr>
          <w:p w14:paraId="0DC03AB9" w14:textId="77777777" w:rsidR="00823138" w:rsidRDefault="00A0477A">
            <w:pPr>
              <w:spacing w:after="0" w:line="259" w:lineRule="auto"/>
              <w:ind w:left="0" w:right="55" w:firstLine="0"/>
              <w:jc w:val="right"/>
            </w:pPr>
            <w:r>
              <w:rPr>
                <w:sz w:val="22"/>
              </w:rPr>
              <w:t xml:space="preserve">97% </w:t>
            </w:r>
          </w:p>
        </w:tc>
        <w:tc>
          <w:tcPr>
            <w:tcW w:w="1420" w:type="dxa"/>
            <w:tcBorders>
              <w:top w:val="single" w:sz="4" w:space="0" w:color="000000"/>
              <w:left w:val="single" w:sz="4" w:space="0" w:color="000000"/>
              <w:bottom w:val="single" w:sz="4" w:space="0" w:color="000000"/>
              <w:right w:val="single" w:sz="4" w:space="0" w:color="000000"/>
            </w:tcBorders>
          </w:tcPr>
          <w:p w14:paraId="2299876A" w14:textId="77777777" w:rsidR="00823138" w:rsidRDefault="00A0477A">
            <w:pPr>
              <w:spacing w:after="0" w:line="259" w:lineRule="auto"/>
              <w:ind w:left="0" w:right="55" w:firstLine="0"/>
              <w:jc w:val="right"/>
            </w:pPr>
            <w:r>
              <w:rPr>
                <w:sz w:val="22"/>
              </w:rPr>
              <w:t>3%</w:t>
            </w:r>
          </w:p>
        </w:tc>
      </w:tr>
      <w:tr w:rsidR="00823138" w14:paraId="5C5E8030" w14:textId="77777777">
        <w:trPr>
          <w:trHeight w:val="516"/>
        </w:trPr>
        <w:tc>
          <w:tcPr>
            <w:tcW w:w="1800" w:type="dxa"/>
            <w:tcBorders>
              <w:top w:val="single" w:sz="4" w:space="0" w:color="000000"/>
              <w:left w:val="single" w:sz="4" w:space="0" w:color="000000"/>
              <w:bottom w:val="single" w:sz="4" w:space="0" w:color="000000"/>
              <w:right w:val="single" w:sz="4" w:space="0" w:color="000000"/>
            </w:tcBorders>
          </w:tcPr>
          <w:p w14:paraId="717C6789" w14:textId="77777777" w:rsidR="00823138" w:rsidRDefault="00A0477A">
            <w:pPr>
              <w:spacing w:after="0" w:line="259" w:lineRule="auto"/>
              <w:ind w:left="0" w:firstLine="0"/>
              <w:jc w:val="center"/>
            </w:pPr>
            <w:r>
              <w:rPr>
                <w:sz w:val="22"/>
              </w:rPr>
              <w:t xml:space="preserve">Non-Settling PI Claimants </w:t>
            </w:r>
          </w:p>
        </w:tc>
        <w:tc>
          <w:tcPr>
            <w:tcW w:w="1620" w:type="dxa"/>
            <w:tcBorders>
              <w:top w:val="single" w:sz="4" w:space="0" w:color="000000"/>
              <w:left w:val="single" w:sz="4" w:space="0" w:color="000000"/>
              <w:bottom w:val="single" w:sz="4" w:space="0" w:color="000000"/>
              <w:right w:val="single" w:sz="4" w:space="0" w:color="000000"/>
            </w:tcBorders>
          </w:tcPr>
          <w:p w14:paraId="4C9CECAD" w14:textId="77777777" w:rsidR="00823138" w:rsidRDefault="00A0477A">
            <w:pPr>
              <w:spacing w:after="0" w:line="259" w:lineRule="auto"/>
              <w:ind w:left="0" w:right="56" w:firstLine="0"/>
              <w:jc w:val="right"/>
            </w:pPr>
            <w:r>
              <w:rPr>
                <w:sz w:val="22"/>
              </w:rPr>
              <w:t>36,937</w:t>
            </w:r>
          </w:p>
        </w:tc>
        <w:tc>
          <w:tcPr>
            <w:tcW w:w="1620" w:type="dxa"/>
            <w:tcBorders>
              <w:top w:val="single" w:sz="4" w:space="0" w:color="000000"/>
              <w:left w:val="single" w:sz="4" w:space="0" w:color="000000"/>
              <w:bottom w:val="single" w:sz="4" w:space="0" w:color="000000"/>
              <w:right w:val="single" w:sz="4" w:space="0" w:color="000000"/>
            </w:tcBorders>
          </w:tcPr>
          <w:p w14:paraId="3B309711" w14:textId="77777777" w:rsidR="00823138" w:rsidRDefault="00A0477A">
            <w:pPr>
              <w:spacing w:after="0" w:line="259" w:lineRule="auto"/>
              <w:ind w:left="0" w:right="56" w:firstLine="0"/>
              <w:jc w:val="right"/>
            </w:pPr>
            <w:r>
              <w:rPr>
                <w:sz w:val="22"/>
              </w:rPr>
              <w:t>27,408</w:t>
            </w:r>
          </w:p>
        </w:tc>
        <w:tc>
          <w:tcPr>
            <w:tcW w:w="1460" w:type="dxa"/>
            <w:tcBorders>
              <w:top w:val="single" w:sz="4" w:space="0" w:color="000000"/>
              <w:left w:val="single" w:sz="4" w:space="0" w:color="000000"/>
              <w:bottom w:val="single" w:sz="4" w:space="0" w:color="000000"/>
              <w:right w:val="single" w:sz="4" w:space="0" w:color="000000"/>
            </w:tcBorders>
          </w:tcPr>
          <w:p w14:paraId="5220486F" w14:textId="77777777" w:rsidR="00823138" w:rsidRDefault="00A0477A">
            <w:pPr>
              <w:spacing w:after="0" w:line="259" w:lineRule="auto"/>
              <w:ind w:left="0" w:right="55" w:firstLine="0"/>
              <w:jc w:val="right"/>
            </w:pPr>
            <w:r>
              <w:rPr>
                <w:sz w:val="22"/>
              </w:rPr>
              <w:t xml:space="preserve">57% </w:t>
            </w:r>
          </w:p>
        </w:tc>
        <w:tc>
          <w:tcPr>
            <w:tcW w:w="1420" w:type="dxa"/>
            <w:tcBorders>
              <w:top w:val="single" w:sz="4" w:space="0" w:color="000000"/>
              <w:left w:val="single" w:sz="4" w:space="0" w:color="000000"/>
              <w:bottom w:val="single" w:sz="4" w:space="0" w:color="000000"/>
              <w:right w:val="single" w:sz="4" w:space="0" w:color="000000"/>
            </w:tcBorders>
          </w:tcPr>
          <w:p w14:paraId="3B879B53" w14:textId="77777777" w:rsidR="00823138" w:rsidRDefault="00A0477A">
            <w:pPr>
              <w:spacing w:after="0" w:line="259" w:lineRule="auto"/>
              <w:ind w:left="0" w:right="55" w:firstLine="0"/>
              <w:jc w:val="right"/>
            </w:pPr>
            <w:r>
              <w:rPr>
                <w:sz w:val="22"/>
              </w:rPr>
              <w:t>43%</w:t>
            </w:r>
          </w:p>
        </w:tc>
      </w:tr>
      <w:tr w:rsidR="00823138" w14:paraId="4D7FE600" w14:textId="77777777">
        <w:trPr>
          <w:trHeight w:val="264"/>
        </w:trPr>
        <w:tc>
          <w:tcPr>
            <w:tcW w:w="1800" w:type="dxa"/>
            <w:tcBorders>
              <w:top w:val="single" w:sz="4" w:space="0" w:color="000000"/>
              <w:left w:val="single" w:sz="4" w:space="0" w:color="000000"/>
              <w:bottom w:val="single" w:sz="4" w:space="0" w:color="000000"/>
              <w:right w:val="single" w:sz="4" w:space="0" w:color="000000"/>
            </w:tcBorders>
          </w:tcPr>
          <w:p w14:paraId="3068A4C1" w14:textId="77777777" w:rsidR="00823138" w:rsidRDefault="00A0477A">
            <w:pPr>
              <w:spacing w:after="0" w:line="259" w:lineRule="auto"/>
              <w:ind w:left="0" w:right="63" w:firstLine="0"/>
              <w:jc w:val="center"/>
            </w:pPr>
            <w:r>
              <w:rPr>
                <w:b/>
                <w:sz w:val="22"/>
              </w:rPr>
              <w:t xml:space="preserve">Totals </w:t>
            </w:r>
          </w:p>
        </w:tc>
        <w:tc>
          <w:tcPr>
            <w:tcW w:w="1620" w:type="dxa"/>
            <w:tcBorders>
              <w:top w:val="single" w:sz="4" w:space="0" w:color="000000"/>
              <w:left w:val="single" w:sz="4" w:space="0" w:color="000000"/>
              <w:bottom w:val="single" w:sz="4" w:space="0" w:color="000000"/>
              <w:right w:val="single" w:sz="4" w:space="0" w:color="000000"/>
            </w:tcBorders>
          </w:tcPr>
          <w:p w14:paraId="3985487F" w14:textId="77777777" w:rsidR="00823138" w:rsidRDefault="00A0477A">
            <w:pPr>
              <w:spacing w:after="0" w:line="259" w:lineRule="auto"/>
              <w:ind w:left="0" w:right="55" w:firstLine="0"/>
              <w:jc w:val="right"/>
            </w:pPr>
            <w:r>
              <w:rPr>
                <w:b/>
                <w:sz w:val="22"/>
              </w:rPr>
              <w:t>177,530</w:t>
            </w:r>
          </w:p>
        </w:tc>
        <w:tc>
          <w:tcPr>
            <w:tcW w:w="1620" w:type="dxa"/>
            <w:tcBorders>
              <w:top w:val="single" w:sz="4" w:space="0" w:color="000000"/>
              <w:left w:val="single" w:sz="4" w:space="0" w:color="000000"/>
              <w:bottom w:val="single" w:sz="4" w:space="0" w:color="000000"/>
              <w:right w:val="single" w:sz="4" w:space="0" w:color="000000"/>
            </w:tcBorders>
          </w:tcPr>
          <w:p w14:paraId="493AF572" w14:textId="77777777" w:rsidR="00823138" w:rsidRDefault="00A0477A">
            <w:pPr>
              <w:spacing w:after="0" w:line="259" w:lineRule="auto"/>
              <w:ind w:left="0" w:right="56" w:firstLine="0"/>
              <w:jc w:val="right"/>
            </w:pPr>
            <w:r>
              <w:rPr>
                <w:b/>
                <w:sz w:val="22"/>
              </w:rPr>
              <w:t>31,641</w:t>
            </w:r>
          </w:p>
        </w:tc>
        <w:tc>
          <w:tcPr>
            <w:tcW w:w="1460" w:type="dxa"/>
            <w:tcBorders>
              <w:top w:val="single" w:sz="4" w:space="0" w:color="000000"/>
              <w:left w:val="single" w:sz="4" w:space="0" w:color="000000"/>
              <w:bottom w:val="single" w:sz="4" w:space="0" w:color="000000"/>
              <w:right w:val="single" w:sz="4" w:space="0" w:color="000000"/>
            </w:tcBorders>
          </w:tcPr>
          <w:p w14:paraId="75E6F0ED" w14:textId="77777777" w:rsidR="00823138" w:rsidRDefault="00A0477A">
            <w:pPr>
              <w:spacing w:after="0" w:line="259" w:lineRule="auto"/>
              <w:ind w:left="0" w:right="55" w:firstLine="0"/>
              <w:jc w:val="right"/>
            </w:pPr>
            <w:r>
              <w:rPr>
                <w:b/>
                <w:sz w:val="22"/>
              </w:rPr>
              <w:t xml:space="preserve">85% </w:t>
            </w:r>
          </w:p>
        </w:tc>
        <w:tc>
          <w:tcPr>
            <w:tcW w:w="1420" w:type="dxa"/>
            <w:tcBorders>
              <w:top w:val="single" w:sz="4" w:space="0" w:color="000000"/>
              <w:left w:val="single" w:sz="4" w:space="0" w:color="000000"/>
              <w:bottom w:val="single" w:sz="4" w:space="0" w:color="000000"/>
              <w:right w:val="single" w:sz="4" w:space="0" w:color="000000"/>
            </w:tcBorders>
          </w:tcPr>
          <w:p w14:paraId="37B59E1F" w14:textId="77777777" w:rsidR="00823138" w:rsidRDefault="00A0477A">
            <w:pPr>
              <w:spacing w:after="0" w:line="259" w:lineRule="auto"/>
              <w:ind w:left="0" w:right="55" w:firstLine="0"/>
              <w:jc w:val="right"/>
            </w:pPr>
            <w:r>
              <w:rPr>
                <w:b/>
                <w:sz w:val="22"/>
              </w:rPr>
              <w:t>15%</w:t>
            </w:r>
          </w:p>
        </w:tc>
      </w:tr>
    </w:tbl>
    <w:p w14:paraId="3EA76691" w14:textId="77777777" w:rsidR="00823138" w:rsidRDefault="00A0477A">
      <w:pPr>
        <w:spacing w:after="0" w:line="259" w:lineRule="auto"/>
        <w:ind w:left="0" w:firstLine="0"/>
        <w:jc w:val="left"/>
      </w:pPr>
      <w:r>
        <w:rPr>
          <w:sz w:val="22"/>
        </w:rPr>
        <w:lastRenderedPageBreak/>
        <w:t xml:space="preserve"> </w:t>
      </w:r>
    </w:p>
    <w:p w14:paraId="371696FA" w14:textId="77777777" w:rsidR="00823138" w:rsidRDefault="00A0477A" w:rsidP="00C44AA3">
      <w:pPr>
        <w:spacing w:after="0" w:line="476" w:lineRule="auto"/>
        <w:ind w:left="-15" w:firstLine="720"/>
      </w:pPr>
      <w:r>
        <w:t xml:space="preserve">If the dollar amount of the Settling PI Claimants’ votes is reduced by 90%, their accepting and rejecting votes are reduced in amount, respectively, to $14,059 and $423.  </w:t>
      </w:r>
    </w:p>
    <w:p w14:paraId="78AAC78A" w14:textId="77777777" w:rsidR="00823138" w:rsidRDefault="00A0477A" w:rsidP="00C44AA3">
      <w:pPr>
        <w:spacing w:after="0" w:line="265" w:lineRule="auto"/>
        <w:ind w:right="8"/>
        <w:jc w:val="center"/>
      </w:pPr>
      <w:r>
        <w:t>21</w:t>
      </w:r>
    </w:p>
    <w:p w14:paraId="4AB5E75A" w14:textId="77777777" w:rsidR="00823138" w:rsidRDefault="00A0477A" w:rsidP="00C44AA3">
      <w:pPr>
        <w:spacing w:after="0"/>
        <w:ind w:left="-5"/>
      </w:pPr>
      <w:r>
        <w:t xml:space="preserve">Substituting the diluted vote for the undiluted vote lowers the accepting vote to 65% in amount, just shy of the required two-thirds requirement: </w:t>
      </w:r>
    </w:p>
    <w:tbl>
      <w:tblPr>
        <w:tblStyle w:val="TableGrid"/>
        <w:tblW w:w="7920" w:type="dxa"/>
        <w:tblInd w:w="540" w:type="dxa"/>
        <w:tblCellMar>
          <w:top w:w="48" w:type="dxa"/>
          <w:left w:w="115" w:type="dxa"/>
          <w:bottom w:w="0" w:type="dxa"/>
          <w:right w:w="52" w:type="dxa"/>
        </w:tblCellMar>
        <w:tblLook w:val="04A0" w:firstRow="1" w:lastRow="0" w:firstColumn="1" w:lastColumn="0" w:noHBand="0" w:noVBand="1"/>
      </w:tblPr>
      <w:tblGrid>
        <w:gridCol w:w="1800"/>
        <w:gridCol w:w="1620"/>
        <w:gridCol w:w="1620"/>
        <w:gridCol w:w="1460"/>
        <w:gridCol w:w="1420"/>
      </w:tblGrid>
      <w:tr w:rsidR="00823138" w14:paraId="48CE5F7B" w14:textId="77777777">
        <w:trPr>
          <w:trHeight w:val="516"/>
        </w:trPr>
        <w:tc>
          <w:tcPr>
            <w:tcW w:w="1800" w:type="dxa"/>
            <w:tcBorders>
              <w:top w:val="single" w:sz="4" w:space="0" w:color="000000"/>
              <w:left w:val="single" w:sz="4" w:space="0" w:color="000000"/>
              <w:bottom w:val="single" w:sz="4" w:space="0" w:color="000000"/>
              <w:right w:val="single" w:sz="4" w:space="0" w:color="000000"/>
            </w:tcBorders>
          </w:tcPr>
          <w:p w14:paraId="3F794907" w14:textId="77777777" w:rsidR="00823138" w:rsidRDefault="00A0477A">
            <w:pPr>
              <w:spacing w:after="0" w:line="259" w:lineRule="auto"/>
              <w:ind w:left="0" w:right="63" w:firstLine="0"/>
              <w:jc w:val="center"/>
            </w:pPr>
            <w:r>
              <w:rPr>
                <w:b/>
                <w:sz w:val="22"/>
              </w:rPr>
              <w:t xml:space="preserve">Claimants </w:t>
            </w:r>
          </w:p>
        </w:tc>
        <w:tc>
          <w:tcPr>
            <w:tcW w:w="1620" w:type="dxa"/>
            <w:tcBorders>
              <w:top w:val="single" w:sz="4" w:space="0" w:color="000000"/>
              <w:left w:val="single" w:sz="4" w:space="0" w:color="000000"/>
              <w:bottom w:val="single" w:sz="4" w:space="0" w:color="000000"/>
              <w:right w:val="single" w:sz="4" w:space="0" w:color="000000"/>
            </w:tcBorders>
          </w:tcPr>
          <w:p w14:paraId="2AF36983" w14:textId="77777777" w:rsidR="00823138" w:rsidRDefault="00A0477A">
            <w:pPr>
              <w:spacing w:after="0" w:line="259" w:lineRule="auto"/>
              <w:ind w:left="0" w:right="64" w:firstLine="0"/>
              <w:jc w:val="center"/>
            </w:pPr>
            <w:r>
              <w:rPr>
                <w:b/>
                <w:sz w:val="22"/>
              </w:rPr>
              <w:t xml:space="preserve">Accepting </w:t>
            </w:r>
          </w:p>
        </w:tc>
        <w:tc>
          <w:tcPr>
            <w:tcW w:w="1620" w:type="dxa"/>
            <w:tcBorders>
              <w:top w:val="single" w:sz="4" w:space="0" w:color="000000"/>
              <w:left w:val="single" w:sz="4" w:space="0" w:color="000000"/>
              <w:bottom w:val="single" w:sz="4" w:space="0" w:color="000000"/>
              <w:right w:val="single" w:sz="4" w:space="0" w:color="000000"/>
            </w:tcBorders>
          </w:tcPr>
          <w:p w14:paraId="57238381" w14:textId="77777777" w:rsidR="00823138" w:rsidRDefault="00A0477A">
            <w:pPr>
              <w:spacing w:after="0" w:line="259" w:lineRule="auto"/>
              <w:ind w:left="0" w:right="63" w:firstLine="0"/>
              <w:jc w:val="center"/>
            </w:pPr>
            <w:r>
              <w:rPr>
                <w:b/>
                <w:sz w:val="22"/>
              </w:rPr>
              <w:t xml:space="preserve">Rejecting </w:t>
            </w:r>
          </w:p>
        </w:tc>
        <w:tc>
          <w:tcPr>
            <w:tcW w:w="1460" w:type="dxa"/>
            <w:tcBorders>
              <w:top w:val="single" w:sz="4" w:space="0" w:color="000000"/>
              <w:left w:val="single" w:sz="4" w:space="0" w:color="000000"/>
              <w:bottom w:val="single" w:sz="4" w:space="0" w:color="000000"/>
              <w:right w:val="single" w:sz="4" w:space="0" w:color="000000"/>
            </w:tcBorders>
          </w:tcPr>
          <w:p w14:paraId="0878DF8E" w14:textId="77777777" w:rsidR="00823138" w:rsidRDefault="00A0477A">
            <w:pPr>
              <w:spacing w:after="0" w:line="259" w:lineRule="auto"/>
              <w:ind w:left="0" w:firstLine="0"/>
              <w:jc w:val="center"/>
            </w:pPr>
            <w:r>
              <w:rPr>
                <w:b/>
                <w:sz w:val="22"/>
              </w:rPr>
              <w:t xml:space="preserve">Percentage Accepting </w:t>
            </w:r>
          </w:p>
        </w:tc>
        <w:tc>
          <w:tcPr>
            <w:tcW w:w="1420" w:type="dxa"/>
            <w:tcBorders>
              <w:top w:val="single" w:sz="4" w:space="0" w:color="000000"/>
              <w:left w:val="single" w:sz="4" w:space="0" w:color="000000"/>
              <w:bottom w:val="single" w:sz="4" w:space="0" w:color="000000"/>
              <w:right w:val="single" w:sz="4" w:space="0" w:color="000000"/>
            </w:tcBorders>
          </w:tcPr>
          <w:p w14:paraId="20250F73" w14:textId="77777777" w:rsidR="00823138" w:rsidRDefault="00A0477A">
            <w:pPr>
              <w:spacing w:after="0" w:line="259" w:lineRule="auto"/>
              <w:ind w:left="0" w:firstLine="0"/>
              <w:jc w:val="center"/>
            </w:pPr>
            <w:r>
              <w:rPr>
                <w:b/>
                <w:sz w:val="22"/>
              </w:rPr>
              <w:t xml:space="preserve">Percentage Rejecting </w:t>
            </w:r>
          </w:p>
        </w:tc>
      </w:tr>
      <w:tr w:rsidR="00823138" w14:paraId="0906C734" w14:textId="77777777">
        <w:trPr>
          <w:trHeight w:val="516"/>
        </w:trPr>
        <w:tc>
          <w:tcPr>
            <w:tcW w:w="1800" w:type="dxa"/>
            <w:tcBorders>
              <w:top w:val="single" w:sz="4" w:space="0" w:color="000000"/>
              <w:left w:val="single" w:sz="4" w:space="0" w:color="000000"/>
              <w:bottom w:val="single" w:sz="4" w:space="0" w:color="000000"/>
              <w:right w:val="single" w:sz="4" w:space="0" w:color="000000"/>
            </w:tcBorders>
          </w:tcPr>
          <w:p w14:paraId="3031CE12" w14:textId="77777777" w:rsidR="00823138" w:rsidRDefault="00A0477A">
            <w:pPr>
              <w:spacing w:after="0" w:line="259" w:lineRule="auto"/>
              <w:ind w:left="0" w:firstLine="0"/>
              <w:jc w:val="center"/>
            </w:pPr>
            <w:r>
              <w:rPr>
                <w:sz w:val="22"/>
              </w:rPr>
              <w:t xml:space="preserve">Settling PI Claimants </w:t>
            </w:r>
          </w:p>
        </w:tc>
        <w:tc>
          <w:tcPr>
            <w:tcW w:w="1620" w:type="dxa"/>
            <w:tcBorders>
              <w:top w:val="single" w:sz="4" w:space="0" w:color="000000"/>
              <w:left w:val="single" w:sz="4" w:space="0" w:color="000000"/>
              <w:bottom w:val="single" w:sz="4" w:space="0" w:color="000000"/>
              <w:right w:val="single" w:sz="4" w:space="0" w:color="000000"/>
            </w:tcBorders>
          </w:tcPr>
          <w:p w14:paraId="01BB60F5" w14:textId="77777777" w:rsidR="00823138" w:rsidRDefault="00A0477A">
            <w:pPr>
              <w:spacing w:after="0" w:line="259" w:lineRule="auto"/>
              <w:ind w:left="0" w:right="56" w:firstLine="0"/>
              <w:jc w:val="right"/>
            </w:pPr>
            <w:r>
              <w:rPr>
                <w:sz w:val="22"/>
              </w:rPr>
              <w:t>14,059</w:t>
            </w:r>
          </w:p>
        </w:tc>
        <w:tc>
          <w:tcPr>
            <w:tcW w:w="1620" w:type="dxa"/>
            <w:tcBorders>
              <w:top w:val="single" w:sz="4" w:space="0" w:color="000000"/>
              <w:left w:val="single" w:sz="4" w:space="0" w:color="000000"/>
              <w:bottom w:val="single" w:sz="4" w:space="0" w:color="000000"/>
              <w:right w:val="single" w:sz="4" w:space="0" w:color="000000"/>
            </w:tcBorders>
          </w:tcPr>
          <w:p w14:paraId="0C83575F" w14:textId="77777777" w:rsidR="00823138" w:rsidRDefault="00A0477A">
            <w:pPr>
              <w:spacing w:after="0" w:line="259" w:lineRule="auto"/>
              <w:ind w:left="0" w:right="56" w:firstLine="0"/>
              <w:jc w:val="right"/>
            </w:pPr>
            <w:r>
              <w:rPr>
                <w:sz w:val="22"/>
              </w:rPr>
              <w:t>423</w:t>
            </w:r>
          </w:p>
        </w:tc>
        <w:tc>
          <w:tcPr>
            <w:tcW w:w="1460" w:type="dxa"/>
            <w:tcBorders>
              <w:top w:val="single" w:sz="4" w:space="0" w:color="000000"/>
              <w:left w:val="single" w:sz="4" w:space="0" w:color="000000"/>
              <w:bottom w:val="single" w:sz="4" w:space="0" w:color="000000"/>
              <w:right w:val="single" w:sz="4" w:space="0" w:color="000000"/>
            </w:tcBorders>
          </w:tcPr>
          <w:p w14:paraId="25BB8C1E" w14:textId="77777777" w:rsidR="00823138" w:rsidRDefault="00A0477A">
            <w:pPr>
              <w:spacing w:after="0" w:line="259" w:lineRule="auto"/>
              <w:ind w:left="0" w:right="55" w:firstLine="0"/>
              <w:jc w:val="right"/>
            </w:pPr>
            <w:r>
              <w:rPr>
                <w:sz w:val="22"/>
              </w:rPr>
              <w:t xml:space="preserve">97% </w:t>
            </w:r>
          </w:p>
        </w:tc>
        <w:tc>
          <w:tcPr>
            <w:tcW w:w="1420" w:type="dxa"/>
            <w:tcBorders>
              <w:top w:val="single" w:sz="4" w:space="0" w:color="000000"/>
              <w:left w:val="single" w:sz="4" w:space="0" w:color="000000"/>
              <w:bottom w:val="single" w:sz="4" w:space="0" w:color="000000"/>
              <w:right w:val="single" w:sz="4" w:space="0" w:color="000000"/>
            </w:tcBorders>
          </w:tcPr>
          <w:p w14:paraId="26FB12A3" w14:textId="77777777" w:rsidR="00823138" w:rsidRDefault="00A0477A">
            <w:pPr>
              <w:spacing w:after="0" w:line="259" w:lineRule="auto"/>
              <w:ind w:left="0" w:right="55" w:firstLine="0"/>
              <w:jc w:val="right"/>
            </w:pPr>
            <w:r>
              <w:rPr>
                <w:sz w:val="22"/>
              </w:rPr>
              <w:t>3%</w:t>
            </w:r>
          </w:p>
        </w:tc>
      </w:tr>
      <w:tr w:rsidR="00823138" w14:paraId="60CFF633" w14:textId="77777777">
        <w:trPr>
          <w:trHeight w:val="516"/>
        </w:trPr>
        <w:tc>
          <w:tcPr>
            <w:tcW w:w="1800" w:type="dxa"/>
            <w:tcBorders>
              <w:top w:val="single" w:sz="4" w:space="0" w:color="000000"/>
              <w:left w:val="single" w:sz="4" w:space="0" w:color="000000"/>
              <w:bottom w:val="single" w:sz="4" w:space="0" w:color="000000"/>
              <w:right w:val="single" w:sz="4" w:space="0" w:color="000000"/>
            </w:tcBorders>
          </w:tcPr>
          <w:p w14:paraId="6414D8C3" w14:textId="77777777" w:rsidR="00823138" w:rsidRDefault="00A0477A">
            <w:pPr>
              <w:spacing w:after="0" w:line="259" w:lineRule="auto"/>
              <w:ind w:left="0" w:firstLine="0"/>
              <w:jc w:val="center"/>
            </w:pPr>
            <w:r>
              <w:rPr>
                <w:sz w:val="22"/>
              </w:rPr>
              <w:t xml:space="preserve">Non-Settling PI Claimants </w:t>
            </w:r>
          </w:p>
        </w:tc>
        <w:tc>
          <w:tcPr>
            <w:tcW w:w="1620" w:type="dxa"/>
            <w:tcBorders>
              <w:top w:val="single" w:sz="4" w:space="0" w:color="000000"/>
              <w:left w:val="single" w:sz="4" w:space="0" w:color="000000"/>
              <w:bottom w:val="single" w:sz="4" w:space="0" w:color="000000"/>
              <w:right w:val="single" w:sz="4" w:space="0" w:color="000000"/>
            </w:tcBorders>
          </w:tcPr>
          <w:p w14:paraId="0ECCA23F" w14:textId="77777777" w:rsidR="00823138" w:rsidRDefault="00A0477A">
            <w:pPr>
              <w:spacing w:after="0" w:line="259" w:lineRule="auto"/>
              <w:ind w:left="0" w:right="56" w:firstLine="0"/>
              <w:jc w:val="right"/>
            </w:pPr>
            <w:r>
              <w:rPr>
                <w:sz w:val="22"/>
              </w:rPr>
              <w:t>36,937</w:t>
            </w:r>
          </w:p>
        </w:tc>
        <w:tc>
          <w:tcPr>
            <w:tcW w:w="1620" w:type="dxa"/>
            <w:tcBorders>
              <w:top w:val="single" w:sz="4" w:space="0" w:color="000000"/>
              <w:left w:val="single" w:sz="4" w:space="0" w:color="000000"/>
              <w:bottom w:val="single" w:sz="4" w:space="0" w:color="000000"/>
              <w:right w:val="single" w:sz="4" w:space="0" w:color="000000"/>
            </w:tcBorders>
          </w:tcPr>
          <w:p w14:paraId="5B790E2C" w14:textId="77777777" w:rsidR="00823138" w:rsidRDefault="00A0477A">
            <w:pPr>
              <w:spacing w:after="0" w:line="259" w:lineRule="auto"/>
              <w:ind w:left="0" w:right="56" w:firstLine="0"/>
              <w:jc w:val="right"/>
            </w:pPr>
            <w:r>
              <w:rPr>
                <w:sz w:val="22"/>
              </w:rPr>
              <w:t>27,408</w:t>
            </w:r>
          </w:p>
        </w:tc>
        <w:tc>
          <w:tcPr>
            <w:tcW w:w="1460" w:type="dxa"/>
            <w:tcBorders>
              <w:top w:val="single" w:sz="4" w:space="0" w:color="000000"/>
              <w:left w:val="single" w:sz="4" w:space="0" w:color="000000"/>
              <w:bottom w:val="single" w:sz="4" w:space="0" w:color="000000"/>
              <w:right w:val="single" w:sz="4" w:space="0" w:color="000000"/>
            </w:tcBorders>
          </w:tcPr>
          <w:p w14:paraId="4E218C2B" w14:textId="77777777" w:rsidR="00823138" w:rsidRDefault="00A0477A">
            <w:pPr>
              <w:spacing w:after="0" w:line="259" w:lineRule="auto"/>
              <w:ind w:left="0" w:right="55" w:firstLine="0"/>
              <w:jc w:val="right"/>
            </w:pPr>
            <w:r>
              <w:rPr>
                <w:sz w:val="22"/>
              </w:rPr>
              <w:t xml:space="preserve">57% </w:t>
            </w:r>
          </w:p>
        </w:tc>
        <w:tc>
          <w:tcPr>
            <w:tcW w:w="1420" w:type="dxa"/>
            <w:tcBorders>
              <w:top w:val="single" w:sz="4" w:space="0" w:color="000000"/>
              <w:left w:val="single" w:sz="4" w:space="0" w:color="000000"/>
              <w:bottom w:val="single" w:sz="4" w:space="0" w:color="000000"/>
              <w:right w:val="single" w:sz="4" w:space="0" w:color="000000"/>
            </w:tcBorders>
          </w:tcPr>
          <w:p w14:paraId="780B33D2" w14:textId="77777777" w:rsidR="00823138" w:rsidRDefault="00A0477A">
            <w:pPr>
              <w:spacing w:after="0" w:line="259" w:lineRule="auto"/>
              <w:ind w:left="0" w:right="55" w:firstLine="0"/>
              <w:jc w:val="right"/>
            </w:pPr>
            <w:r>
              <w:rPr>
                <w:sz w:val="22"/>
              </w:rPr>
              <w:t>43%</w:t>
            </w:r>
          </w:p>
        </w:tc>
      </w:tr>
      <w:tr w:rsidR="00823138" w14:paraId="6E888B4D" w14:textId="77777777">
        <w:trPr>
          <w:trHeight w:val="263"/>
        </w:trPr>
        <w:tc>
          <w:tcPr>
            <w:tcW w:w="1800" w:type="dxa"/>
            <w:tcBorders>
              <w:top w:val="single" w:sz="4" w:space="0" w:color="000000"/>
              <w:left w:val="single" w:sz="4" w:space="0" w:color="000000"/>
              <w:bottom w:val="single" w:sz="4" w:space="0" w:color="000000"/>
              <w:right w:val="single" w:sz="4" w:space="0" w:color="000000"/>
            </w:tcBorders>
          </w:tcPr>
          <w:p w14:paraId="2524E68F" w14:textId="77777777" w:rsidR="00823138" w:rsidRDefault="00A0477A">
            <w:pPr>
              <w:spacing w:after="0" w:line="259" w:lineRule="auto"/>
              <w:ind w:left="0" w:right="63" w:firstLine="0"/>
              <w:jc w:val="center"/>
            </w:pPr>
            <w:r>
              <w:rPr>
                <w:b/>
                <w:sz w:val="22"/>
              </w:rPr>
              <w:t xml:space="preserve">Totals </w:t>
            </w:r>
          </w:p>
        </w:tc>
        <w:tc>
          <w:tcPr>
            <w:tcW w:w="1620" w:type="dxa"/>
            <w:tcBorders>
              <w:top w:val="single" w:sz="4" w:space="0" w:color="000000"/>
              <w:left w:val="single" w:sz="4" w:space="0" w:color="000000"/>
              <w:bottom w:val="single" w:sz="4" w:space="0" w:color="000000"/>
              <w:right w:val="single" w:sz="4" w:space="0" w:color="000000"/>
            </w:tcBorders>
          </w:tcPr>
          <w:p w14:paraId="13ADC23C" w14:textId="77777777" w:rsidR="00823138" w:rsidRDefault="00A0477A">
            <w:pPr>
              <w:spacing w:after="0" w:line="259" w:lineRule="auto"/>
              <w:ind w:left="0" w:right="55" w:firstLine="0"/>
              <w:jc w:val="right"/>
            </w:pPr>
            <w:r>
              <w:rPr>
                <w:b/>
                <w:sz w:val="22"/>
              </w:rPr>
              <w:t>50,996</w:t>
            </w:r>
          </w:p>
        </w:tc>
        <w:tc>
          <w:tcPr>
            <w:tcW w:w="1620" w:type="dxa"/>
            <w:tcBorders>
              <w:top w:val="single" w:sz="4" w:space="0" w:color="000000"/>
              <w:left w:val="single" w:sz="4" w:space="0" w:color="000000"/>
              <w:bottom w:val="single" w:sz="4" w:space="0" w:color="000000"/>
              <w:right w:val="single" w:sz="4" w:space="0" w:color="000000"/>
            </w:tcBorders>
          </w:tcPr>
          <w:p w14:paraId="0C0139D0" w14:textId="77777777" w:rsidR="00823138" w:rsidRDefault="00A0477A">
            <w:pPr>
              <w:spacing w:after="0" w:line="259" w:lineRule="auto"/>
              <w:ind w:left="0" w:right="56" w:firstLine="0"/>
              <w:jc w:val="right"/>
            </w:pPr>
            <w:r>
              <w:rPr>
                <w:b/>
                <w:sz w:val="22"/>
              </w:rPr>
              <w:t>27,831</w:t>
            </w:r>
          </w:p>
        </w:tc>
        <w:tc>
          <w:tcPr>
            <w:tcW w:w="1460" w:type="dxa"/>
            <w:tcBorders>
              <w:top w:val="single" w:sz="4" w:space="0" w:color="000000"/>
              <w:left w:val="single" w:sz="4" w:space="0" w:color="000000"/>
              <w:bottom w:val="single" w:sz="4" w:space="0" w:color="000000"/>
              <w:right w:val="single" w:sz="4" w:space="0" w:color="000000"/>
            </w:tcBorders>
          </w:tcPr>
          <w:p w14:paraId="26139504" w14:textId="77777777" w:rsidR="00823138" w:rsidRDefault="00A0477A">
            <w:pPr>
              <w:spacing w:after="0" w:line="259" w:lineRule="auto"/>
              <w:ind w:left="0" w:right="55" w:firstLine="0"/>
              <w:jc w:val="right"/>
            </w:pPr>
            <w:r>
              <w:rPr>
                <w:b/>
                <w:sz w:val="22"/>
              </w:rPr>
              <w:t xml:space="preserve">65% </w:t>
            </w:r>
          </w:p>
        </w:tc>
        <w:tc>
          <w:tcPr>
            <w:tcW w:w="1420" w:type="dxa"/>
            <w:tcBorders>
              <w:top w:val="single" w:sz="4" w:space="0" w:color="000000"/>
              <w:left w:val="single" w:sz="4" w:space="0" w:color="000000"/>
              <w:bottom w:val="single" w:sz="4" w:space="0" w:color="000000"/>
              <w:right w:val="single" w:sz="4" w:space="0" w:color="000000"/>
            </w:tcBorders>
          </w:tcPr>
          <w:p w14:paraId="5848739F" w14:textId="77777777" w:rsidR="00823138" w:rsidRDefault="00A0477A">
            <w:pPr>
              <w:spacing w:after="0" w:line="259" w:lineRule="auto"/>
              <w:ind w:left="0" w:right="55" w:firstLine="0"/>
              <w:jc w:val="right"/>
            </w:pPr>
            <w:r>
              <w:rPr>
                <w:b/>
                <w:sz w:val="22"/>
              </w:rPr>
              <w:t>35%</w:t>
            </w:r>
          </w:p>
        </w:tc>
      </w:tr>
    </w:tbl>
    <w:p w14:paraId="0755026F" w14:textId="77777777" w:rsidR="00823138" w:rsidRDefault="00A0477A">
      <w:pPr>
        <w:spacing w:after="216" w:line="259" w:lineRule="auto"/>
        <w:ind w:left="1080" w:firstLine="0"/>
        <w:jc w:val="left"/>
      </w:pPr>
      <w:r>
        <w:t xml:space="preserve"> </w:t>
      </w:r>
    </w:p>
    <w:p w14:paraId="634B20BB" w14:textId="77777777" w:rsidR="00823138" w:rsidRDefault="00A0477A">
      <w:pPr>
        <w:spacing w:after="219"/>
        <w:ind w:left="-15" w:firstLine="720"/>
      </w:pPr>
      <w:r>
        <w:t>The effect of dilution is even more pronounced if the votes are weighed according to the TDP values.  The TDP-weighted value of the votes cast by the Settling PI Claimants, before dilution, is the following (</w:t>
      </w:r>
      <w:r>
        <w:rPr>
          <w:u w:val="single" w:color="000000"/>
        </w:rPr>
        <w:t>see</w:t>
      </w:r>
      <w:r>
        <w:t xml:space="preserve"> </w:t>
      </w:r>
      <w:r>
        <w:rPr>
          <w:u w:val="single" w:color="000000"/>
        </w:rPr>
        <w:t>Certification</w:t>
      </w:r>
      <w:r>
        <w:t xml:space="preserve">, Ex. C-2): </w:t>
      </w:r>
    </w:p>
    <w:tbl>
      <w:tblPr>
        <w:tblStyle w:val="TableGrid"/>
        <w:tblW w:w="8208" w:type="dxa"/>
        <w:tblInd w:w="540" w:type="dxa"/>
        <w:tblCellMar>
          <w:top w:w="48" w:type="dxa"/>
          <w:left w:w="117" w:type="dxa"/>
          <w:bottom w:w="0" w:type="dxa"/>
          <w:right w:w="51" w:type="dxa"/>
        </w:tblCellMar>
        <w:tblLook w:val="04A0" w:firstRow="1" w:lastRow="0" w:firstColumn="1" w:lastColumn="0" w:noHBand="0" w:noVBand="1"/>
      </w:tblPr>
      <w:tblGrid>
        <w:gridCol w:w="1516"/>
        <w:gridCol w:w="1364"/>
        <w:gridCol w:w="1260"/>
        <w:gridCol w:w="1800"/>
        <w:gridCol w:w="900"/>
        <w:gridCol w:w="1368"/>
      </w:tblGrid>
      <w:tr w:rsidR="00823138" w14:paraId="1695CEBD" w14:textId="77777777">
        <w:trPr>
          <w:trHeight w:val="263"/>
        </w:trPr>
        <w:tc>
          <w:tcPr>
            <w:tcW w:w="1516" w:type="dxa"/>
            <w:tcBorders>
              <w:top w:val="single" w:sz="4" w:space="0" w:color="000000"/>
              <w:left w:val="single" w:sz="4" w:space="0" w:color="000000"/>
              <w:bottom w:val="single" w:sz="4" w:space="0" w:color="000000"/>
              <w:right w:val="single" w:sz="4" w:space="0" w:color="000000"/>
            </w:tcBorders>
          </w:tcPr>
          <w:p w14:paraId="54339FEA" w14:textId="77777777" w:rsidR="00823138" w:rsidRDefault="00A0477A">
            <w:pPr>
              <w:spacing w:after="0" w:line="259" w:lineRule="auto"/>
              <w:ind w:left="0" w:right="67" w:firstLine="0"/>
              <w:jc w:val="center"/>
            </w:pPr>
            <w:r>
              <w:rPr>
                <w:b/>
                <w:sz w:val="22"/>
              </w:rPr>
              <w:t xml:space="preserve">Settling </w:t>
            </w:r>
          </w:p>
        </w:tc>
        <w:tc>
          <w:tcPr>
            <w:tcW w:w="1364" w:type="dxa"/>
            <w:tcBorders>
              <w:top w:val="single" w:sz="4" w:space="0" w:color="000000"/>
              <w:left w:val="single" w:sz="4" w:space="0" w:color="000000"/>
              <w:bottom w:val="single" w:sz="4" w:space="0" w:color="000000"/>
              <w:right w:val="single" w:sz="4" w:space="0" w:color="000000"/>
            </w:tcBorders>
          </w:tcPr>
          <w:p w14:paraId="5B8AC91F" w14:textId="77777777" w:rsidR="00823138" w:rsidRDefault="00A0477A">
            <w:pPr>
              <w:spacing w:after="0" w:line="259" w:lineRule="auto"/>
              <w:ind w:left="0" w:firstLine="0"/>
              <w:jc w:val="left"/>
            </w:pPr>
            <w:r>
              <w:rPr>
                <w:b/>
                <w:sz w:val="22"/>
              </w:rPr>
              <w:t xml:space="preserve">TDP Values </w:t>
            </w:r>
          </w:p>
        </w:tc>
        <w:tc>
          <w:tcPr>
            <w:tcW w:w="1260" w:type="dxa"/>
            <w:tcBorders>
              <w:top w:val="single" w:sz="4" w:space="0" w:color="000000"/>
              <w:left w:val="single" w:sz="4" w:space="0" w:color="000000"/>
              <w:bottom w:val="single" w:sz="4" w:space="0" w:color="000000"/>
              <w:right w:val="single" w:sz="4" w:space="0" w:color="000000"/>
            </w:tcBorders>
          </w:tcPr>
          <w:p w14:paraId="7652806D" w14:textId="77777777" w:rsidR="00823138" w:rsidRDefault="00A0477A">
            <w:pPr>
              <w:spacing w:after="0" w:line="259" w:lineRule="auto"/>
              <w:ind w:left="0" w:right="66" w:firstLine="0"/>
              <w:jc w:val="center"/>
            </w:pPr>
            <w:r>
              <w:rPr>
                <w:b/>
                <w:sz w:val="22"/>
              </w:rPr>
              <w:t xml:space="preserve">Accept </w:t>
            </w:r>
          </w:p>
        </w:tc>
        <w:tc>
          <w:tcPr>
            <w:tcW w:w="1800" w:type="dxa"/>
            <w:tcBorders>
              <w:top w:val="single" w:sz="4" w:space="0" w:color="000000"/>
              <w:left w:val="single" w:sz="4" w:space="0" w:color="000000"/>
              <w:bottom w:val="single" w:sz="4" w:space="0" w:color="000000"/>
              <w:right w:val="single" w:sz="4" w:space="0" w:color="000000"/>
            </w:tcBorders>
          </w:tcPr>
          <w:p w14:paraId="5615D174" w14:textId="77777777" w:rsidR="00823138" w:rsidRDefault="00A0477A">
            <w:pPr>
              <w:spacing w:after="0" w:line="259" w:lineRule="auto"/>
              <w:ind w:left="0" w:right="66" w:firstLine="0"/>
              <w:jc w:val="center"/>
            </w:pPr>
            <w:r>
              <w:rPr>
                <w:b/>
                <w:sz w:val="22"/>
              </w:rPr>
              <w:t xml:space="preserve">Total Value </w:t>
            </w:r>
          </w:p>
        </w:tc>
        <w:tc>
          <w:tcPr>
            <w:tcW w:w="900" w:type="dxa"/>
            <w:tcBorders>
              <w:top w:val="single" w:sz="4" w:space="0" w:color="000000"/>
              <w:left w:val="single" w:sz="4" w:space="0" w:color="000000"/>
              <w:bottom w:val="single" w:sz="4" w:space="0" w:color="000000"/>
              <w:right w:val="single" w:sz="4" w:space="0" w:color="000000"/>
            </w:tcBorders>
          </w:tcPr>
          <w:p w14:paraId="1E1132B9" w14:textId="77777777" w:rsidR="00823138" w:rsidRDefault="00A0477A">
            <w:pPr>
              <w:spacing w:after="0" w:line="259" w:lineRule="auto"/>
              <w:ind w:left="34" w:firstLine="0"/>
              <w:jc w:val="left"/>
            </w:pPr>
            <w:r>
              <w:rPr>
                <w:b/>
                <w:sz w:val="22"/>
              </w:rPr>
              <w:t xml:space="preserve">Reject </w:t>
            </w:r>
          </w:p>
        </w:tc>
        <w:tc>
          <w:tcPr>
            <w:tcW w:w="1368" w:type="dxa"/>
            <w:tcBorders>
              <w:top w:val="single" w:sz="4" w:space="0" w:color="000000"/>
              <w:left w:val="single" w:sz="4" w:space="0" w:color="000000"/>
              <w:bottom w:val="single" w:sz="4" w:space="0" w:color="000000"/>
              <w:right w:val="single" w:sz="4" w:space="0" w:color="000000"/>
            </w:tcBorders>
          </w:tcPr>
          <w:p w14:paraId="14D3A60C" w14:textId="77777777" w:rsidR="00823138" w:rsidRDefault="00A0477A">
            <w:pPr>
              <w:spacing w:after="0" w:line="259" w:lineRule="auto"/>
              <w:ind w:left="15" w:firstLine="0"/>
              <w:jc w:val="left"/>
            </w:pPr>
            <w:r>
              <w:rPr>
                <w:b/>
                <w:sz w:val="22"/>
              </w:rPr>
              <w:t xml:space="preserve">Total Value </w:t>
            </w:r>
          </w:p>
        </w:tc>
      </w:tr>
      <w:tr w:rsidR="00823138" w14:paraId="247B351D" w14:textId="77777777">
        <w:trPr>
          <w:trHeight w:val="516"/>
        </w:trPr>
        <w:tc>
          <w:tcPr>
            <w:tcW w:w="1516" w:type="dxa"/>
            <w:tcBorders>
              <w:top w:val="single" w:sz="4" w:space="0" w:color="000000"/>
              <w:left w:val="single" w:sz="4" w:space="0" w:color="000000"/>
              <w:bottom w:val="single" w:sz="4" w:space="0" w:color="000000"/>
              <w:right w:val="single" w:sz="4" w:space="0" w:color="000000"/>
            </w:tcBorders>
          </w:tcPr>
          <w:p w14:paraId="0C28DADE" w14:textId="77777777" w:rsidR="00823138" w:rsidRDefault="00A0477A">
            <w:pPr>
              <w:spacing w:after="0" w:line="259" w:lineRule="auto"/>
              <w:ind w:left="0" w:firstLine="0"/>
              <w:jc w:val="center"/>
            </w:pPr>
            <w:r>
              <w:rPr>
                <w:sz w:val="22"/>
              </w:rPr>
              <w:t xml:space="preserve">Mesothelioma Claimants </w:t>
            </w:r>
          </w:p>
        </w:tc>
        <w:tc>
          <w:tcPr>
            <w:tcW w:w="1364" w:type="dxa"/>
            <w:tcBorders>
              <w:top w:val="single" w:sz="4" w:space="0" w:color="000000"/>
              <w:left w:val="single" w:sz="4" w:space="0" w:color="000000"/>
              <w:bottom w:val="single" w:sz="4" w:space="0" w:color="000000"/>
              <w:right w:val="single" w:sz="4" w:space="0" w:color="000000"/>
            </w:tcBorders>
          </w:tcPr>
          <w:p w14:paraId="16611E97" w14:textId="77777777" w:rsidR="00823138" w:rsidRDefault="00A0477A">
            <w:pPr>
              <w:spacing w:after="0" w:line="259" w:lineRule="auto"/>
              <w:ind w:left="422" w:firstLine="0"/>
              <w:jc w:val="left"/>
            </w:pPr>
            <w:r>
              <w:rPr>
                <w:sz w:val="22"/>
              </w:rPr>
              <w:t>225,000</w:t>
            </w:r>
          </w:p>
        </w:tc>
        <w:tc>
          <w:tcPr>
            <w:tcW w:w="1260" w:type="dxa"/>
            <w:tcBorders>
              <w:top w:val="single" w:sz="4" w:space="0" w:color="000000"/>
              <w:left w:val="single" w:sz="4" w:space="0" w:color="000000"/>
              <w:bottom w:val="single" w:sz="4" w:space="0" w:color="000000"/>
              <w:right w:val="single" w:sz="4" w:space="0" w:color="000000"/>
            </w:tcBorders>
          </w:tcPr>
          <w:p w14:paraId="26DF3337" w14:textId="77777777" w:rsidR="00823138" w:rsidRDefault="00A0477A">
            <w:pPr>
              <w:spacing w:after="0" w:line="259" w:lineRule="auto"/>
              <w:ind w:left="0" w:right="58" w:firstLine="0"/>
              <w:jc w:val="right"/>
            </w:pPr>
            <w:r>
              <w:rPr>
                <w:sz w:val="22"/>
              </w:rPr>
              <w:t>3,522</w:t>
            </w:r>
          </w:p>
        </w:tc>
        <w:tc>
          <w:tcPr>
            <w:tcW w:w="1800" w:type="dxa"/>
            <w:tcBorders>
              <w:top w:val="single" w:sz="4" w:space="0" w:color="000000"/>
              <w:left w:val="single" w:sz="4" w:space="0" w:color="000000"/>
              <w:bottom w:val="single" w:sz="4" w:space="0" w:color="000000"/>
              <w:right w:val="single" w:sz="4" w:space="0" w:color="000000"/>
            </w:tcBorders>
          </w:tcPr>
          <w:p w14:paraId="5BBC8CD6" w14:textId="77777777" w:rsidR="00823138" w:rsidRDefault="00A0477A">
            <w:pPr>
              <w:spacing w:after="0" w:line="259" w:lineRule="auto"/>
              <w:ind w:left="0" w:right="57" w:firstLine="0"/>
              <w:jc w:val="right"/>
            </w:pPr>
            <w:r>
              <w:rPr>
                <w:sz w:val="22"/>
              </w:rPr>
              <w:t>792,450,000</w:t>
            </w:r>
          </w:p>
        </w:tc>
        <w:tc>
          <w:tcPr>
            <w:tcW w:w="900" w:type="dxa"/>
            <w:tcBorders>
              <w:top w:val="single" w:sz="4" w:space="0" w:color="000000"/>
              <w:left w:val="single" w:sz="4" w:space="0" w:color="000000"/>
              <w:bottom w:val="single" w:sz="4" w:space="0" w:color="000000"/>
              <w:right w:val="single" w:sz="4" w:space="0" w:color="000000"/>
            </w:tcBorders>
          </w:tcPr>
          <w:p w14:paraId="6B73CEFF" w14:textId="77777777" w:rsidR="00823138" w:rsidRDefault="00A0477A">
            <w:pPr>
              <w:spacing w:after="0" w:line="259" w:lineRule="auto"/>
              <w:ind w:left="0" w:right="58" w:firstLine="0"/>
              <w:jc w:val="right"/>
            </w:pPr>
            <w:r>
              <w:rPr>
                <w:sz w:val="22"/>
              </w:rPr>
              <w:t xml:space="preserve">321 </w:t>
            </w:r>
          </w:p>
        </w:tc>
        <w:tc>
          <w:tcPr>
            <w:tcW w:w="1368" w:type="dxa"/>
            <w:tcBorders>
              <w:top w:val="single" w:sz="4" w:space="0" w:color="000000"/>
              <w:left w:val="single" w:sz="4" w:space="0" w:color="000000"/>
              <w:bottom w:val="single" w:sz="4" w:space="0" w:color="000000"/>
              <w:right w:val="single" w:sz="4" w:space="0" w:color="000000"/>
            </w:tcBorders>
          </w:tcPr>
          <w:p w14:paraId="54D903FF" w14:textId="77777777" w:rsidR="00823138" w:rsidRDefault="00A0477A">
            <w:pPr>
              <w:spacing w:after="0" w:line="259" w:lineRule="auto"/>
              <w:ind w:left="92" w:firstLine="0"/>
              <w:jc w:val="center"/>
            </w:pPr>
            <w:r>
              <w:rPr>
                <w:sz w:val="22"/>
              </w:rPr>
              <w:t>72,225,000</w:t>
            </w:r>
          </w:p>
        </w:tc>
      </w:tr>
      <w:tr w:rsidR="00823138" w14:paraId="7D5E006A" w14:textId="77777777">
        <w:trPr>
          <w:trHeight w:val="516"/>
        </w:trPr>
        <w:tc>
          <w:tcPr>
            <w:tcW w:w="1516" w:type="dxa"/>
            <w:tcBorders>
              <w:top w:val="single" w:sz="4" w:space="0" w:color="000000"/>
              <w:left w:val="single" w:sz="4" w:space="0" w:color="000000"/>
              <w:bottom w:val="single" w:sz="4" w:space="0" w:color="000000"/>
              <w:right w:val="single" w:sz="4" w:space="0" w:color="000000"/>
            </w:tcBorders>
          </w:tcPr>
          <w:p w14:paraId="25B16D75" w14:textId="77777777" w:rsidR="00823138" w:rsidRDefault="00A0477A">
            <w:pPr>
              <w:spacing w:after="0" w:line="259" w:lineRule="auto"/>
              <w:ind w:left="69" w:firstLine="0"/>
              <w:jc w:val="left"/>
            </w:pPr>
            <w:r>
              <w:rPr>
                <w:sz w:val="22"/>
              </w:rPr>
              <w:t xml:space="preserve">Lung Cancer </w:t>
            </w:r>
          </w:p>
        </w:tc>
        <w:tc>
          <w:tcPr>
            <w:tcW w:w="1364" w:type="dxa"/>
            <w:tcBorders>
              <w:top w:val="single" w:sz="4" w:space="0" w:color="000000"/>
              <w:left w:val="single" w:sz="4" w:space="0" w:color="000000"/>
              <w:bottom w:val="single" w:sz="4" w:space="0" w:color="000000"/>
              <w:right w:val="single" w:sz="4" w:space="0" w:color="000000"/>
            </w:tcBorders>
          </w:tcPr>
          <w:p w14:paraId="22C0E5C4" w14:textId="77777777" w:rsidR="00823138" w:rsidRDefault="00A0477A">
            <w:pPr>
              <w:spacing w:after="0" w:line="259" w:lineRule="auto"/>
              <w:ind w:left="0" w:right="55" w:firstLine="0"/>
              <w:jc w:val="right"/>
            </w:pPr>
            <w:r>
              <w:rPr>
                <w:sz w:val="22"/>
              </w:rPr>
              <w:t>15,000</w:t>
            </w:r>
          </w:p>
        </w:tc>
        <w:tc>
          <w:tcPr>
            <w:tcW w:w="1260" w:type="dxa"/>
            <w:tcBorders>
              <w:top w:val="single" w:sz="4" w:space="0" w:color="000000"/>
              <w:left w:val="single" w:sz="4" w:space="0" w:color="000000"/>
              <w:bottom w:val="single" w:sz="4" w:space="0" w:color="000000"/>
              <w:right w:val="single" w:sz="4" w:space="0" w:color="000000"/>
            </w:tcBorders>
          </w:tcPr>
          <w:p w14:paraId="5D3B55E3" w14:textId="77777777" w:rsidR="00823138" w:rsidRDefault="00A0477A">
            <w:pPr>
              <w:spacing w:after="0" w:line="259" w:lineRule="auto"/>
              <w:ind w:left="0" w:right="55" w:firstLine="0"/>
              <w:jc w:val="right"/>
            </w:pPr>
            <w:r>
              <w:rPr>
                <w:sz w:val="22"/>
              </w:rPr>
              <w:t xml:space="preserve">7,873 </w:t>
            </w:r>
          </w:p>
        </w:tc>
        <w:tc>
          <w:tcPr>
            <w:tcW w:w="1800" w:type="dxa"/>
            <w:tcBorders>
              <w:top w:val="single" w:sz="4" w:space="0" w:color="000000"/>
              <w:left w:val="single" w:sz="4" w:space="0" w:color="000000"/>
              <w:bottom w:val="single" w:sz="4" w:space="0" w:color="000000"/>
              <w:right w:val="single" w:sz="4" w:space="0" w:color="000000"/>
            </w:tcBorders>
          </w:tcPr>
          <w:p w14:paraId="485ABC75" w14:textId="77777777" w:rsidR="00823138" w:rsidRDefault="00A0477A">
            <w:pPr>
              <w:spacing w:after="0" w:line="259" w:lineRule="auto"/>
              <w:ind w:left="0" w:right="56" w:firstLine="0"/>
              <w:jc w:val="right"/>
            </w:pPr>
            <w:r>
              <w:rPr>
                <w:sz w:val="22"/>
              </w:rPr>
              <w:t>118,095,000</w:t>
            </w:r>
          </w:p>
        </w:tc>
        <w:tc>
          <w:tcPr>
            <w:tcW w:w="900" w:type="dxa"/>
            <w:tcBorders>
              <w:top w:val="single" w:sz="4" w:space="0" w:color="000000"/>
              <w:left w:val="single" w:sz="4" w:space="0" w:color="000000"/>
              <w:bottom w:val="single" w:sz="4" w:space="0" w:color="000000"/>
              <w:right w:val="single" w:sz="4" w:space="0" w:color="000000"/>
            </w:tcBorders>
          </w:tcPr>
          <w:p w14:paraId="5BFCA9EC" w14:textId="77777777" w:rsidR="00823138" w:rsidRDefault="00A0477A">
            <w:pPr>
              <w:spacing w:after="0" w:line="259" w:lineRule="auto"/>
              <w:ind w:left="0" w:right="57" w:firstLine="0"/>
              <w:jc w:val="right"/>
            </w:pPr>
            <w:r>
              <w:rPr>
                <w:sz w:val="22"/>
              </w:rPr>
              <w:t xml:space="preserve">325 </w:t>
            </w:r>
          </w:p>
        </w:tc>
        <w:tc>
          <w:tcPr>
            <w:tcW w:w="1368" w:type="dxa"/>
            <w:tcBorders>
              <w:top w:val="single" w:sz="4" w:space="0" w:color="000000"/>
              <w:left w:val="single" w:sz="4" w:space="0" w:color="000000"/>
              <w:bottom w:val="single" w:sz="4" w:space="0" w:color="000000"/>
              <w:right w:val="single" w:sz="4" w:space="0" w:color="000000"/>
            </w:tcBorders>
          </w:tcPr>
          <w:p w14:paraId="070F9F46" w14:textId="77777777" w:rsidR="00823138" w:rsidRDefault="00A0477A">
            <w:pPr>
              <w:spacing w:after="0" w:line="259" w:lineRule="auto"/>
              <w:ind w:left="261" w:firstLine="0"/>
              <w:jc w:val="left"/>
            </w:pPr>
            <w:r>
              <w:rPr>
                <w:sz w:val="22"/>
              </w:rPr>
              <w:t>4,875,000</w:t>
            </w:r>
          </w:p>
        </w:tc>
      </w:tr>
      <w:tr w:rsidR="00823138" w14:paraId="7C89D880" w14:textId="77777777">
        <w:trPr>
          <w:trHeight w:val="516"/>
        </w:trPr>
        <w:tc>
          <w:tcPr>
            <w:tcW w:w="1516" w:type="dxa"/>
            <w:tcBorders>
              <w:top w:val="single" w:sz="4" w:space="0" w:color="000000"/>
              <w:left w:val="single" w:sz="4" w:space="0" w:color="000000"/>
              <w:bottom w:val="single" w:sz="4" w:space="0" w:color="000000"/>
              <w:right w:val="single" w:sz="4" w:space="0" w:color="000000"/>
            </w:tcBorders>
          </w:tcPr>
          <w:p w14:paraId="1A42E75C" w14:textId="77777777" w:rsidR="00823138" w:rsidRDefault="00A0477A">
            <w:pPr>
              <w:spacing w:after="0" w:line="259" w:lineRule="auto"/>
              <w:ind w:left="0" w:right="64" w:firstLine="0"/>
              <w:jc w:val="center"/>
            </w:pPr>
            <w:r>
              <w:rPr>
                <w:sz w:val="22"/>
              </w:rPr>
              <w:t xml:space="preserve">Other </w:t>
            </w:r>
          </w:p>
        </w:tc>
        <w:tc>
          <w:tcPr>
            <w:tcW w:w="1364" w:type="dxa"/>
            <w:tcBorders>
              <w:top w:val="single" w:sz="4" w:space="0" w:color="000000"/>
              <w:left w:val="single" w:sz="4" w:space="0" w:color="000000"/>
              <w:bottom w:val="single" w:sz="4" w:space="0" w:color="000000"/>
              <w:right w:val="single" w:sz="4" w:space="0" w:color="000000"/>
            </w:tcBorders>
          </w:tcPr>
          <w:p w14:paraId="13B269D9" w14:textId="77777777" w:rsidR="00823138" w:rsidRDefault="00A0477A">
            <w:pPr>
              <w:spacing w:after="0" w:line="259" w:lineRule="auto"/>
              <w:ind w:left="0" w:right="56" w:firstLine="0"/>
              <w:jc w:val="right"/>
            </w:pPr>
            <w:r>
              <w:rPr>
                <w:sz w:val="22"/>
              </w:rPr>
              <w:t>2,000</w:t>
            </w:r>
          </w:p>
        </w:tc>
        <w:tc>
          <w:tcPr>
            <w:tcW w:w="1260" w:type="dxa"/>
            <w:tcBorders>
              <w:top w:val="single" w:sz="4" w:space="0" w:color="000000"/>
              <w:left w:val="single" w:sz="4" w:space="0" w:color="000000"/>
              <w:bottom w:val="single" w:sz="4" w:space="0" w:color="000000"/>
              <w:right w:val="single" w:sz="4" w:space="0" w:color="000000"/>
            </w:tcBorders>
          </w:tcPr>
          <w:p w14:paraId="3E9370DD" w14:textId="77777777" w:rsidR="00823138" w:rsidRDefault="00A0477A">
            <w:pPr>
              <w:spacing w:after="0" w:line="259" w:lineRule="auto"/>
              <w:ind w:left="0" w:right="56" w:firstLine="0"/>
              <w:jc w:val="right"/>
            </w:pPr>
            <w:r>
              <w:rPr>
                <w:sz w:val="22"/>
              </w:rPr>
              <w:t xml:space="preserve">129,141 </w:t>
            </w:r>
          </w:p>
        </w:tc>
        <w:tc>
          <w:tcPr>
            <w:tcW w:w="1800" w:type="dxa"/>
            <w:tcBorders>
              <w:top w:val="single" w:sz="4" w:space="0" w:color="000000"/>
              <w:left w:val="single" w:sz="4" w:space="0" w:color="000000"/>
              <w:bottom w:val="single" w:sz="4" w:space="0" w:color="000000"/>
              <w:right w:val="single" w:sz="4" w:space="0" w:color="000000"/>
            </w:tcBorders>
          </w:tcPr>
          <w:p w14:paraId="395DAF9E" w14:textId="77777777" w:rsidR="00823138" w:rsidRDefault="00A0477A">
            <w:pPr>
              <w:spacing w:after="0" w:line="259" w:lineRule="auto"/>
              <w:ind w:left="0" w:right="57" w:firstLine="0"/>
              <w:jc w:val="right"/>
            </w:pPr>
            <w:r>
              <w:rPr>
                <w:sz w:val="22"/>
              </w:rPr>
              <w:t xml:space="preserve">258,282,000 </w:t>
            </w:r>
          </w:p>
        </w:tc>
        <w:tc>
          <w:tcPr>
            <w:tcW w:w="900" w:type="dxa"/>
            <w:tcBorders>
              <w:top w:val="single" w:sz="4" w:space="0" w:color="000000"/>
              <w:left w:val="single" w:sz="4" w:space="0" w:color="000000"/>
              <w:bottom w:val="single" w:sz="4" w:space="0" w:color="000000"/>
              <w:right w:val="single" w:sz="4" w:space="0" w:color="000000"/>
            </w:tcBorders>
          </w:tcPr>
          <w:p w14:paraId="5A27185D" w14:textId="77777777" w:rsidR="00823138" w:rsidRDefault="00A0477A">
            <w:pPr>
              <w:spacing w:after="0" w:line="259" w:lineRule="auto"/>
              <w:ind w:left="0" w:right="57" w:firstLine="0"/>
              <w:jc w:val="right"/>
            </w:pPr>
            <w:r>
              <w:rPr>
                <w:sz w:val="22"/>
              </w:rPr>
              <w:t xml:space="preserve">3,517 </w:t>
            </w:r>
          </w:p>
        </w:tc>
        <w:tc>
          <w:tcPr>
            <w:tcW w:w="1368" w:type="dxa"/>
            <w:tcBorders>
              <w:top w:val="single" w:sz="4" w:space="0" w:color="000000"/>
              <w:left w:val="single" w:sz="4" w:space="0" w:color="000000"/>
              <w:bottom w:val="single" w:sz="4" w:space="0" w:color="000000"/>
              <w:right w:val="single" w:sz="4" w:space="0" w:color="000000"/>
            </w:tcBorders>
          </w:tcPr>
          <w:p w14:paraId="28DE8B11" w14:textId="77777777" w:rsidR="00823138" w:rsidRDefault="00A0477A">
            <w:pPr>
              <w:spacing w:after="0" w:line="259" w:lineRule="auto"/>
              <w:ind w:left="260" w:firstLine="0"/>
              <w:jc w:val="left"/>
            </w:pPr>
            <w:r>
              <w:rPr>
                <w:sz w:val="22"/>
              </w:rPr>
              <w:t>7,034,000</w:t>
            </w:r>
          </w:p>
        </w:tc>
      </w:tr>
      <w:tr w:rsidR="00823138" w14:paraId="1CB147E4" w14:textId="77777777">
        <w:trPr>
          <w:trHeight w:val="264"/>
        </w:trPr>
        <w:tc>
          <w:tcPr>
            <w:tcW w:w="1516" w:type="dxa"/>
            <w:tcBorders>
              <w:top w:val="single" w:sz="4" w:space="0" w:color="000000"/>
              <w:left w:val="single" w:sz="4" w:space="0" w:color="000000"/>
              <w:bottom w:val="single" w:sz="4" w:space="0" w:color="000000"/>
              <w:right w:val="single" w:sz="4" w:space="0" w:color="000000"/>
            </w:tcBorders>
          </w:tcPr>
          <w:p w14:paraId="4F4391B9" w14:textId="77777777" w:rsidR="00823138" w:rsidRDefault="00A0477A">
            <w:pPr>
              <w:spacing w:after="0" w:line="259" w:lineRule="auto"/>
              <w:ind w:left="0" w:right="67" w:firstLine="0"/>
              <w:jc w:val="center"/>
            </w:pPr>
            <w:r>
              <w:rPr>
                <w:b/>
                <w:sz w:val="22"/>
              </w:rPr>
              <w:t xml:space="preserve">Total </w:t>
            </w:r>
          </w:p>
        </w:tc>
        <w:tc>
          <w:tcPr>
            <w:tcW w:w="1364" w:type="dxa"/>
            <w:tcBorders>
              <w:top w:val="single" w:sz="4" w:space="0" w:color="000000"/>
              <w:left w:val="single" w:sz="4" w:space="0" w:color="000000"/>
              <w:bottom w:val="single" w:sz="4" w:space="0" w:color="000000"/>
              <w:right w:val="single" w:sz="4" w:space="0" w:color="000000"/>
            </w:tcBorders>
          </w:tcPr>
          <w:p w14:paraId="6E3A3D59" w14:textId="77777777" w:rsidR="00823138" w:rsidRDefault="00823138">
            <w:pPr>
              <w:spacing w:after="160" w:line="259" w:lineRule="auto"/>
              <w:ind w:left="0" w:firstLine="0"/>
              <w:jc w:val="left"/>
            </w:pPr>
          </w:p>
        </w:tc>
        <w:tc>
          <w:tcPr>
            <w:tcW w:w="1260" w:type="dxa"/>
            <w:tcBorders>
              <w:top w:val="single" w:sz="4" w:space="0" w:color="000000"/>
              <w:left w:val="single" w:sz="4" w:space="0" w:color="000000"/>
              <w:bottom w:val="single" w:sz="4" w:space="0" w:color="000000"/>
              <w:right w:val="single" w:sz="4" w:space="0" w:color="000000"/>
            </w:tcBorders>
          </w:tcPr>
          <w:p w14:paraId="4B5062B0" w14:textId="77777777" w:rsidR="00823138" w:rsidRDefault="00A0477A">
            <w:pPr>
              <w:spacing w:after="0" w:line="259" w:lineRule="auto"/>
              <w:ind w:left="318" w:firstLine="0"/>
              <w:jc w:val="left"/>
            </w:pPr>
            <w:r>
              <w:rPr>
                <w:sz w:val="22"/>
              </w:rPr>
              <w:t>140,536</w:t>
            </w:r>
          </w:p>
        </w:tc>
        <w:tc>
          <w:tcPr>
            <w:tcW w:w="1800" w:type="dxa"/>
            <w:tcBorders>
              <w:top w:val="single" w:sz="4" w:space="0" w:color="000000"/>
              <w:left w:val="single" w:sz="4" w:space="0" w:color="000000"/>
              <w:bottom w:val="single" w:sz="4" w:space="0" w:color="000000"/>
              <w:right w:val="single" w:sz="4" w:space="0" w:color="000000"/>
            </w:tcBorders>
          </w:tcPr>
          <w:p w14:paraId="65E6CE61" w14:textId="77777777" w:rsidR="00823138" w:rsidRDefault="00A0477A">
            <w:pPr>
              <w:spacing w:after="0" w:line="259" w:lineRule="auto"/>
              <w:ind w:left="306" w:firstLine="0"/>
              <w:jc w:val="left"/>
            </w:pPr>
            <w:r>
              <w:rPr>
                <w:b/>
                <w:sz w:val="22"/>
              </w:rPr>
              <w:t>1,168,827,000</w:t>
            </w:r>
          </w:p>
        </w:tc>
        <w:tc>
          <w:tcPr>
            <w:tcW w:w="900" w:type="dxa"/>
            <w:tcBorders>
              <w:top w:val="single" w:sz="4" w:space="0" w:color="000000"/>
              <w:left w:val="single" w:sz="4" w:space="0" w:color="000000"/>
              <w:bottom w:val="single" w:sz="4" w:space="0" w:color="000000"/>
              <w:right w:val="single" w:sz="4" w:space="0" w:color="000000"/>
            </w:tcBorders>
          </w:tcPr>
          <w:p w14:paraId="62885446" w14:textId="77777777" w:rsidR="00823138" w:rsidRDefault="00A0477A">
            <w:pPr>
              <w:spacing w:after="0" w:line="259" w:lineRule="auto"/>
              <w:ind w:left="0" w:right="58" w:firstLine="0"/>
              <w:jc w:val="right"/>
            </w:pPr>
            <w:r>
              <w:rPr>
                <w:sz w:val="22"/>
              </w:rPr>
              <w:t xml:space="preserve">4,163 </w:t>
            </w:r>
          </w:p>
        </w:tc>
        <w:tc>
          <w:tcPr>
            <w:tcW w:w="1368" w:type="dxa"/>
            <w:tcBorders>
              <w:top w:val="single" w:sz="4" w:space="0" w:color="000000"/>
              <w:left w:val="single" w:sz="4" w:space="0" w:color="000000"/>
              <w:bottom w:val="single" w:sz="4" w:space="0" w:color="000000"/>
              <w:right w:val="single" w:sz="4" w:space="0" w:color="000000"/>
            </w:tcBorders>
          </w:tcPr>
          <w:p w14:paraId="2315F6FF" w14:textId="77777777" w:rsidR="00823138" w:rsidRDefault="00A0477A">
            <w:pPr>
              <w:spacing w:after="0" w:line="259" w:lineRule="auto"/>
              <w:ind w:left="92" w:firstLine="0"/>
              <w:jc w:val="center"/>
            </w:pPr>
            <w:r>
              <w:rPr>
                <w:b/>
                <w:sz w:val="22"/>
              </w:rPr>
              <w:t>84,134,000</w:t>
            </w:r>
          </w:p>
        </w:tc>
      </w:tr>
    </w:tbl>
    <w:p w14:paraId="581FB298" w14:textId="77777777" w:rsidR="00823138" w:rsidRDefault="00A0477A">
      <w:pPr>
        <w:spacing w:after="235" w:line="259" w:lineRule="auto"/>
        <w:ind w:left="720" w:firstLine="0"/>
        <w:jc w:val="left"/>
      </w:pPr>
      <w:r>
        <w:rPr>
          <w:sz w:val="22"/>
        </w:rPr>
        <w:t xml:space="preserve"> </w:t>
      </w:r>
    </w:p>
    <w:p w14:paraId="531356F8" w14:textId="77777777" w:rsidR="00823138" w:rsidRDefault="00A0477A">
      <w:pPr>
        <w:spacing w:after="252" w:line="259" w:lineRule="auto"/>
        <w:ind w:right="-8"/>
        <w:jc w:val="right"/>
      </w:pPr>
      <w:r>
        <w:t xml:space="preserve">The corresponding values for the non-settling claimants </w:t>
      </w:r>
      <w:proofErr w:type="gramStart"/>
      <w:r>
        <w:t>is</w:t>
      </w:r>
      <w:proofErr w:type="gramEnd"/>
      <w:r>
        <w:t xml:space="preserve"> the following (</w:t>
      </w:r>
      <w:r>
        <w:rPr>
          <w:u w:val="single" w:color="000000"/>
        </w:rPr>
        <w:t>see</w:t>
      </w:r>
      <w:r>
        <w:t xml:space="preserve"> </w:t>
      </w:r>
    </w:p>
    <w:p w14:paraId="27FC5B8F" w14:textId="77777777" w:rsidR="00823138" w:rsidRDefault="00A0477A">
      <w:pPr>
        <w:spacing w:after="217" w:line="265" w:lineRule="auto"/>
        <w:ind w:left="-5"/>
        <w:jc w:val="left"/>
      </w:pPr>
      <w:r>
        <w:rPr>
          <w:u w:val="single" w:color="000000"/>
        </w:rPr>
        <w:t>Certification</w:t>
      </w:r>
      <w:r>
        <w:t xml:space="preserve">, Ex. C): </w:t>
      </w:r>
    </w:p>
    <w:tbl>
      <w:tblPr>
        <w:tblStyle w:val="TableGrid"/>
        <w:tblW w:w="8208" w:type="dxa"/>
        <w:tblInd w:w="540" w:type="dxa"/>
        <w:tblCellMar>
          <w:top w:w="48" w:type="dxa"/>
          <w:left w:w="116" w:type="dxa"/>
          <w:bottom w:w="0" w:type="dxa"/>
          <w:right w:w="51" w:type="dxa"/>
        </w:tblCellMar>
        <w:tblLook w:val="04A0" w:firstRow="1" w:lastRow="0" w:firstColumn="1" w:lastColumn="0" w:noHBand="0" w:noVBand="1"/>
      </w:tblPr>
      <w:tblGrid>
        <w:gridCol w:w="1516"/>
        <w:gridCol w:w="1364"/>
        <w:gridCol w:w="1260"/>
        <w:gridCol w:w="1800"/>
        <w:gridCol w:w="900"/>
        <w:gridCol w:w="1368"/>
      </w:tblGrid>
      <w:tr w:rsidR="00823138" w14:paraId="7F6B5AB6" w14:textId="77777777">
        <w:trPr>
          <w:trHeight w:val="264"/>
        </w:trPr>
        <w:tc>
          <w:tcPr>
            <w:tcW w:w="1516" w:type="dxa"/>
            <w:tcBorders>
              <w:top w:val="single" w:sz="4" w:space="0" w:color="000000"/>
              <w:left w:val="single" w:sz="4" w:space="0" w:color="000000"/>
              <w:bottom w:val="single" w:sz="4" w:space="0" w:color="000000"/>
              <w:right w:val="single" w:sz="4" w:space="0" w:color="000000"/>
            </w:tcBorders>
          </w:tcPr>
          <w:p w14:paraId="17515345" w14:textId="77777777" w:rsidR="00823138" w:rsidRDefault="00A0477A">
            <w:pPr>
              <w:spacing w:after="0" w:line="259" w:lineRule="auto"/>
              <w:ind w:left="67" w:firstLine="0"/>
              <w:jc w:val="left"/>
            </w:pPr>
            <w:r>
              <w:rPr>
                <w:b/>
                <w:sz w:val="22"/>
              </w:rPr>
              <w:t xml:space="preserve">Non-settling </w:t>
            </w:r>
          </w:p>
        </w:tc>
        <w:tc>
          <w:tcPr>
            <w:tcW w:w="1364" w:type="dxa"/>
            <w:tcBorders>
              <w:top w:val="single" w:sz="4" w:space="0" w:color="000000"/>
              <w:left w:val="single" w:sz="4" w:space="0" w:color="000000"/>
              <w:bottom w:val="single" w:sz="4" w:space="0" w:color="000000"/>
              <w:right w:val="single" w:sz="4" w:space="0" w:color="000000"/>
            </w:tcBorders>
          </w:tcPr>
          <w:p w14:paraId="25F43B23" w14:textId="77777777" w:rsidR="00823138" w:rsidRDefault="00A0477A">
            <w:pPr>
              <w:spacing w:after="0" w:line="259" w:lineRule="auto"/>
              <w:ind w:left="0" w:firstLine="0"/>
              <w:jc w:val="left"/>
            </w:pPr>
            <w:r>
              <w:rPr>
                <w:b/>
                <w:sz w:val="22"/>
              </w:rPr>
              <w:t xml:space="preserve">TDP Values </w:t>
            </w:r>
          </w:p>
        </w:tc>
        <w:tc>
          <w:tcPr>
            <w:tcW w:w="1260" w:type="dxa"/>
            <w:tcBorders>
              <w:top w:val="single" w:sz="4" w:space="0" w:color="000000"/>
              <w:left w:val="single" w:sz="4" w:space="0" w:color="000000"/>
              <w:bottom w:val="single" w:sz="4" w:space="0" w:color="000000"/>
              <w:right w:val="single" w:sz="4" w:space="0" w:color="000000"/>
            </w:tcBorders>
          </w:tcPr>
          <w:p w14:paraId="258D629E" w14:textId="77777777" w:rsidR="00823138" w:rsidRDefault="00A0477A">
            <w:pPr>
              <w:spacing w:after="0" w:line="259" w:lineRule="auto"/>
              <w:ind w:left="0" w:right="67" w:firstLine="0"/>
              <w:jc w:val="center"/>
            </w:pPr>
            <w:r>
              <w:rPr>
                <w:b/>
                <w:sz w:val="22"/>
              </w:rPr>
              <w:t xml:space="preserve">Accept </w:t>
            </w:r>
          </w:p>
        </w:tc>
        <w:tc>
          <w:tcPr>
            <w:tcW w:w="1800" w:type="dxa"/>
            <w:tcBorders>
              <w:top w:val="single" w:sz="4" w:space="0" w:color="000000"/>
              <w:left w:val="single" w:sz="4" w:space="0" w:color="000000"/>
              <w:bottom w:val="single" w:sz="4" w:space="0" w:color="000000"/>
              <w:right w:val="single" w:sz="4" w:space="0" w:color="000000"/>
            </w:tcBorders>
          </w:tcPr>
          <w:p w14:paraId="3C0D0404" w14:textId="77777777" w:rsidR="00823138" w:rsidRDefault="00A0477A">
            <w:pPr>
              <w:spacing w:after="0" w:line="259" w:lineRule="auto"/>
              <w:ind w:left="0" w:right="66" w:firstLine="0"/>
              <w:jc w:val="center"/>
            </w:pPr>
            <w:r>
              <w:rPr>
                <w:b/>
                <w:sz w:val="22"/>
              </w:rPr>
              <w:t xml:space="preserve">Total Value </w:t>
            </w:r>
          </w:p>
        </w:tc>
        <w:tc>
          <w:tcPr>
            <w:tcW w:w="900" w:type="dxa"/>
            <w:tcBorders>
              <w:top w:val="single" w:sz="4" w:space="0" w:color="000000"/>
              <w:left w:val="single" w:sz="4" w:space="0" w:color="000000"/>
              <w:bottom w:val="single" w:sz="4" w:space="0" w:color="000000"/>
              <w:right w:val="single" w:sz="4" w:space="0" w:color="000000"/>
            </w:tcBorders>
          </w:tcPr>
          <w:p w14:paraId="5A5FE545" w14:textId="77777777" w:rsidR="00823138" w:rsidRDefault="00A0477A">
            <w:pPr>
              <w:spacing w:after="0" w:line="259" w:lineRule="auto"/>
              <w:ind w:left="34" w:firstLine="0"/>
              <w:jc w:val="left"/>
            </w:pPr>
            <w:r>
              <w:rPr>
                <w:b/>
                <w:sz w:val="22"/>
              </w:rPr>
              <w:t xml:space="preserve">Reject </w:t>
            </w:r>
          </w:p>
        </w:tc>
        <w:tc>
          <w:tcPr>
            <w:tcW w:w="1368" w:type="dxa"/>
            <w:tcBorders>
              <w:top w:val="single" w:sz="4" w:space="0" w:color="000000"/>
              <w:left w:val="single" w:sz="4" w:space="0" w:color="000000"/>
              <w:bottom w:val="single" w:sz="4" w:space="0" w:color="000000"/>
              <w:right w:val="single" w:sz="4" w:space="0" w:color="000000"/>
            </w:tcBorders>
          </w:tcPr>
          <w:p w14:paraId="2BEB5D69" w14:textId="77777777" w:rsidR="00823138" w:rsidRDefault="00A0477A">
            <w:pPr>
              <w:spacing w:after="0" w:line="259" w:lineRule="auto"/>
              <w:ind w:left="15" w:firstLine="0"/>
              <w:jc w:val="left"/>
            </w:pPr>
            <w:r>
              <w:rPr>
                <w:b/>
                <w:sz w:val="22"/>
              </w:rPr>
              <w:t xml:space="preserve">Total Value </w:t>
            </w:r>
          </w:p>
        </w:tc>
      </w:tr>
      <w:tr w:rsidR="00823138" w14:paraId="5BF77E5E" w14:textId="77777777">
        <w:trPr>
          <w:trHeight w:val="516"/>
        </w:trPr>
        <w:tc>
          <w:tcPr>
            <w:tcW w:w="1516" w:type="dxa"/>
            <w:tcBorders>
              <w:top w:val="single" w:sz="4" w:space="0" w:color="000000"/>
              <w:left w:val="single" w:sz="4" w:space="0" w:color="000000"/>
              <w:bottom w:val="single" w:sz="4" w:space="0" w:color="000000"/>
              <w:right w:val="single" w:sz="4" w:space="0" w:color="000000"/>
            </w:tcBorders>
          </w:tcPr>
          <w:p w14:paraId="5483E297" w14:textId="77777777" w:rsidR="00823138" w:rsidRDefault="00A0477A">
            <w:pPr>
              <w:spacing w:after="0" w:line="259" w:lineRule="auto"/>
              <w:ind w:left="0" w:firstLine="0"/>
              <w:jc w:val="center"/>
            </w:pPr>
            <w:r>
              <w:rPr>
                <w:sz w:val="22"/>
              </w:rPr>
              <w:t xml:space="preserve">Mesothelioma Claimants </w:t>
            </w:r>
          </w:p>
        </w:tc>
        <w:tc>
          <w:tcPr>
            <w:tcW w:w="1364" w:type="dxa"/>
            <w:tcBorders>
              <w:top w:val="single" w:sz="4" w:space="0" w:color="000000"/>
              <w:left w:val="single" w:sz="4" w:space="0" w:color="000000"/>
              <w:bottom w:val="single" w:sz="4" w:space="0" w:color="000000"/>
              <w:right w:val="single" w:sz="4" w:space="0" w:color="000000"/>
            </w:tcBorders>
          </w:tcPr>
          <w:p w14:paraId="6298990A" w14:textId="77777777" w:rsidR="00823138" w:rsidRDefault="00A0477A">
            <w:pPr>
              <w:spacing w:after="0" w:line="259" w:lineRule="auto"/>
              <w:ind w:left="422" w:firstLine="0"/>
              <w:jc w:val="left"/>
            </w:pPr>
            <w:r>
              <w:rPr>
                <w:sz w:val="22"/>
              </w:rPr>
              <w:t>225,000</w:t>
            </w:r>
          </w:p>
        </w:tc>
        <w:tc>
          <w:tcPr>
            <w:tcW w:w="1260" w:type="dxa"/>
            <w:tcBorders>
              <w:top w:val="single" w:sz="4" w:space="0" w:color="000000"/>
              <w:left w:val="single" w:sz="4" w:space="0" w:color="000000"/>
              <w:bottom w:val="single" w:sz="4" w:space="0" w:color="000000"/>
              <w:right w:val="single" w:sz="4" w:space="0" w:color="000000"/>
            </w:tcBorders>
          </w:tcPr>
          <w:p w14:paraId="1333FAD7" w14:textId="77777777" w:rsidR="00823138" w:rsidRDefault="00A0477A">
            <w:pPr>
              <w:spacing w:after="0" w:line="259" w:lineRule="auto"/>
              <w:ind w:left="0" w:right="58" w:firstLine="0"/>
              <w:jc w:val="right"/>
            </w:pPr>
            <w:r>
              <w:rPr>
                <w:sz w:val="22"/>
              </w:rPr>
              <w:t>1,563</w:t>
            </w:r>
          </w:p>
        </w:tc>
        <w:tc>
          <w:tcPr>
            <w:tcW w:w="1800" w:type="dxa"/>
            <w:tcBorders>
              <w:top w:val="single" w:sz="4" w:space="0" w:color="000000"/>
              <w:left w:val="single" w:sz="4" w:space="0" w:color="000000"/>
              <w:bottom w:val="single" w:sz="4" w:space="0" w:color="000000"/>
              <w:right w:val="single" w:sz="4" w:space="0" w:color="000000"/>
            </w:tcBorders>
          </w:tcPr>
          <w:p w14:paraId="4C2AB44A" w14:textId="77777777" w:rsidR="00823138" w:rsidRDefault="00A0477A">
            <w:pPr>
              <w:spacing w:after="0" w:line="259" w:lineRule="auto"/>
              <w:ind w:left="0" w:right="57" w:firstLine="0"/>
              <w:jc w:val="right"/>
            </w:pPr>
            <w:r>
              <w:rPr>
                <w:sz w:val="22"/>
              </w:rPr>
              <w:t>351,675,000</w:t>
            </w:r>
          </w:p>
        </w:tc>
        <w:tc>
          <w:tcPr>
            <w:tcW w:w="900" w:type="dxa"/>
            <w:tcBorders>
              <w:top w:val="single" w:sz="4" w:space="0" w:color="000000"/>
              <w:left w:val="single" w:sz="4" w:space="0" w:color="000000"/>
              <w:bottom w:val="single" w:sz="4" w:space="0" w:color="000000"/>
              <w:right w:val="single" w:sz="4" w:space="0" w:color="000000"/>
            </w:tcBorders>
          </w:tcPr>
          <w:p w14:paraId="1D535ED7" w14:textId="77777777" w:rsidR="00823138" w:rsidRDefault="00A0477A">
            <w:pPr>
              <w:spacing w:after="0" w:line="259" w:lineRule="auto"/>
              <w:ind w:left="0" w:right="57" w:firstLine="0"/>
              <w:jc w:val="right"/>
            </w:pPr>
            <w:r>
              <w:rPr>
                <w:sz w:val="22"/>
              </w:rPr>
              <w:t xml:space="preserve">1,901 </w:t>
            </w:r>
          </w:p>
        </w:tc>
        <w:tc>
          <w:tcPr>
            <w:tcW w:w="1368" w:type="dxa"/>
            <w:tcBorders>
              <w:top w:val="single" w:sz="4" w:space="0" w:color="000000"/>
              <w:left w:val="single" w:sz="4" w:space="0" w:color="000000"/>
              <w:bottom w:val="single" w:sz="4" w:space="0" w:color="000000"/>
              <w:right w:val="single" w:sz="4" w:space="0" w:color="000000"/>
            </w:tcBorders>
          </w:tcPr>
          <w:p w14:paraId="226A1D6C" w14:textId="77777777" w:rsidR="00823138" w:rsidRDefault="00A0477A">
            <w:pPr>
              <w:spacing w:after="0" w:line="259" w:lineRule="auto"/>
              <w:ind w:left="40" w:firstLine="0"/>
              <w:jc w:val="left"/>
            </w:pPr>
            <w:r>
              <w:rPr>
                <w:sz w:val="22"/>
              </w:rPr>
              <w:t>427,725,000</w:t>
            </w:r>
          </w:p>
        </w:tc>
      </w:tr>
      <w:tr w:rsidR="00823138" w14:paraId="42B85F30" w14:textId="77777777">
        <w:trPr>
          <w:trHeight w:val="515"/>
        </w:trPr>
        <w:tc>
          <w:tcPr>
            <w:tcW w:w="1516" w:type="dxa"/>
            <w:tcBorders>
              <w:top w:val="single" w:sz="4" w:space="0" w:color="000000"/>
              <w:left w:val="single" w:sz="4" w:space="0" w:color="000000"/>
              <w:bottom w:val="single" w:sz="4" w:space="0" w:color="000000"/>
              <w:right w:val="single" w:sz="4" w:space="0" w:color="000000"/>
            </w:tcBorders>
          </w:tcPr>
          <w:p w14:paraId="40B7B696" w14:textId="77777777" w:rsidR="00823138" w:rsidRDefault="00A0477A">
            <w:pPr>
              <w:spacing w:after="0" w:line="259" w:lineRule="auto"/>
              <w:ind w:left="70" w:firstLine="0"/>
              <w:jc w:val="left"/>
            </w:pPr>
            <w:r>
              <w:rPr>
                <w:sz w:val="22"/>
              </w:rPr>
              <w:t xml:space="preserve">Lung Cancer </w:t>
            </w:r>
          </w:p>
        </w:tc>
        <w:tc>
          <w:tcPr>
            <w:tcW w:w="1364" w:type="dxa"/>
            <w:tcBorders>
              <w:top w:val="single" w:sz="4" w:space="0" w:color="000000"/>
              <w:left w:val="single" w:sz="4" w:space="0" w:color="000000"/>
              <w:bottom w:val="single" w:sz="4" w:space="0" w:color="000000"/>
              <w:right w:val="single" w:sz="4" w:space="0" w:color="000000"/>
            </w:tcBorders>
          </w:tcPr>
          <w:p w14:paraId="62E47B8C" w14:textId="77777777" w:rsidR="00823138" w:rsidRDefault="00A0477A">
            <w:pPr>
              <w:spacing w:after="0" w:line="259" w:lineRule="auto"/>
              <w:ind w:left="0" w:right="55" w:firstLine="0"/>
              <w:jc w:val="right"/>
            </w:pPr>
            <w:r>
              <w:rPr>
                <w:sz w:val="22"/>
              </w:rPr>
              <w:t>15,000</w:t>
            </w:r>
          </w:p>
        </w:tc>
        <w:tc>
          <w:tcPr>
            <w:tcW w:w="1260" w:type="dxa"/>
            <w:tcBorders>
              <w:top w:val="single" w:sz="4" w:space="0" w:color="000000"/>
              <w:left w:val="single" w:sz="4" w:space="0" w:color="000000"/>
              <w:bottom w:val="single" w:sz="4" w:space="0" w:color="000000"/>
              <w:right w:val="single" w:sz="4" w:space="0" w:color="000000"/>
            </w:tcBorders>
          </w:tcPr>
          <w:p w14:paraId="726488A4" w14:textId="77777777" w:rsidR="00823138" w:rsidRDefault="00A0477A">
            <w:pPr>
              <w:spacing w:after="0" w:line="259" w:lineRule="auto"/>
              <w:ind w:left="0" w:right="55" w:firstLine="0"/>
              <w:jc w:val="right"/>
            </w:pPr>
            <w:r>
              <w:rPr>
                <w:sz w:val="22"/>
              </w:rPr>
              <w:t xml:space="preserve">3,023 </w:t>
            </w:r>
          </w:p>
        </w:tc>
        <w:tc>
          <w:tcPr>
            <w:tcW w:w="1800" w:type="dxa"/>
            <w:tcBorders>
              <w:top w:val="single" w:sz="4" w:space="0" w:color="000000"/>
              <w:left w:val="single" w:sz="4" w:space="0" w:color="000000"/>
              <w:bottom w:val="single" w:sz="4" w:space="0" w:color="000000"/>
              <w:right w:val="single" w:sz="4" w:space="0" w:color="000000"/>
            </w:tcBorders>
          </w:tcPr>
          <w:p w14:paraId="15DAF32B" w14:textId="77777777" w:rsidR="00823138" w:rsidRDefault="00A0477A">
            <w:pPr>
              <w:spacing w:after="0" w:line="259" w:lineRule="auto"/>
              <w:ind w:left="0" w:right="56" w:firstLine="0"/>
              <w:jc w:val="right"/>
            </w:pPr>
            <w:r>
              <w:rPr>
                <w:sz w:val="22"/>
              </w:rPr>
              <w:t>45,345,000</w:t>
            </w:r>
          </w:p>
        </w:tc>
        <w:tc>
          <w:tcPr>
            <w:tcW w:w="900" w:type="dxa"/>
            <w:tcBorders>
              <w:top w:val="single" w:sz="4" w:space="0" w:color="000000"/>
              <w:left w:val="single" w:sz="4" w:space="0" w:color="000000"/>
              <w:bottom w:val="single" w:sz="4" w:space="0" w:color="000000"/>
              <w:right w:val="single" w:sz="4" w:space="0" w:color="000000"/>
            </w:tcBorders>
          </w:tcPr>
          <w:p w14:paraId="0BAF6834" w14:textId="77777777" w:rsidR="00823138" w:rsidRDefault="00A0477A">
            <w:pPr>
              <w:spacing w:after="0" w:line="259" w:lineRule="auto"/>
              <w:ind w:left="0" w:right="56" w:firstLine="0"/>
              <w:jc w:val="right"/>
            </w:pPr>
            <w:r>
              <w:rPr>
                <w:sz w:val="22"/>
              </w:rPr>
              <w:t xml:space="preserve">3,274 </w:t>
            </w:r>
          </w:p>
        </w:tc>
        <w:tc>
          <w:tcPr>
            <w:tcW w:w="1368" w:type="dxa"/>
            <w:tcBorders>
              <w:top w:val="single" w:sz="4" w:space="0" w:color="000000"/>
              <w:left w:val="single" w:sz="4" w:space="0" w:color="000000"/>
              <w:bottom w:val="single" w:sz="4" w:space="0" w:color="000000"/>
              <w:right w:val="single" w:sz="4" w:space="0" w:color="000000"/>
            </w:tcBorders>
          </w:tcPr>
          <w:p w14:paraId="633D537A" w14:textId="77777777" w:rsidR="00823138" w:rsidRDefault="00A0477A">
            <w:pPr>
              <w:spacing w:after="0" w:line="259" w:lineRule="auto"/>
              <w:ind w:left="94" w:firstLine="0"/>
              <w:jc w:val="center"/>
            </w:pPr>
            <w:r>
              <w:rPr>
                <w:sz w:val="22"/>
              </w:rPr>
              <w:t>49,110,000</w:t>
            </w:r>
          </w:p>
        </w:tc>
      </w:tr>
      <w:tr w:rsidR="00823138" w14:paraId="0B226C2A" w14:textId="77777777">
        <w:trPr>
          <w:trHeight w:val="516"/>
        </w:trPr>
        <w:tc>
          <w:tcPr>
            <w:tcW w:w="1516" w:type="dxa"/>
            <w:tcBorders>
              <w:top w:val="single" w:sz="4" w:space="0" w:color="000000"/>
              <w:left w:val="single" w:sz="4" w:space="0" w:color="000000"/>
              <w:bottom w:val="single" w:sz="4" w:space="0" w:color="000000"/>
              <w:right w:val="single" w:sz="4" w:space="0" w:color="000000"/>
            </w:tcBorders>
          </w:tcPr>
          <w:p w14:paraId="3628958C" w14:textId="77777777" w:rsidR="00823138" w:rsidRDefault="00A0477A">
            <w:pPr>
              <w:spacing w:after="0" w:line="259" w:lineRule="auto"/>
              <w:ind w:left="0" w:right="64" w:firstLine="0"/>
              <w:jc w:val="center"/>
            </w:pPr>
            <w:r>
              <w:rPr>
                <w:sz w:val="22"/>
              </w:rPr>
              <w:t xml:space="preserve">Other </w:t>
            </w:r>
          </w:p>
        </w:tc>
        <w:tc>
          <w:tcPr>
            <w:tcW w:w="1364" w:type="dxa"/>
            <w:tcBorders>
              <w:top w:val="single" w:sz="4" w:space="0" w:color="000000"/>
              <w:left w:val="single" w:sz="4" w:space="0" w:color="000000"/>
              <w:bottom w:val="single" w:sz="4" w:space="0" w:color="000000"/>
              <w:right w:val="single" w:sz="4" w:space="0" w:color="000000"/>
            </w:tcBorders>
          </w:tcPr>
          <w:p w14:paraId="4DFDDEEB" w14:textId="77777777" w:rsidR="00823138" w:rsidRDefault="00A0477A">
            <w:pPr>
              <w:spacing w:after="0" w:line="259" w:lineRule="auto"/>
              <w:ind w:left="0" w:right="56" w:firstLine="0"/>
              <w:jc w:val="right"/>
            </w:pPr>
            <w:r>
              <w:rPr>
                <w:sz w:val="22"/>
              </w:rPr>
              <w:t>2,000</w:t>
            </w:r>
          </w:p>
        </w:tc>
        <w:tc>
          <w:tcPr>
            <w:tcW w:w="1260" w:type="dxa"/>
            <w:tcBorders>
              <w:top w:val="single" w:sz="4" w:space="0" w:color="000000"/>
              <w:left w:val="single" w:sz="4" w:space="0" w:color="000000"/>
              <w:bottom w:val="single" w:sz="4" w:space="0" w:color="000000"/>
              <w:right w:val="single" w:sz="4" w:space="0" w:color="000000"/>
            </w:tcBorders>
          </w:tcPr>
          <w:p w14:paraId="1F5DCD04" w14:textId="77777777" w:rsidR="00823138" w:rsidRDefault="00A0477A">
            <w:pPr>
              <w:spacing w:after="0" w:line="259" w:lineRule="auto"/>
              <w:ind w:left="0" w:right="56" w:firstLine="0"/>
              <w:jc w:val="right"/>
            </w:pPr>
            <w:r>
              <w:rPr>
                <w:sz w:val="22"/>
              </w:rPr>
              <w:t xml:space="preserve">32,271 </w:t>
            </w:r>
          </w:p>
        </w:tc>
        <w:tc>
          <w:tcPr>
            <w:tcW w:w="1800" w:type="dxa"/>
            <w:tcBorders>
              <w:top w:val="single" w:sz="4" w:space="0" w:color="000000"/>
              <w:left w:val="single" w:sz="4" w:space="0" w:color="000000"/>
              <w:bottom w:val="single" w:sz="4" w:space="0" w:color="000000"/>
              <w:right w:val="single" w:sz="4" w:space="0" w:color="000000"/>
            </w:tcBorders>
          </w:tcPr>
          <w:p w14:paraId="6C8EDEA7" w14:textId="77777777" w:rsidR="00823138" w:rsidRDefault="00A0477A">
            <w:pPr>
              <w:spacing w:after="0" w:line="259" w:lineRule="auto"/>
              <w:ind w:left="0" w:right="57" w:firstLine="0"/>
              <w:jc w:val="right"/>
            </w:pPr>
            <w:r>
              <w:rPr>
                <w:sz w:val="22"/>
              </w:rPr>
              <w:t xml:space="preserve">64,542,000 </w:t>
            </w:r>
          </w:p>
        </w:tc>
        <w:tc>
          <w:tcPr>
            <w:tcW w:w="900" w:type="dxa"/>
            <w:tcBorders>
              <w:top w:val="single" w:sz="4" w:space="0" w:color="000000"/>
              <w:left w:val="single" w:sz="4" w:space="0" w:color="000000"/>
              <w:bottom w:val="single" w:sz="4" w:space="0" w:color="000000"/>
              <w:right w:val="single" w:sz="4" w:space="0" w:color="000000"/>
            </w:tcBorders>
          </w:tcPr>
          <w:p w14:paraId="4000A275" w14:textId="77777777" w:rsidR="00823138" w:rsidRDefault="00A0477A">
            <w:pPr>
              <w:spacing w:after="0" w:line="259" w:lineRule="auto"/>
              <w:ind w:left="69" w:firstLine="0"/>
              <w:jc w:val="left"/>
            </w:pPr>
            <w:r>
              <w:rPr>
                <w:sz w:val="22"/>
              </w:rPr>
              <w:t xml:space="preserve">21,366 </w:t>
            </w:r>
          </w:p>
        </w:tc>
        <w:tc>
          <w:tcPr>
            <w:tcW w:w="1368" w:type="dxa"/>
            <w:tcBorders>
              <w:top w:val="single" w:sz="4" w:space="0" w:color="000000"/>
              <w:left w:val="single" w:sz="4" w:space="0" w:color="000000"/>
              <w:bottom w:val="single" w:sz="4" w:space="0" w:color="000000"/>
              <w:right w:val="single" w:sz="4" w:space="0" w:color="000000"/>
            </w:tcBorders>
          </w:tcPr>
          <w:p w14:paraId="73652AA8" w14:textId="77777777" w:rsidR="00823138" w:rsidRDefault="00A0477A">
            <w:pPr>
              <w:spacing w:after="0" w:line="259" w:lineRule="auto"/>
              <w:ind w:left="93" w:firstLine="0"/>
              <w:jc w:val="center"/>
            </w:pPr>
            <w:r>
              <w:rPr>
                <w:sz w:val="22"/>
              </w:rPr>
              <w:t>42,732,000</w:t>
            </w:r>
          </w:p>
        </w:tc>
      </w:tr>
      <w:tr w:rsidR="00823138" w14:paraId="76D2E90F" w14:textId="77777777">
        <w:trPr>
          <w:trHeight w:val="264"/>
        </w:trPr>
        <w:tc>
          <w:tcPr>
            <w:tcW w:w="1516" w:type="dxa"/>
            <w:tcBorders>
              <w:top w:val="single" w:sz="4" w:space="0" w:color="000000"/>
              <w:left w:val="single" w:sz="4" w:space="0" w:color="000000"/>
              <w:bottom w:val="single" w:sz="4" w:space="0" w:color="000000"/>
              <w:right w:val="single" w:sz="4" w:space="0" w:color="000000"/>
            </w:tcBorders>
          </w:tcPr>
          <w:p w14:paraId="429C47EC" w14:textId="77777777" w:rsidR="00823138" w:rsidRDefault="00A0477A">
            <w:pPr>
              <w:spacing w:after="0" w:line="259" w:lineRule="auto"/>
              <w:ind w:left="0" w:right="67" w:firstLine="0"/>
              <w:jc w:val="center"/>
            </w:pPr>
            <w:r>
              <w:rPr>
                <w:b/>
                <w:sz w:val="22"/>
              </w:rPr>
              <w:t xml:space="preserve">Total </w:t>
            </w:r>
          </w:p>
        </w:tc>
        <w:tc>
          <w:tcPr>
            <w:tcW w:w="1364" w:type="dxa"/>
            <w:tcBorders>
              <w:top w:val="single" w:sz="4" w:space="0" w:color="000000"/>
              <w:left w:val="single" w:sz="4" w:space="0" w:color="000000"/>
              <w:bottom w:val="single" w:sz="4" w:space="0" w:color="000000"/>
              <w:right w:val="single" w:sz="4" w:space="0" w:color="000000"/>
            </w:tcBorders>
          </w:tcPr>
          <w:p w14:paraId="007FF936" w14:textId="77777777" w:rsidR="00823138" w:rsidRDefault="00823138">
            <w:pPr>
              <w:spacing w:after="160" w:line="259" w:lineRule="auto"/>
              <w:ind w:left="0" w:firstLine="0"/>
              <w:jc w:val="left"/>
            </w:pPr>
          </w:p>
        </w:tc>
        <w:tc>
          <w:tcPr>
            <w:tcW w:w="1260" w:type="dxa"/>
            <w:tcBorders>
              <w:top w:val="single" w:sz="4" w:space="0" w:color="000000"/>
              <w:left w:val="single" w:sz="4" w:space="0" w:color="000000"/>
              <w:bottom w:val="single" w:sz="4" w:space="0" w:color="000000"/>
              <w:right w:val="single" w:sz="4" w:space="0" w:color="000000"/>
            </w:tcBorders>
          </w:tcPr>
          <w:p w14:paraId="4888433D" w14:textId="77777777" w:rsidR="00823138" w:rsidRDefault="00A0477A">
            <w:pPr>
              <w:spacing w:after="0" w:line="259" w:lineRule="auto"/>
              <w:ind w:left="0" w:right="58" w:firstLine="0"/>
              <w:jc w:val="right"/>
            </w:pPr>
            <w:r>
              <w:rPr>
                <w:sz w:val="22"/>
              </w:rPr>
              <w:t>36,857</w:t>
            </w:r>
          </w:p>
        </w:tc>
        <w:tc>
          <w:tcPr>
            <w:tcW w:w="1800" w:type="dxa"/>
            <w:tcBorders>
              <w:top w:val="single" w:sz="4" w:space="0" w:color="000000"/>
              <w:left w:val="single" w:sz="4" w:space="0" w:color="000000"/>
              <w:bottom w:val="single" w:sz="4" w:space="0" w:color="000000"/>
              <w:right w:val="single" w:sz="4" w:space="0" w:color="000000"/>
            </w:tcBorders>
          </w:tcPr>
          <w:p w14:paraId="2E8864F6" w14:textId="77777777" w:rsidR="00823138" w:rsidRDefault="00A0477A">
            <w:pPr>
              <w:spacing w:after="0" w:line="259" w:lineRule="auto"/>
              <w:ind w:left="0" w:right="58" w:firstLine="0"/>
              <w:jc w:val="right"/>
            </w:pPr>
            <w:r>
              <w:rPr>
                <w:b/>
                <w:sz w:val="22"/>
              </w:rPr>
              <w:t>461,562,000</w:t>
            </w:r>
          </w:p>
        </w:tc>
        <w:tc>
          <w:tcPr>
            <w:tcW w:w="900" w:type="dxa"/>
            <w:tcBorders>
              <w:top w:val="single" w:sz="4" w:space="0" w:color="000000"/>
              <w:left w:val="single" w:sz="4" w:space="0" w:color="000000"/>
              <w:bottom w:val="single" w:sz="4" w:space="0" w:color="000000"/>
              <w:right w:val="single" w:sz="4" w:space="0" w:color="000000"/>
            </w:tcBorders>
          </w:tcPr>
          <w:p w14:paraId="41960297" w14:textId="77777777" w:rsidR="00823138" w:rsidRDefault="00A0477A">
            <w:pPr>
              <w:spacing w:after="0" w:line="259" w:lineRule="auto"/>
              <w:ind w:left="68" w:firstLine="0"/>
              <w:jc w:val="left"/>
            </w:pPr>
            <w:r>
              <w:rPr>
                <w:sz w:val="22"/>
              </w:rPr>
              <w:t xml:space="preserve">26,541 </w:t>
            </w:r>
          </w:p>
        </w:tc>
        <w:tc>
          <w:tcPr>
            <w:tcW w:w="1368" w:type="dxa"/>
            <w:tcBorders>
              <w:top w:val="single" w:sz="4" w:space="0" w:color="000000"/>
              <w:left w:val="single" w:sz="4" w:space="0" w:color="000000"/>
              <w:bottom w:val="single" w:sz="4" w:space="0" w:color="000000"/>
              <w:right w:val="single" w:sz="4" w:space="0" w:color="000000"/>
            </w:tcBorders>
          </w:tcPr>
          <w:p w14:paraId="32EE30CD" w14:textId="77777777" w:rsidR="00823138" w:rsidRDefault="00A0477A">
            <w:pPr>
              <w:spacing w:after="0" w:line="259" w:lineRule="auto"/>
              <w:ind w:left="40" w:firstLine="0"/>
              <w:jc w:val="left"/>
            </w:pPr>
            <w:r>
              <w:rPr>
                <w:b/>
                <w:sz w:val="22"/>
              </w:rPr>
              <w:t>519,567,000</w:t>
            </w:r>
          </w:p>
        </w:tc>
      </w:tr>
    </w:tbl>
    <w:p w14:paraId="1443D452" w14:textId="77777777" w:rsidR="00823138" w:rsidRDefault="00A0477A">
      <w:pPr>
        <w:spacing w:after="216" w:line="259" w:lineRule="auto"/>
        <w:ind w:left="1980" w:firstLine="0"/>
        <w:jc w:val="left"/>
      </w:pPr>
      <w:r>
        <w:t xml:space="preserve"> </w:t>
      </w:r>
    </w:p>
    <w:p w14:paraId="0935089D" w14:textId="77777777" w:rsidR="00823138" w:rsidRDefault="00A0477A">
      <w:pPr>
        <w:spacing w:after="204" w:line="476" w:lineRule="auto"/>
        <w:ind w:left="-15" w:firstLine="720"/>
      </w:pPr>
      <w:r>
        <w:lastRenderedPageBreak/>
        <w:t xml:space="preserve">As already noted, 73% </w:t>
      </w:r>
      <w:proofErr w:type="gramStart"/>
      <w:r>
        <w:t>in amount</w:t>
      </w:r>
      <w:proofErr w:type="gramEnd"/>
      <w:r>
        <w:t xml:space="preserve"> accepted the Plan under the TDP-</w:t>
      </w:r>
      <w:proofErr w:type="gramStart"/>
      <w:r>
        <w:t>weighted</w:t>
      </w:r>
      <w:proofErr w:type="gramEnd"/>
      <w:r>
        <w:t xml:space="preserve"> voting methodology.  The information in the two previous charts discloses that 93% of </w:t>
      </w:r>
    </w:p>
    <w:p w14:paraId="529812B3" w14:textId="77777777" w:rsidR="00823138" w:rsidRDefault="00A0477A">
      <w:pPr>
        <w:spacing w:after="120" w:line="265" w:lineRule="auto"/>
        <w:ind w:right="8"/>
        <w:jc w:val="center"/>
      </w:pPr>
      <w:r>
        <w:t>22</w:t>
      </w:r>
    </w:p>
    <w:p w14:paraId="2F12488D" w14:textId="77777777" w:rsidR="00823138" w:rsidRDefault="00A0477A">
      <w:pPr>
        <w:spacing w:after="219"/>
        <w:ind w:left="-5"/>
      </w:pPr>
      <w:r>
        <w:t xml:space="preserve">the Settling PI Claimants accepted the Plan, while more than 50% of the non-settling claimants voted to reject it: </w:t>
      </w:r>
    </w:p>
    <w:tbl>
      <w:tblPr>
        <w:tblStyle w:val="TableGrid"/>
        <w:tblW w:w="8280" w:type="dxa"/>
        <w:tblInd w:w="540" w:type="dxa"/>
        <w:tblCellMar>
          <w:top w:w="48" w:type="dxa"/>
          <w:left w:w="160" w:type="dxa"/>
          <w:bottom w:w="0" w:type="dxa"/>
          <w:right w:w="0" w:type="dxa"/>
        </w:tblCellMar>
        <w:tblLook w:val="04A0" w:firstRow="1" w:lastRow="0" w:firstColumn="1" w:lastColumn="0" w:noHBand="0" w:noVBand="1"/>
      </w:tblPr>
      <w:tblGrid>
        <w:gridCol w:w="1516"/>
        <w:gridCol w:w="1904"/>
        <w:gridCol w:w="1620"/>
        <w:gridCol w:w="1980"/>
        <w:gridCol w:w="1260"/>
      </w:tblGrid>
      <w:tr w:rsidR="00823138" w14:paraId="0B7170D7" w14:textId="77777777">
        <w:trPr>
          <w:trHeight w:val="516"/>
        </w:trPr>
        <w:tc>
          <w:tcPr>
            <w:tcW w:w="1516" w:type="dxa"/>
            <w:tcBorders>
              <w:top w:val="single" w:sz="4" w:space="0" w:color="000000"/>
              <w:left w:val="single" w:sz="4" w:space="0" w:color="000000"/>
              <w:bottom w:val="single" w:sz="4" w:space="0" w:color="000000"/>
              <w:right w:val="single" w:sz="4" w:space="0" w:color="000000"/>
            </w:tcBorders>
          </w:tcPr>
          <w:p w14:paraId="6B7615CC" w14:textId="77777777" w:rsidR="00823138" w:rsidRDefault="00A0477A">
            <w:pPr>
              <w:spacing w:after="0" w:line="259" w:lineRule="auto"/>
              <w:ind w:left="0" w:right="106" w:firstLine="0"/>
              <w:jc w:val="center"/>
            </w:pPr>
            <w:r>
              <w:rPr>
                <w:b/>
                <w:sz w:val="22"/>
              </w:rPr>
              <w:t xml:space="preserve"> </w:t>
            </w:r>
          </w:p>
        </w:tc>
        <w:tc>
          <w:tcPr>
            <w:tcW w:w="1904" w:type="dxa"/>
            <w:tcBorders>
              <w:top w:val="single" w:sz="4" w:space="0" w:color="000000"/>
              <w:left w:val="single" w:sz="4" w:space="0" w:color="000000"/>
              <w:bottom w:val="single" w:sz="4" w:space="0" w:color="000000"/>
              <w:right w:val="single" w:sz="4" w:space="0" w:color="000000"/>
            </w:tcBorders>
          </w:tcPr>
          <w:p w14:paraId="2C2F2560" w14:textId="77777777" w:rsidR="00823138" w:rsidRDefault="00A0477A">
            <w:pPr>
              <w:spacing w:after="0" w:line="259" w:lineRule="auto"/>
              <w:ind w:left="0" w:right="160" w:firstLine="0"/>
              <w:jc w:val="center"/>
            </w:pPr>
            <w:r>
              <w:rPr>
                <w:b/>
                <w:sz w:val="22"/>
              </w:rPr>
              <w:t xml:space="preserve">Accept </w:t>
            </w:r>
          </w:p>
        </w:tc>
        <w:tc>
          <w:tcPr>
            <w:tcW w:w="1620" w:type="dxa"/>
            <w:tcBorders>
              <w:top w:val="single" w:sz="4" w:space="0" w:color="000000"/>
              <w:left w:val="single" w:sz="4" w:space="0" w:color="000000"/>
              <w:bottom w:val="single" w:sz="4" w:space="0" w:color="000000"/>
              <w:right w:val="single" w:sz="4" w:space="0" w:color="000000"/>
            </w:tcBorders>
          </w:tcPr>
          <w:p w14:paraId="27B9ADDE" w14:textId="77777777" w:rsidR="00823138" w:rsidRDefault="00A0477A">
            <w:pPr>
              <w:spacing w:after="0" w:line="259" w:lineRule="auto"/>
              <w:ind w:left="0" w:right="158" w:firstLine="0"/>
              <w:jc w:val="center"/>
            </w:pPr>
            <w:r>
              <w:rPr>
                <w:b/>
                <w:sz w:val="22"/>
              </w:rPr>
              <w:t xml:space="preserve">Reject  </w:t>
            </w:r>
          </w:p>
        </w:tc>
        <w:tc>
          <w:tcPr>
            <w:tcW w:w="1980" w:type="dxa"/>
            <w:tcBorders>
              <w:top w:val="single" w:sz="4" w:space="0" w:color="000000"/>
              <w:left w:val="single" w:sz="4" w:space="0" w:color="000000"/>
              <w:bottom w:val="single" w:sz="4" w:space="0" w:color="000000"/>
              <w:right w:val="single" w:sz="4" w:space="0" w:color="000000"/>
            </w:tcBorders>
          </w:tcPr>
          <w:p w14:paraId="194FD6E5" w14:textId="77777777" w:rsidR="00823138" w:rsidRDefault="00A0477A">
            <w:pPr>
              <w:spacing w:after="0" w:line="259" w:lineRule="auto"/>
              <w:ind w:left="0" w:right="157" w:firstLine="0"/>
              <w:jc w:val="center"/>
            </w:pPr>
            <w:r>
              <w:rPr>
                <w:b/>
                <w:sz w:val="22"/>
              </w:rPr>
              <w:t xml:space="preserve">Total Vote </w:t>
            </w:r>
          </w:p>
        </w:tc>
        <w:tc>
          <w:tcPr>
            <w:tcW w:w="1260" w:type="dxa"/>
            <w:tcBorders>
              <w:top w:val="single" w:sz="4" w:space="0" w:color="000000"/>
              <w:left w:val="single" w:sz="4" w:space="0" w:color="000000"/>
              <w:bottom w:val="single" w:sz="4" w:space="0" w:color="000000"/>
              <w:right w:val="single" w:sz="4" w:space="0" w:color="000000"/>
            </w:tcBorders>
          </w:tcPr>
          <w:p w14:paraId="26F3E057" w14:textId="77777777" w:rsidR="00823138" w:rsidRDefault="00A0477A">
            <w:pPr>
              <w:spacing w:after="0" w:line="259" w:lineRule="auto"/>
              <w:ind w:left="0" w:right="160" w:firstLine="0"/>
              <w:jc w:val="center"/>
            </w:pPr>
            <w:r>
              <w:rPr>
                <w:b/>
                <w:sz w:val="22"/>
              </w:rPr>
              <w:t xml:space="preserve">% </w:t>
            </w:r>
          </w:p>
          <w:p w14:paraId="74F23894" w14:textId="77777777" w:rsidR="00823138" w:rsidRDefault="00A0477A">
            <w:pPr>
              <w:spacing w:after="0" w:line="259" w:lineRule="auto"/>
              <w:ind w:left="0" w:firstLine="0"/>
              <w:jc w:val="left"/>
            </w:pPr>
            <w:r>
              <w:rPr>
                <w:b/>
                <w:sz w:val="22"/>
              </w:rPr>
              <w:t xml:space="preserve">Accepting </w:t>
            </w:r>
          </w:p>
        </w:tc>
      </w:tr>
      <w:tr w:rsidR="00823138" w14:paraId="55B446CA" w14:textId="77777777">
        <w:trPr>
          <w:trHeight w:val="516"/>
        </w:trPr>
        <w:tc>
          <w:tcPr>
            <w:tcW w:w="1516" w:type="dxa"/>
            <w:tcBorders>
              <w:top w:val="single" w:sz="4" w:space="0" w:color="000000"/>
              <w:left w:val="single" w:sz="4" w:space="0" w:color="000000"/>
              <w:bottom w:val="single" w:sz="4" w:space="0" w:color="000000"/>
              <w:right w:val="single" w:sz="4" w:space="0" w:color="000000"/>
            </w:tcBorders>
          </w:tcPr>
          <w:p w14:paraId="1A02B150" w14:textId="77777777" w:rsidR="00823138" w:rsidRDefault="00A0477A">
            <w:pPr>
              <w:spacing w:after="0" w:line="259" w:lineRule="auto"/>
              <w:ind w:left="0" w:right="159" w:firstLine="0"/>
              <w:jc w:val="center"/>
            </w:pPr>
            <w:r>
              <w:rPr>
                <w:sz w:val="22"/>
              </w:rPr>
              <w:t xml:space="preserve">Settling </w:t>
            </w:r>
          </w:p>
          <w:p w14:paraId="74590F4B" w14:textId="77777777" w:rsidR="00823138" w:rsidRDefault="00A0477A">
            <w:pPr>
              <w:spacing w:after="0" w:line="259" w:lineRule="auto"/>
              <w:ind w:left="0" w:right="106" w:firstLine="0"/>
              <w:jc w:val="center"/>
            </w:pPr>
            <w:r>
              <w:rPr>
                <w:sz w:val="22"/>
              </w:rPr>
              <w:t xml:space="preserve"> </w:t>
            </w:r>
          </w:p>
        </w:tc>
        <w:tc>
          <w:tcPr>
            <w:tcW w:w="1904" w:type="dxa"/>
            <w:tcBorders>
              <w:top w:val="single" w:sz="4" w:space="0" w:color="000000"/>
              <w:left w:val="single" w:sz="4" w:space="0" w:color="000000"/>
              <w:bottom w:val="single" w:sz="4" w:space="0" w:color="000000"/>
              <w:right w:val="single" w:sz="4" w:space="0" w:color="000000"/>
            </w:tcBorders>
          </w:tcPr>
          <w:p w14:paraId="17ACAA28" w14:textId="77777777" w:rsidR="00823138" w:rsidRDefault="00A0477A">
            <w:pPr>
              <w:spacing w:after="0" w:line="259" w:lineRule="auto"/>
              <w:ind w:left="367" w:firstLine="0"/>
              <w:jc w:val="left"/>
            </w:pPr>
            <w:r>
              <w:rPr>
                <w:sz w:val="22"/>
              </w:rPr>
              <w:t>1,168,827,000</w:t>
            </w:r>
          </w:p>
        </w:tc>
        <w:tc>
          <w:tcPr>
            <w:tcW w:w="1620" w:type="dxa"/>
            <w:tcBorders>
              <w:top w:val="single" w:sz="4" w:space="0" w:color="000000"/>
              <w:left w:val="single" w:sz="4" w:space="0" w:color="000000"/>
              <w:bottom w:val="single" w:sz="4" w:space="0" w:color="000000"/>
              <w:right w:val="single" w:sz="4" w:space="0" w:color="000000"/>
            </w:tcBorders>
          </w:tcPr>
          <w:p w14:paraId="56088863" w14:textId="77777777" w:rsidR="00823138" w:rsidRDefault="00A0477A">
            <w:pPr>
              <w:spacing w:after="0" w:line="259" w:lineRule="auto"/>
              <w:ind w:left="359" w:firstLine="0"/>
              <w:jc w:val="left"/>
            </w:pPr>
            <w:r>
              <w:rPr>
                <w:sz w:val="22"/>
              </w:rPr>
              <w:t>84,134,000</w:t>
            </w:r>
          </w:p>
        </w:tc>
        <w:tc>
          <w:tcPr>
            <w:tcW w:w="1980" w:type="dxa"/>
            <w:tcBorders>
              <w:top w:val="single" w:sz="4" w:space="0" w:color="000000"/>
              <w:left w:val="single" w:sz="4" w:space="0" w:color="000000"/>
              <w:bottom w:val="single" w:sz="4" w:space="0" w:color="000000"/>
              <w:right w:val="single" w:sz="4" w:space="0" w:color="000000"/>
            </w:tcBorders>
          </w:tcPr>
          <w:p w14:paraId="20651F39" w14:textId="77777777" w:rsidR="00823138" w:rsidRDefault="00A0477A">
            <w:pPr>
              <w:spacing w:after="0" w:line="259" w:lineRule="auto"/>
              <w:ind w:left="0" w:right="109" w:firstLine="0"/>
              <w:jc w:val="right"/>
            </w:pPr>
            <w:r>
              <w:rPr>
                <w:sz w:val="22"/>
              </w:rPr>
              <w:t xml:space="preserve">1,252,961,000 </w:t>
            </w:r>
          </w:p>
        </w:tc>
        <w:tc>
          <w:tcPr>
            <w:tcW w:w="1260" w:type="dxa"/>
            <w:tcBorders>
              <w:top w:val="single" w:sz="4" w:space="0" w:color="000000"/>
              <w:left w:val="single" w:sz="4" w:space="0" w:color="000000"/>
              <w:bottom w:val="single" w:sz="4" w:space="0" w:color="000000"/>
              <w:right w:val="single" w:sz="4" w:space="0" w:color="000000"/>
            </w:tcBorders>
          </w:tcPr>
          <w:p w14:paraId="626B9EB4" w14:textId="77777777" w:rsidR="00823138" w:rsidRDefault="00A0477A">
            <w:pPr>
              <w:spacing w:after="0" w:line="259" w:lineRule="auto"/>
              <w:ind w:left="0" w:right="108" w:firstLine="0"/>
              <w:jc w:val="right"/>
            </w:pPr>
            <w:r>
              <w:rPr>
                <w:sz w:val="22"/>
              </w:rPr>
              <w:t>93%</w:t>
            </w:r>
          </w:p>
        </w:tc>
      </w:tr>
      <w:tr w:rsidR="00823138" w14:paraId="3F725A7C" w14:textId="77777777">
        <w:trPr>
          <w:trHeight w:val="516"/>
        </w:trPr>
        <w:tc>
          <w:tcPr>
            <w:tcW w:w="1516" w:type="dxa"/>
            <w:tcBorders>
              <w:top w:val="single" w:sz="4" w:space="0" w:color="000000"/>
              <w:left w:val="single" w:sz="4" w:space="0" w:color="000000"/>
              <w:bottom w:val="single" w:sz="4" w:space="0" w:color="000000"/>
              <w:right w:val="single" w:sz="4" w:space="0" w:color="000000"/>
            </w:tcBorders>
          </w:tcPr>
          <w:p w14:paraId="000CA6B4" w14:textId="77777777" w:rsidR="00823138" w:rsidRDefault="00A0477A">
            <w:pPr>
              <w:spacing w:after="0" w:line="259" w:lineRule="auto"/>
              <w:ind w:left="0" w:right="106" w:firstLine="0"/>
              <w:jc w:val="right"/>
            </w:pPr>
            <w:r>
              <w:rPr>
                <w:sz w:val="22"/>
              </w:rPr>
              <w:t xml:space="preserve">Non-Settling  </w:t>
            </w:r>
          </w:p>
        </w:tc>
        <w:tc>
          <w:tcPr>
            <w:tcW w:w="1904" w:type="dxa"/>
            <w:tcBorders>
              <w:top w:val="single" w:sz="4" w:space="0" w:color="000000"/>
              <w:left w:val="single" w:sz="4" w:space="0" w:color="000000"/>
              <w:bottom w:val="single" w:sz="4" w:space="0" w:color="000000"/>
              <w:right w:val="single" w:sz="4" w:space="0" w:color="000000"/>
            </w:tcBorders>
          </w:tcPr>
          <w:p w14:paraId="0063E96A" w14:textId="77777777" w:rsidR="00823138" w:rsidRDefault="00A0477A">
            <w:pPr>
              <w:spacing w:after="0" w:line="259" w:lineRule="auto"/>
              <w:ind w:left="0" w:right="106" w:firstLine="0"/>
              <w:jc w:val="right"/>
            </w:pPr>
            <w:r>
              <w:rPr>
                <w:sz w:val="22"/>
              </w:rPr>
              <w:t>461,562,000</w:t>
            </w:r>
          </w:p>
        </w:tc>
        <w:tc>
          <w:tcPr>
            <w:tcW w:w="1620" w:type="dxa"/>
            <w:tcBorders>
              <w:top w:val="single" w:sz="4" w:space="0" w:color="000000"/>
              <w:left w:val="single" w:sz="4" w:space="0" w:color="000000"/>
              <w:bottom w:val="single" w:sz="4" w:space="0" w:color="000000"/>
              <w:right w:val="single" w:sz="4" w:space="0" w:color="000000"/>
            </w:tcBorders>
          </w:tcPr>
          <w:p w14:paraId="13FE2675" w14:textId="77777777" w:rsidR="00823138" w:rsidRDefault="00A0477A">
            <w:pPr>
              <w:spacing w:after="0" w:line="259" w:lineRule="auto"/>
              <w:ind w:left="0" w:right="107" w:firstLine="0"/>
              <w:jc w:val="right"/>
            </w:pPr>
            <w:r>
              <w:rPr>
                <w:sz w:val="22"/>
              </w:rPr>
              <w:t xml:space="preserve">519,567,000 </w:t>
            </w:r>
          </w:p>
        </w:tc>
        <w:tc>
          <w:tcPr>
            <w:tcW w:w="1980" w:type="dxa"/>
            <w:tcBorders>
              <w:top w:val="single" w:sz="4" w:space="0" w:color="000000"/>
              <w:left w:val="single" w:sz="4" w:space="0" w:color="000000"/>
              <w:bottom w:val="single" w:sz="4" w:space="0" w:color="000000"/>
              <w:right w:val="single" w:sz="4" w:space="0" w:color="000000"/>
            </w:tcBorders>
          </w:tcPr>
          <w:p w14:paraId="18161850" w14:textId="77777777" w:rsidR="00823138" w:rsidRDefault="00A0477A">
            <w:pPr>
              <w:spacing w:after="0" w:line="259" w:lineRule="auto"/>
              <w:ind w:left="0" w:right="108" w:firstLine="0"/>
              <w:jc w:val="right"/>
            </w:pPr>
            <w:r>
              <w:rPr>
                <w:sz w:val="22"/>
              </w:rPr>
              <w:t xml:space="preserve">981,129,000 </w:t>
            </w:r>
          </w:p>
        </w:tc>
        <w:tc>
          <w:tcPr>
            <w:tcW w:w="1260" w:type="dxa"/>
            <w:tcBorders>
              <w:top w:val="single" w:sz="4" w:space="0" w:color="000000"/>
              <w:left w:val="single" w:sz="4" w:space="0" w:color="000000"/>
              <w:bottom w:val="single" w:sz="4" w:space="0" w:color="000000"/>
              <w:right w:val="single" w:sz="4" w:space="0" w:color="000000"/>
            </w:tcBorders>
          </w:tcPr>
          <w:p w14:paraId="22AF7042" w14:textId="77777777" w:rsidR="00823138" w:rsidRDefault="00A0477A">
            <w:pPr>
              <w:spacing w:after="0" w:line="259" w:lineRule="auto"/>
              <w:ind w:left="0" w:right="107" w:firstLine="0"/>
              <w:jc w:val="right"/>
            </w:pPr>
            <w:r>
              <w:rPr>
                <w:sz w:val="22"/>
              </w:rPr>
              <w:t>47%</w:t>
            </w:r>
          </w:p>
        </w:tc>
      </w:tr>
      <w:tr w:rsidR="00823138" w14:paraId="6957621A" w14:textId="77777777">
        <w:trPr>
          <w:trHeight w:val="263"/>
        </w:trPr>
        <w:tc>
          <w:tcPr>
            <w:tcW w:w="1516" w:type="dxa"/>
            <w:tcBorders>
              <w:top w:val="single" w:sz="4" w:space="0" w:color="000000"/>
              <w:left w:val="single" w:sz="4" w:space="0" w:color="000000"/>
              <w:bottom w:val="single" w:sz="4" w:space="0" w:color="000000"/>
              <w:right w:val="single" w:sz="4" w:space="0" w:color="000000"/>
            </w:tcBorders>
          </w:tcPr>
          <w:p w14:paraId="21061DF7" w14:textId="77777777" w:rsidR="00823138" w:rsidRDefault="00A0477A">
            <w:pPr>
              <w:spacing w:after="0" w:line="259" w:lineRule="auto"/>
              <w:ind w:left="0" w:right="160" w:firstLine="0"/>
              <w:jc w:val="center"/>
            </w:pPr>
            <w:r>
              <w:rPr>
                <w:b/>
                <w:sz w:val="22"/>
              </w:rPr>
              <w:t xml:space="preserve">Total </w:t>
            </w:r>
          </w:p>
        </w:tc>
        <w:tc>
          <w:tcPr>
            <w:tcW w:w="1904" w:type="dxa"/>
            <w:tcBorders>
              <w:top w:val="single" w:sz="4" w:space="0" w:color="000000"/>
              <w:left w:val="single" w:sz="4" w:space="0" w:color="000000"/>
              <w:bottom w:val="single" w:sz="4" w:space="0" w:color="000000"/>
              <w:right w:val="single" w:sz="4" w:space="0" w:color="000000"/>
            </w:tcBorders>
          </w:tcPr>
          <w:p w14:paraId="02B85B2F" w14:textId="77777777" w:rsidR="00823138" w:rsidRDefault="00A0477A">
            <w:pPr>
              <w:spacing w:after="0" w:line="259" w:lineRule="auto"/>
              <w:ind w:left="368" w:firstLine="0"/>
              <w:jc w:val="left"/>
            </w:pPr>
            <w:r>
              <w:rPr>
                <w:b/>
                <w:sz w:val="22"/>
              </w:rPr>
              <w:t>1,630,389,000</w:t>
            </w:r>
          </w:p>
        </w:tc>
        <w:tc>
          <w:tcPr>
            <w:tcW w:w="1620" w:type="dxa"/>
            <w:tcBorders>
              <w:top w:val="single" w:sz="4" w:space="0" w:color="000000"/>
              <w:left w:val="single" w:sz="4" w:space="0" w:color="000000"/>
              <w:bottom w:val="single" w:sz="4" w:space="0" w:color="000000"/>
              <w:right w:val="single" w:sz="4" w:space="0" w:color="000000"/>
            </w:tcBorders>
          </w:tcPr>
          <w:p w14:paraId="758ED45E" w14:textId="77777777" w:rsidR="00823138" w:rsidRDefault="00A0477A">
            <w:pPr>
              <w:spacing w:after="0" w:line="259" w:lineRule="auto"/>
              <w:ind w:left="249" w:firstLine="0"/>
              <w:jc w:val="left"/>
            </w:pPr>
            <w:r>
              <w:rPr>
                <w:b/>
                <w:sz w:val="22"/>
              </w:rPr>
              <w:t>603,701,000</w:t>
            </w:r>
          </w:p>
        </w:tc>
        <w:tc>
          <w:tcPr>
            <w:tcW w:w="1980" w:type="dxa"/>
            <w:tcBorders>
              <w:top w:val="single" w:sz="4" w:space="0" w:color="000000"/>
              <w:left w:val="single" w:sz="4" w:space="0" w:color="000000"/>
              <w:bottom w:val="single" w:sz="4" w:space="0" w:color="000000"/>
              <w:right w:val="single" w:sz="4" w:space="0" w:color="000000"/>
            </w:tcBorders>
          </w:tcPr>
          <w:p w14:paraId="03760022" w14:textId="77777777" w:rsidR="00823138" w:rsidRDefault="00A0477A">
            <w:pPr>
              <w:spacing w:after="0" w:line="259" w:lineRule="auto"/>
              <w:ind w:left="0" w:right="108" w:firstLine="0"/>
              <w:jc w:val="right"/>
            </w:pPr>
            <w:r>
              <w:rPr>
                <w:b/>
                <w:sz w:val="22"/>
              </w:rPr>
              <w:t xml:space="preserve">2,234,090,000 </w:t>
            </w:r>
          </w:p>
        </w:tc>
        <w:tc>
          <w:tcPr>
            <w:tcW w:w="1260" w:type="dxa"/>
            <w:tcBorders>
              <w:top w:val="single" w:sz="4" w:space="0" w:color="000000"/>
              <w:left w:val="single" w:sz="4" w:space="0" w:color="000000"/>
              <w:bottom w:val="single" w:sz="4" w:space="0" w:color="000000"/>
              <w:right w:val="single" w:sz="4" w:space="0" w:color="000000"/>
            </w:tcBorders>
          </w:tcPr>
          <w:p w14:paraId="60EFC4A2" w14:textId="77777777" w:rsidR="00823138" w:rsidRDefault="00A0477A">
            <w:pPr>
              <w:spacing w:after="0" w:line="259" w:lineRule="auto"/>
              <w:ind w:left="0" w:right="108" w:firstLine="0"/>
              <w:jc w:val="right"/>
            </w:pPr>
            <w:r>
              <w:rPr>
                <w:b/>
                <w:sz w:val="22"/>
              </w:rPr>
              <w:t>73%</w:t>
            </w:r>
          </w:p>
        </w:tc>
      </w:tr>
    </w:tbl>
    <w:p w14:paraId="585B64D2" w14:textId="77777777" w:rsidR="00823138" w:rsidRDefault="00A0477A">
      <w:pPr>
        <w:spacing w:after="216" w:line="259" w:lineRule="auto"/>
        <w:ind w:left="1980" w:firstLine="0"/>
        <w:jc w:val="left"/>
      </w:pPr>
      <w:r>
        <w:t xml:space="preserve"> </w:t>
      </w:r>
    </w:p>
    <w:p w14:paraId="4537C346" w14:textId="77777777" w:rsidR="00823138" w:rsidRDefault="00A0477A">
      <w:pPr>
        <w:spacing w:after="219"/>
        <w:ind w:left="-15" w:firstLine="720"/>
      </w:pPr>
      <w:r>
        <w:t xml:space="preserve">If the Settling PI Claimants are reduced by 90%, the result is that only 52% in amount accepted the Plan: </w:t>
      </w:r>
    </w:p>
    <w:tbl>
      <w:tblPr>
        <w:tblStyle w:val="TableGrid"/>
        <w:tblW w:w="8280" w:type="dxa"/>
        <w:tblInd w:w="540" w:type="dxa"/>
        <w:tblCellMar>
          <w:top w:w="48" w:type="dxa"/>
          <w:left w:w="160" w:type="dxa"/>
          <w:bottom w:w="0" w:type="dxa"/>
          <w:right w:w="0" w:type="dxa"/>
        </w:tblCellMar>
        <w:tblLook w:val="04A0" w:firstRow="1" w:lastRow="0" w:firstColumn="1" w:lastColumn="0" w:noHBand="0" w:noVBand="1"/>
      </w:tblPr>
      <w:tblGrid>
        <w:gridCol w:w="1516"/>
        <w:gridCol w:w="1904"/>
        <w:gridCol w:w="1620"/>
        <w:gridCol w:w="1980"/>
        <w:gridCol w:w="1260"/>
      </w:tblGrid>
      <w:tr w:rsidR="00823138" w14:paraId="1F631068" w14:textId="77777777">
        <w:trPr>
          <w:trHeight w:val="516"/>
        </w:trPr>
        <w:tc>
          <w:tcPr>
            <w:tcW w:w="1516" w:type="dxa"/>
            <w:tcBorders>
              <w:top w:val="single" w:sz="4" w:space="0" w:color="000000"/>
              <w:left w:val="single" w:sz="4" w:space="0" w:color="000000"/>
              <w:bottom w:val="single" w:sz="4" w:space="0" w:color="000000"/>
              <w:right w:val="single" w:sz="4" w:space="0" w:color="000000"/>
            </w:tcBorders>
          </w:tcPr>
          <w:p w14:paraId="074B3F5B" w14:textId="77777777" w:rsidR="00823138" w:rsidRDefault="00A0477A">
            <w:pPr>
              <w:spacing w:after="0" w:line="259" w:lineRule="auto"/>
              <w:ind w:left="0" w:right="106" w:firstLine="0"/>
              <w:jc w:val="center"/>
            </w:pPr>
            <w:r>
              <w:rPr>
                <w:b/>
                <w:sz w:val="22"/>
              </w:rPr>
              <w:t xml:space="preserve"> </w:t>
            </w:r>
          </w:p>
        </w:tc>
        <w:tc>
          <w:tcPr>
            <w:tcW w:w="1904" w:type="dxa"/>
            <w:tcBorders>
              <w:top w:val="single" w:sz="4" w:space="0" w:color="000000"/>
              <w:left w:val="single" w:sz="4" w:space="0" w:color="000000"/>
              <w:bottom w:val="single" w:sz="4" w:space="0" w:color="000000"/>
              <w:right w:val="single" w:sz="4" w:space="0" w:color="000000"/>
            </w:tcBorders>
          </w:tcPr>
          <w:p w14:paraId="6CCA4140" w14:textId="77777777" w:rsidR="00823138" w:rsidRDefault="00A0477A">
            <w:pPr>
              <w:spacing w:after="0" w:line="259" w:lineRule="auto"/>
              <w:ind w:left="0" w:right="160" w:firstLine="0"/>
              <w:jc w:val="center"/>
            </w:pPr>
            <w:r>
              <w:rPr>
                <w:b/>
                <w:sz w:val="22"/>
              </w:rPr>
              <w:t xml:space="preserve">Accept </w:t>
            </w:r>
          </w:p>
        </w:tc>
        <w:tc>
          <w:tcPr>
            <w:tcW w:w="1620" w:type="dxa"/>
            <w:tcBorders>
              <w:top w:val="single" w:sz="4" w:space="0" w:color="000000"/>
              <w:left w:val="single" w:sz="4" w:space="0" w:color="000000"/>
              <w:bottom w:val="single" w:sz="4" w:space="0" w:color="000000"/>
              <w:right w:val="single" w:sz="4" w:space="0" w:color="000000"/>
            </w:tcBorders>
          </w:tcPr>
          <w:p w14:paraId="2636211F" w14:textId="77777777" w:rsidR="00823138" w:rsidRDefault="00A0477A">
            <w:pPr>
              <w:spacing w:after="0" w:line="259" w:lineRule="auto"/>
              <w:ind w:left="0" w:right="158" w:firstLine="0"/>
              <w:jc w:val="center"/>
            </w:pPr>
            <w:r>
              <w:rPr>
                <w:b/>
                <w:sz w:val="22"/>
              </w:rPr>
              <w:t xml:space="preserve">Reject  </w:t>
            </w:r>
          </w:p>
        </w:tc>
        <w:tc>
          <w:tcPr>
            <w:tcW w:w="1980" w:type="dxa"/>
            <w:tcBorders>
              <w:top w:val="single" w:sz="4" w:space="0" w:color="000000"/>
              <w:left w:val="single" w:sz="4" w:space="0" w:color="000000"/>
              <w:bottom w:val="single" w:sz="4" w:space="0" w:color="000000"/>
              <w:right w:val="single" w:sz="4" w:space="0" w:color="000000"/>
            </w:tcBorders>
          </w:tcPr>
          <w:p w14:paraId="05A17942" w14:textId="77777777" w:rsidR="00823138" w:rsidRDefault="00A0477A">
            <w:pPr>
              <w:spacing w:after="0" w:line="259" w:lineRule="auto"/>
              <w:ind w:left="0" w:right="157" w:firstLine="0"/>
              <w:jc w:val="center"/>
            </w:pPr>
            <w:r>
              <w:rPr>
                <w:b/>
                <w:sz w:val="22"/>
              </w:rPr>
              <w:t xml:space="preserve">Total Vote </w:t>
            </w:r>
          </w:p>
        </w:tc>
        <w:tc>
          <w:tcPr>
            <w:tcW w:w="1260" w:type="dxa"/>
            <w:tcBorders>
              <w:top w:val="single" w:sz="4" w:space="0" w:color="000000"/>
              <w:left w:val="single" w:sz="4" w:space="0" w:color="000000"/>
              <w:bottom w:val="single" w:sz="4" w:space="0" w:color="000000"/>
              <w:right w:val="single" w:sz="4" w:space="0" w:color="000000"/>
            </w:tcBorders>
          </w:tcPr>
          <w:p w14:paraId="1EB58809" w14:textId="77777777" w:rsidR="00823138" w:rsidRDefault="00A0477A">
            <w:pPr>
              <w:spacing w:after="0" w:line="259" w:lineRule="auto"/>
              <w:ind w:left="0" w:right="160" w:firstLine="0"/>
              <w:jc w:val="center"/>
            </w:pPr>
            <w:r>
              <w:rPr>
                <w:b/>
                <w:sz w:val="22"/>
              </w:rPr>
              <w:t xml:space="preserve">% </w:t>
            </w:r>
          </w:p>
          <w:p w14:paraId="35307772" w14:textId="77777777" w:rsidR="00823138" w:rsidRDefault="00A0477A">
            <w:pPr>
              <w:spacing w:after="0" w:line="259" w:lineRule="auto"/>
              <w:ind w:left="0" w:firstLine="0"/>
              <w:jc w:val="left"/>
            </w:pPr>
            <w:r>
              <w:rPr>
                <w:b/>
                <w:sz w:val="22"/>
              </w:rPr>
              <w:t xml:space="preserve">Accepting </w:t>
            </w:r>
          </w:p>
        </w:tc>
      </w:tr>
      <w:tr w:rsidR="00823138" w14:paraId="687CA944" w14:textId="77777777">
        <w:trPr>
          <w:trHeight w:val="516"/>
        </w:trPr>
        <w:tc>
          <w:tcPr>
            <w:tcW w:w="1516" w:type="dxa"/>
            <w:tcBorders>
              <w:top w:val="single" w:sz="4" w:space="0" w:color="000000"/>
              <w:left w:val="single" w:sz="4" w:space="0" w:color="000000"/>
              <w:bottom w:val="single" w:sz="4" w:space="0" w:color="000000"/>
              <w:right w:val="single" w:sz="4" w:space="0" w:color="000000"/>
            </w:tcBorders>
          </w:tcPr>
          <w:p w14:paraId="36791DE7" w14:textId="77777777" w:rsidR="00823138" w:rsidRDefault="00A0477A">
            <w:pPr>
              <w:spacing w:after="0" w:line="259" w:lineRule="auto"/>
              <w:ind w:left="0" w:right="159" w:firstLine="0"/>
              <w:jc w:val="center"/>
            </w:pPr>
            <w:r>
              <w:rPr>
                <w:sz w:val="22"/>
              </w:rPr>
              <w:t xml:space="preserve">Settling </w:t>
            </w:r>
          </w:p>
          <w:p w14:paraId="5F7D02A1" w14:textId="77777777" w:rsidR="00823138" w:rsidRDefault="00A0477A">
            <w:pPr>
              <w:spacing w:after="0" w:line="259" w:lineRule="auto"/>
              <w:ind w:left="0" w:right="106" w:firstLine="0"/>
              <w:jc w:val="center"/>
            </w:pPr>
            <w:r>
              <w:rPr>
                <w:sz w:val="22"/>
              </w:rPr>
              <w:t xml:space="preserve"> </w:t>
            </w:r>
          </w:p>
        </w:tc>
        <w:tc>
          <w:tcPr>
            <w:tcW w:w="1904" w:type="dxa"/>
            <w:tcBorders>
              <w:top w:val="single" w:sz="4" w:space="0" w:color="000000"/>
              <w:left w:val="single" w:sz="4" w:space="0" w:color="000000"/>
              <w:bottom w:val="single" w:sz="4" w:space="0" w:color="000000"/>
              <w:right w:val="single" w:sz="4" w:space="0" w:color="000000"/>
            </w:tcBorders>
          </w:tcPr>
          <w:p w14:paraId="59DAC0EA" w14:textId="77777777" w:rsidR="00823138" w:rsidRDefault="00A0477A">
            <w:pPr>
              <w:spacing w:after="0" w:line="259" w:lineRule="auto"/>
              <w:ind w:left="0" w:right="108" w:firstLine="0"/>
              <w:jc w:val="right"/>
            </w:pPr>
            <w:r>
              <w:rPr>
                <w:sz w:val="22"/>
              </w:rPr>
              <w:t>116,882,700</w:t>
            </w:r>
          </w:p>
        </w:tc>
        <w:tc>
          <w:tcPr>
            <w:tcW w:w="1620" w:type="dxa"/>
            <w:tcBorders>
              <w:top w:val="single" w:sz="4" w:space="0" w:color="000000"/>
              <w:left w:val="single" w:sz="4" w:space="0" w:color="000000"/>
              <w:bottom w:val="single" w:sz="4" w:space="0" w:color="000000"/>
              <w:right w:val="single" w:sz="4" w:space="0" w:color="000000"/>
            </w:tcBorders>
          </w:tcPr>
          <w:p w14:paraId="3827B676" w14:textId="77777777" w:rsidR="00823138" w:rsidRDefault="00A0477A">
            <w:pPr>
              <w:spacing w:after="0" w:line="259" w:lineRule="auto"/>
              <w:ind w:left="0" w:right="108" w:firstLine="0"/>
              <w:jc w:val="right"/>
            </w:pPr>
            <w:r>
              <w:rPr>
                <w:sz w:val="22"/>
              </w:rPr>
              <w:t>8,413,400</w:t>
            </w:r>
          </w:p>
        </w:tc>
        <w:tc>
          <w:tcPr>
            <w:tcW w:w="1980" w:type="dxa"/>
            <w:tcBorders>
              <w:top w:val="single" w:sz="4" w:space="0" w:color="000000"/>
              <w:left w:val="single" w:sz="4" w:space="0" w:color="000000"/>
              <w:bottom w:val="single" w:sz="4" w:space="0" w:color="000000"/>
              <w:right w:val="single" w:sz="4" w:space="0" w:color="000000"/>
            </w:tcBorders>
          </w:tcPr>
          <w:p w14:paraId="668FA475" w14:textId="77777777" w:rsidR="00823138" w:rsidRDefault="00A0477A">
            <w:pPr>
              <w:spacing w:after="0" w:line="259" w:lineRule="auto"/>
              <w:ind w:left="0" w:right="108" w:firstLine="0"/>
              <w:jc w:val="right"/>
            </w:pPr>
            <w:r>
              <w:rPr>
                <w:sz w:val="22"/>
              </w:rPr>
              <w:t xml:space="preserve">125,296,100 </w:t>
            </w:r>
          </w:p>
        </w:tc>
        <w:tc>
          <w:tcPr>
            <w:tcW w:w="1260" w:type="dxa"/>
            <w:tcBorders>
              <w:top w:val="single" w:sz="4" w:space="0" w:color="000000"/>
              <w:left w:val="single" w:sz="4" w:space="0" w:color="000000"/>
              <w:bottom w:val="single" w:sz="4" w:space="0" w:color="000000"/>
              <w:right w:val="single" w:sz="4" w:space="0" w:color="000000"/>
            </w:tcBorders>
          </w:tcPr>
          <w:p w14:paraId="2FA5034F" w14:textId="77777777" w:rsidR="00823138" w:rsidRDefault="00A0477A">
            <w:pPr>
              <w:spacing w:after="0" w:line="259" w:lineRule="auto"/>
              <w:ind w:left="0" w:right="107" w:firstLine="0"/>
              <w:jc w:val="right"/>
            </w:pPr>
            <w:r>
              <w:rPr>
                <w:sz w:val="22"/>
              </w:rPr>
              <w:t>93%</w:t>
            </w:r>
          </w:p>
        </w:tc>
      </w:tr>
      <w:tr w:rsidR="00823138" w14:paraId="28156653" w14:textId="77777777">
        <w:trPr>
          <w:trHeight w:val="516"/>
        </w:trPr>
        <w:tc>
          <w:tcPr>
            <w:tcW w:w="1516" w:type="dxa"/>
            <w:tcBorders>
              <w:top w:val="single" w:sz="4" w:space="0" w:color="000000"/>
              <w:left w:val="single" w:sz="4" w:space="0" w:color="000000"/>
              <w:bottom w:val="single" w:sz="4" w:space="0" w:color="000000"/>
              <w:right w:val="single" w:sz="4" w:space="0" w:color="000000"/>
            </w:tcBorders>
          </w:tcPr>
          <w:p w14:paraId="11767F0E" w14:textId="77777777" w:rsidR="00823138" w:rsidRDefault="00A0477A">
            <w:pPr>
              <w:spacing w:after="0" w:line="259" w:lineRule="auto"/>
              <w:ind w:left="0" w:right="106" w:firstLine="0"/>
              <w:jc w:val="right"/>
            </w:pPr>
            <w:r>
              <w:rPr>
                <w:sz w:val="22"/>
              </w:rPr>
              <w:t xml:space="preserve">Non-Settling  </w:t>
            </w:r>
          </w:p>
        </w:tc>
        <w:tc>
          <w:tcPr>
            <w:tcW w:w="1904" w:type="dxa"/>
            <w:tcBorders>
              <w:top w:val="single" w:sz="4" w:space="0" w:color="000000"/>
              <w:left w:val="single" w:sz="4" w:space="0" w:color="000000"/>
              <w:bottom w:val="single" w:sz="4" w:space="0" w:color="000000"/>
              <w:right w:val="single" w:sz="4" w:space="0" w:color="000000"/>
            </w:tcBorders>
          </w:tcPr>
          <w:p w14:paraId="09F4FE67" w14:textId="77777777" w:rsidR="00823138" w:rsidRDefault="00A0477A">
            <w:pPr>
              <w:spacing w:after="0" w:line="259" w:lineRule="auto"/>
              <w:ind w:left="0" w:right="106" w:firstLine="0"/>
              <w:jc w:val="right"/>
            </w:pPr>
            <w:r>
              <w:rPr>
                <w:sz w:val="22"/>
              </w:rPr>
              <w:t>461,562,000</w:t>
            </w:r>
          </w:p>
        </w:tc>
        <w:tc>
          <w:tcPr>
            <w:tcW w:w="1620" w:type="dxa"/>
            <w:tcBorders>
              <w:top w:val="single" w:sz="4" w:space="0" w:color="000000"/>
              <w:left w:val="single" w:sz="4" w:space="0" w:color="000000"/>
              <w:bottom w:val="single" w:sz="4" w:space="0" w:color="000000"/>
              <w:right w:val="single" w:sz="4" w:space="0" w:color="000000"/>
            </w:tcBorders>
          </w:tcPr>
          <w:p w14:paraId="16D05F61" w14:textId="77777777" w:rsidR="00823138" w:rsidRDefault="00A0477A">
            <w:pPr>
              <w:spacing w:after="0" w:line="259" w:lineRule="auto"/>
              <w:ind w:left="0" w:right="107" w:firstLine="0"/>
              <w:jc w:val="right"/>
            </w:pPr>
            <w:r>
              <w:rPr>
                <w:sz w:val="22"/>
              </w:rPr>
              <w:t xml:space="preserve">519,567,000 </w:t>
            </w:r>
          </w:p>
        </w:tc>
        <w:tc>
          <w:tcPr>
            <w:tcW w:w="1980" w:type="dxa"/>
            <w:tcBorders>
              <w:top w:val="single" w:sz="4" w:space="0" w:color="000000"/>
              <w:left w:val="single" w:sz="4" w:space="0" w:color="000000"/>
              <w:bottom w:val="single" w:sz="4" w:space="0" w:color="000000"/>
              <w:right w:val="single" w:sz="4" w:space="0" w:color="000000"/>
            </w:tcBorders>
          </w:tcPr>
          <w:p w14:paraId="52E7DB49" w14:textId="77777777" w:rsidR="00823138" w:rsidRDefault="00A0477A">
            <w:pPr>
              <w:spacing w:after="0" w:line="259" w:lineRule="auto"/>
              <w:ind w:left="0" w:right="108" w:firstLine="0"/>
              <w:jc w:val="right"/>
            </w:pPr>
            <w:r>
              <w:rPr>
                <w:sz w:val="22"/>
              </w:rPr>
              <w:t xml:space="preserve">981,129,000 </w:t>
            </w:r>
          </w:p>
        </w:tc>
        <w:tc>
          <w:tcPr>
            <w:tcW w:w="1260" w:type="dxa"/>
            <w:tcBorders>
              <w:top w:val="single" w:sz="4" w:space="0" w:color="000000"/>
              <w:left w:val="single" w:sz="4" w:space="0" w:color="000000"/>
              <w:bottom w:val="single" w:sz="4" w:space="0" w:color="000000"/>
              <w:right w:val="single" w:sz="4" w:space="0" w:color="000000"/>
            </w:tcBorders>
          </w:tcPr>
          <w:p w14:paraId="23D47190" w14:textId="77777777" w:rsidR="00823138" w:rsidRDefault="00A0477A">
            <w:pPr>
              <w:spacing w:after="0" w:line="259" w:lineRule="auto"/>
              <w:ind w:left="0" w:right="107" w:firstLine="0"/>
              <w:jc w:val="right"/>
            </w:pPr>
            <w:r>
              <w:rPr>
                <w:sz w:val="22"/>
              </w:rPr>
              <w:t>47%</w:t>
            </w:r>
          </w:p>
        </w:tc>
      </w:tr>
      <w:tr w:rsidR="00823138" w14:paraId="70B6141D" w14:textId="77777777">
        <w:trPr>
          <w:trHeight w:val="264"/>
        </w:trPr>
        <w:tc>
          <w:tcPr>
            <w:tcW w:w="1516" w:type="dxa"/>
            <w:tcBorders>
              <w:top w:val="single" w:sz="4" w:space="0" w:color="000000"/>
              <w:left w:val="single" w:sz="4" w:space="0" w:color="000000"/>
              <w:bottom w:val="single" w:sz="4" w:space="0" w:color="000000"/>
              <w:right w:val="single" w:sz="4" w:space="0" w:color="000000"/>
            </w:tcBorders>
          </w:tcPr>
          <w:p w14:paraId="58033CCB" w14:textId="77777777" w:rsidR="00823138" w:rsidRDefault="00A0477A">
            <w:pPr>
              <w:spacing w:after="0" w:line="259" w:lineRule="auto"/>
              <w:ind w:left="0" w:right="160" w:firstLine="0"/>
              <w:jc w:val="center"/>
            </w:pPr>
            <w:r>
              <w:rPr>
                <w:b/>
                <w:sz w:val="22"/>
              </w:rPr>
              <w:t xml:space="preserve">Total </w:t>
            </w:r>
          </w:p>
        </w:tc>
        <w:tc>
          <w:tcPr>
            <w:tcW w:w="1904" w:type="dxa"/>
            <w:tcBorders>
              <w:top w:val="single" w:sz="4" w:space="0" w:color="000000"/>
              <w:left w:val="single" w:sz="4" w:space="0" w:color="000000"/>
              <w:bottom w:val="single" w:sz="4" w:space="0" w:color="000000"/>
              <w:right w:val="single" w:sz="4" w:space="0" w:color="000000"/>
            </w:tcBorders>
          </w:tcPr>
          <w:p w14:paraId="0F400BE5" w14:textId="77777777" w:rsidR="00823138" w:rsidRDefault="00A0477A">
            <w:pPr>
              <w:spacing w:after="0" w:line="259" w:lineRule="auto"/>
              <w:ind w:left="0" w:right="108" w:firstLine="0"/>
              <w:jc w:val="right"/>
            </w:pPr>
            <w:r>
              <w:rPr>
                <w:b/>
                <w:sz w:val="22"/>
              </w:rPr>
              <w:t>578,444,700</w:t>
            </w:r>
          </w:p>
        </w:tc>
        <w:tc>
          <w:tcPr>
            <w:tcW w:w="1620" w:type="dxa"/>
            <w:tcBorders>
              <w:top w:val="single" w:sz="4" w:space="0" w:color="000000"/>
              <w:left w:val="single" w:sz="4" w:space="0" w:color="000000"/>
              <w:bottom w:val="single" w:sz="4" w:space="0" w:color="000000"/>
              <w:right w:val="single" w:sz="4" w:space="0" w:color="000000"/>
            </w:tcBorders>
          </w:tcPr>
          <w:p w14:paraId="271502FF" w14:textId="77777777" w:rsidR="00823138" w:rsidRDefault="00A0477A">
            <w:pPr>
              <w:spacing w:after="0" w:line="259" w:lineRule="auto"/>
              <w:ind w:left="249" w:firstLine="0"/>
              <w:jc w:val="left"/>
            </w:pPr>
            <w:r>
              <w:rPr>
                <w:b/>
                <w:sz w:val="22"/>
              </w:rPr>
              <w:t>527,980,400</w:t>
            </w:r>
          </w:p>
        </w:tc>
        <w:tc>
          <w:tcPr>
            <w:tcW w:w="1980" w:type="dxa"/>
            <w:tcBorders>
              <w:top w:val="single" w:sz="4" w:space="0" w:color="000000"/>
              <w:left w:val="single" w:sz="4" w:space="0" w:color="000000"/>
              <w:bottom w:val="single" w:sz="4" w:space="0" w:color="000000"/>
              <w:right w:val="single" w:sz="4" w:space="0" w:color="000000"/>
            </w:tcBorders>
          </w:tcPr>
          <w:p w14:paraId="6C20A9F4" w14:textId="77777777" w:rsidR="00823138" w:rsidRDefault="00A0477A">
            <w:pPr>
              <w:spacing w:after="0" w:line="259" w:lineRule="auto"/>
              <w:ind w:left="0" w:right="108" w:firstLine="0"/>
              <w:jc w:val="right"/>
            </w:pPr>
            <w:r>
              <w:rPr>
                <w:b/>
                <w:sz w:val="22"/>
              </w:rPr>
              <w:t xml:space="preserve">1,106,425,100 </w:t>
            </w:r>
          </w:p>
        </w:tc>
        <w:tc>
          <w:tcPr>
            <w:tcW w:w="1260" w:type="dxa"/>
            <w:tcBorders>
              <w:top w:val="single" w:sz="4" w:space="0" w:color="000000"/>
              <w:left w:val="single" w:sz="4" w:space="0" w:color="000000"/>
              <w:bottom w:val="single" w:sz="4" w:space="0" w:color="000000"/>
              <w:right w:val="single" w:sz="4" w:space="0" w:color="000000"/>
            </w:tcBorders>
          </w:tcPr>
          <w:p w14:paraId="3C24F41F" w14:textId="77777777" w:rsidR="00823138" w:rsidRDefault="00A0477A">
            <w:pPr>
              <w:spacing w:after="0" w:line="259" w:lineRule="auto"/>
              <w:ind w:left="0" w:right="108" w:firstLine="0"/>
              <w:jc w:val="right"/>
            </w:pPr>
            <w:r>
              <w:rPr>
                <w:b/>
                <w:sz w:val="22"/>
              </w:rPr>
              <w:t>52%</w:t>
            </w:r>
          </w:p>
        </w:tc>
      </w:tr>
    </w:tbl>
    <w:p w14:paraId="142E87FC" w14:textId="77777777" w:rsidR="00823138" w:rsidRDefault="00A0477A">
      <w:pPr>
        <w:spacing w:after="0" w:line="259" w:lineRule="auto"/>
        <w:ind w:left="0" w:firstLine="0"/>
        <w:jc w:val="left"/>
      </w:pPr>
      <w:r>
        <w:t xml:space="preserve"> </w:t>
      </w:r>
    </w:p>
    <w:p w14:paraId="5823944E" w14:textId="77777777" w:rsidR="00823138" w:rsidRDefault="00A0477A">
      <w:pPr>
        <w:spacing w:after="0" w:line="259" w:lineRule="auto"/>
        <w:ind w:left="0" w:firstLine="0"/>
        <w:jc w:val="left"/>
      </w:pPr>
      <w:r>
        <w:t xml:space="preserve"> </w:t>
      </w:r>
    </w:p>
    <w:p w14:paraId="67FD524B" w14:textId="77777777" w:rsidR="00823138" w:rsidRDefault="00A0477A">
      <w:pPr>
        <w:spacing w:after="246"/>
        <w:ind w:left="1145"/>
      </w:pPr>
      <w:r>
        <w:t xml:space="preserve">Accordingly, dilution of the Settling PI Claimants’ </w:t>
      </w:r>
      <w:proofErr w:type="gramStart"/>
      <w:r>
        <w:t>vote</w:t>
      </w:r>
      <w:proofErr w:type="gramEnd"/>
      <w:r>
        <w:t xml:space="preserve"> by 90% results in </w:t>
      </w:r>
    </w:p>
    <w:p w14:paraId="7C4AFEE7" w14:textId="77777777" w:rsidR="00823138" w:rsidRDefault="00A0477A" w:rsidP="00C44AA3">
      <w:pPr>
        <w:spacing w:after="0"/>
        <w:ind w:left="14" w:right="14" w:hanging="14"/>
        <w:jc w:val="center"/>
      </w:pPr>
      <w:r>
        <w:t>rejection of by Class 4, and this holds true regar</w:t>
      </w:r>
      <w:r w:rsidRPr="00B03E66">
        <w:rPr>
          <w:highlight w:val="yellow"/>
        </w:rPr>
        <w:t>dless</w:t>
      </w:r>
      <w:r>
        <w:t xml:space="preserve"> of which methodology is used.</w:t>
      </w:r>
    </w:p>
    <w:p w14:paraId="6421E731" w14:textId="77777777" w:rsidR="00823138" w:rsidRDefault="00A0477A">
      <w:pPr>
        <w:spacing w:after="120" w:line="265" w:lineRule="auto"/>
        <w:ind w:right="8"/>
        <w:jc w:val="center"/>
      </w:pPr>
      <w:r>
        <w:t>23</w:t>
      </w:r>
    </w:p>
    <w:p w14:paraId="03AF25A3" w14:textId="77777777" w:rsidR="00823138" w:rsidRDefault="00A0477A">
      <w:pPr>
        <w:pStyle w:val="Heading1"/>
        <w:spacing w:after="252"/>
        <w:ind w:left="10" w:right="7"/>
        <w:jc w:val="center"/>
      </w:pPr>
      <w:r>
        <w:t>CONCLUSION</w:t>
      </w:r>
      <w:r>
        <w:rPr>
          <w:b w:val="0"/>
        </w:rPr>
        <w:t xml:space="preserve"> </w:t>
      </w:r>
    </w:p>
    <w:p w14:paraId="714381BA" w14:textId="77777777" w:rsidR="00823138" w:rsidRDefault="00A0477A">
      <w:pPr>
        <w:spacing w:after="261" w:line="476" w:lineRule="auto"/>
        <w:ind w:left="-5"/>
      </w:pPr>
      <w:r>
        <w:t xml:space="preserve"> Class 4 has rejected the Plan under the estimation methodology adopted by the Court.  Quigley cannot confirm the Plan on a consensual basis, but this does not decide whether Quigley can cram the Plan down over Class 4’s rejection.  The parties are directed </w:t>
      </w:r>
      <w:proofErr w:type="gramStart"/>
      <w:r>
        <w:t>to contact</w:t>
      </w:r>
      <w:proofErr w:type="gramEnd"/>
      <w:r>
        <w:t xml:space="preserve"> chambers to arrange a conference for the purpose of discussing the status of the Plan and the case. </w:t>
      </w:r>
    </w:p>
    <w:p w14:paraId="45D4C085" w14:textId="77777777" w:rsidR="00823138" w:rsidRDefault="00A0477A">
      <w:pPr>
        <w:tabs>
          <w:tab w:val="center" w:pos="1274"/>
        </w:tabs>
        <w:spacing w:after="493"/>
        <w:ind w:left="-15" w:firstLine="0"/>
        <w:jc w:val="left"/>
      </w:pPr>
      <w:r>
        <w:lastRenderedPageBreak/>
        <w:t xml:space="preserve"> </w:t>
      </w:r>
      <w:r>
        <w:tab/>
      </w:r>
      <w:proofErr w:type="gramStart"/>
      <w:r>
        <w:t>So</w:t>
      </w:r>
      <w:proofErr w:type="gramEnd"/>
      <w:r>
        <w:t xml:space="preserve"> ordered. </w:t>
      </w:r>
    </w:p>
    <w:p w14:paraId="0DEA8337" w14:textId="77777777" w:rsidR="00823138" w:rsidRDefault="00A0477A">
      <w:pPr>
        <w:spacing w:after="320"/>
        <w:ind w:left="-5" w:right="5044"/>
      </w:pPr>
      <w:r>
        <w:t xml:space="preserve">Dated: New York, New </w:t>
      </w:r>
      <w:proofErr w:type="gramStart"/>
      <w:r>
        <w:t xml:space="preserve">York  </w:t>
      </w:r>
      <w:r>
        <w:tab/>
      </w:r>
      <w:proofErr w:type="gramEnd"/>
      <w:r>
        <w:t xml:space="preserve">August 9, 2006 </w:t>
      </w:r>
    </w:p>
    <w:p w14:paraId="78B880BC" w14:textId="77777777" w:rsidR="00823138" w:rsidRDefault="00A0477A">
      <w:pPr>
        <w:tabs>
          <w:tab w:val="center" w:pos="720"/>
          <w:tab w:val="center" w:pos="1440"/>
          <w:tab w:val="center" w:pos="2160"/>
          <w:tab w:val="center" w:pos="2880"/>
          <w:tab w:val="center" w:pos="3600"/>
          <w:tab w:val="center" w:pos="5783"/>
        </w:tabs>
        <w:spacing w:after="0" w:line="259" w:lineRule="auto"/>
        <w:ind w:left="0" w:firstLine="0"/>
        <w:jc w:val="left"/>
      </w:pPr>
      <w:r>
        <w:t xml:space="preserve"> </w:t>
      </w:r>
      <w:r>
        <w:tab/>
        <w:t xml:space="preserve"> </w:t>
      </w:r>
      <w:r>
        <w:tab/>
        <w:t xml:space="preserve"> </w:t>
      </w:r>
      <w:r>
        <w:tab/>
        <w:t xml:space="preserve"> </w:t>
      </w:r>
      <w:r>
        <w:tab/>
        <w:t xml:space="preserve"> </w:t>
      </w:r>
      <w:r>
        <w:tab/>
        <w:t xml:space="preserve"> </w:t>
      </w:r>
      <w:r>
        <w:tab/>
      </w:r>
      <w:r>
        <w:rPr>
          <w:u w:val="single" w:color="000000"/>
        </w:rPr>
        <w:t>/s</w:t>
      </w:r>
      <w:proofErr w:type="gramStart"/>
      <w:r>
        <w:rPr>
          <w:u w:val="single" w:color="000000"/>
        </w:rPr>
        <w:t xml:space="preserve">/  </w:t>
      </w:r>
      <w:r>
        <w:rPr>
          <w:rFonts w:ascii="Monotype Corsiva" w:eastAsia="Monotype Corsiva" w:hAnsi="Monotype Corsiva" w:cs="Monotype Corsiva"/>
          <w:sz w:val="36"/>
          <w:u w:val="single" w:color="000000"/>
        </w:rPr>
        <w:t>Stuart</w:t>
      </w:r>
      <w:proofErr w:type="gramEnd"/>
      <w:r>
        <w:rPr>
          <w:rFonts w:ascii="Monotype Corsiva" w:eastAsia="Monotype Corsiva" w:hAnsi="Monotype Corsiva" w:cs="Monotype Corsiva"/>
          <w:sz w:val="36"/>
          <w:u w:val="single" w:color="000000"/>
        </w:rPr>
        <w:t xml:space="preserve"> M. Bernstein</w:t>
      </w:r>
      <w:r>
        <w:t xml:space="preserve">    </w:t>
      </w:r>
    </w:p>
    <w:p w14:paraId="592FAF7F" w14:textId="77777777" w:rsidR="00823138" w:rsidRDefault="00A0477A">
      <w:pPr>
        <w:tabs>
          <w:tab w:val="center" w:pos="720"/>
          <w:tab w:val="center" w:pos="1440"/>
          <w:tab w:val="center" w:pos="2160"/>
          <w:tab w:val="center" w:pos="2880"/>
          <w:tab w:val="center" w:pos="3600"/>
          <w:tab w:val="center" w:pos="5641"/>
        </w:tabs>
        <w:ind w:left="-15" w:firstLine="0"/>
        <w:jc w:val="left"/>
      </w:pPr>
      <w:r>
        <w:t xml:space="preserve"> </w:t>
      </w:r>
      <w:r>
        <w:tab/>
        <w:t xml:space="preserve"> </w:t>
      </w:r>
      <w:r>
        <w:tab/>
        <w:t xml:space="preserve"> </w:t>
      </w:r>
      <w:r>
        <w:tab/>
        <w:t xml:space="preserve"> </w:t>
      </w:r>
      <w:r>
        <w:tab/>
        <w:t xml:space="preserve"> </w:t>
      </w:r>
      <w:r>
        <w:tab/>
        <w:t xml:space="preserve"> </w:t>
      </w:r>
      <w:r>
        <w:tab/>
        <w:t xml:space="preserve">STUART M. BERNSTEIN </w:t>
      </w:r>
    </w:p>
    <w:p w14:paraId="156C7714" w14:textId="77777777" w:rsidR="00823138" w:rsidRDefault="00A0477A">
      <w:pPr>
        <w:tabs>
          <w:tab w:val="center" w:pos="720"/>
          <w:tab w:val="center" w:pos="1440"/>
          <w:tab w:val="center" w:pos="2160"/>
          <w:tab w:val="center" w:pos="2880"/>
          <w:tab w:val="center" w:pos="5471"/>
        </w:tabs>
        <w:spacing w:after="7291"/>
        <w:ind w:left="-15" w:firstLine="0"/>
        <w:jc w:val="left"/>
      </w:pPr>
      <w:r>
        <w:t xml:space="preserve"> </w:t>
      </w:r>
      <w:r>
        <w:tab/>
        <w:t xml:space="preserve"> </w:t>
      </w:r>
      <w:r>
        <w:tab/>
        <w:t xml:space="preserve"> </w:t>
      </w:r>
      <w:r>
        <w:tab/>
        <w:t xml:space="preserve"> </w:t>
      </w:r>
      <w:r>
        <w:tab/>
        <w:t xml:space="preserve"> </w:t>
      </w:r>
      <w:r>
        <w:tab/>
        <w:t xml:space="preserve"> Chief United States Bankruptcy Judge </w:t>
      </w:r>
    </w:p>
    <w:p w14:paraId="7D20E8DE" w14:textId="77777777" w:rsidR="00823138" w:rsidRDefault="00A0477A">
      <w:pPr>
        <w:spacing w:after="120" w:line="265" w:lineRule="auto"/>
        <w:ind w:right="8"/>
        <w:jc w:val="center"/>
      </w:pPr>
      <w:r>
        <w:t>24</w:t>
      </w:r>
    </w:p>
    <w:sectPr w:rsidR="00823138">
      <w:headerReference w:type="even" r:id="rId7"/>
      <w:headerReference w:type="default" r:id="rId8"/>
      <w:headerReference w:type="first" r:id="rId9"/>
      <w:pgSz w:w="12240" w:h="15840"/>
      <w:pgMar w:top="1485" w:right="1792" w:bottom="722" w:left="1800" w:header="232"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430A4" w14:textId="77777777" w:rsidR="00A0477A" w:rsidRDefault="00A0477A">
      <w:pPr>
        <w:spacing w:after="0" w:line="240" w:lineRule="auto"/>
      </w:pPr>
      <w:r>
        <w:separator/>
      </w:r>
    </w:p>
  </w:endnote>
  <w:endnote w:type="continuationSeparator" w:id="0">
    <w:p w14:paraId="4F00F7EB" w14:textId="77777777" w:rsidR="00A0477A" w:rsidRDefault="00A04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5002EFF" w:usb1="C200ACF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B133D" w14:textId="77777777" w:rsidR="00A0477A" w:rsidRDefault="00A0477A">
      <w:pPr>
        <w:spacing w:after="0" w:line="259" w:lineRule="auto"/>
        <w:ind w:left="0" w:firstLine="0"/>
        <w:jc w:val="left"/>
      </w:pPr>
      <w:r>
        <w:separator/>
      </w:r>
    </w:p>
  </w:footnote>
  <w:footnote w:type="continuationSeparator" w:id="0">
    <w:p w14:paraId="681CF22C" w14:textId="77777777" w:rsidR="00A0477A" w:rsidRDefault="00A0477A">
      <w:pPr>
        <w:spacing w:after="0" w:line="259" w:lineRule="auto"/>
        <w:ind w:left="0" w:firstLine="0"/>
        <w:jc w:val="left"/>
      </w:pPr>
      <w:r>
        <w:continuationSeparator/>
      </w:r>
    </w:p>
  </w:footnote>
  <w:footnote w:id="1">
    <w:p w14:paraId="3DE0D4D8" w14:textId="77777777" w:rsidR="00823138" w:rsidRDefault="00A0477A">
      <w:pPr>
        <w:pStyle w:val="footnotedescription"/>
        <w:spacing w:line="259" w:lineRule="auto"/>
      </w:pPr>
      <w:r>
        <w:rPr>
          <w:rStyle w:val="footnotemark"/>
        </w:rPr>
        <w:footnoteRef/>
      </w:r>
      <w:r>
        <w:t xml:space="preserve">  </w:t>
      </w:r>
      <w:r>
        <w:tab/>
        <w:t xml:space="preserve">This conclusion moots, for now, the separate dispute between Quigley and </w:t>
      </w:r>
      <w:proofErr w:type="spellStart"/>
      <w:r>
        <w:t>Reaud</w:t>
      </w:r>
      <w:proofErr w:type="spellEnd"/>
      <w:r>
        <w:t xml:space="preserve"> Morgan &amp; Quinn, L.L.P.  The latter law firm represents approximately 2,600 claimants.  It filed an unsecured, liquidated claim on their behalf in the aggregate sum of </w:t>
      </w:r>
      <w:proofErr w:type="gramStart"/>
      <w:r>
        <w:t>$70,517,900, and</w:t>
      </w:r>
      <w:proofErr w:type="gramEnd"/>
      <w:r>
        <w:t xml:space="preserve"> argued that the claimants are entitled to vote the full amount of their liquidated claims.  The claims are based on a series of pre-petition settlement agreements that Quigley contends were never signed and are not binding.  According to Quigley,</w:t>
      </w:r>
      <w:r>
        <w:t xml:space="preserve"> they hold unliquidated claims that should be estimated for voting purposes, with </w:t>
      </w:r>
      <w:proofErr w:type="gramStart"/>
      <w:r>
        <w:t>all of</w:t>
      </w:r>
      <w:proofErr w:type="gramEnd"/>
      <w:r>
        <w:t xml:space="preserve"> the other asbestos claimants, at $1.00.   </w:t>
      </w:r>
    </w:p>
  </w:footnote>
  <w:footnote w:id="2">
    <w:p w14:paraId="755249F1" w14:textId="77777777" w:rsidR="00823138" w:rsidRDefault="00A0477A">
      <w:pPr>
        <w:pStyle w:val="footnotedescription"/>
        <w:spacing w:line="259" w:lineRule="auto"/>
      </w:pPr>
      <w:r>
        <w:rPr>
          <w:rStyle w:val="footnotemark"/>
        </w:rPr>
        <w:footnoteRef/>
      </w:r>
      <w:r>
        <w:rPr>
          <w:sz w:val="22"/>
        </w:rPr>
        <w:t xml:space="preserve">  </w:t>
      </w:r>
      <w:r>
        <w:t xml:space="preserve">A copy of the </w:t>
      </w:r>
      <w:r>
        <w:rPr>
          <w:u w:val="single" w:color="000000"/>
        </w:rPr>
        <w:t>DS</w:t>
      </w:r>
      <w:r>
        <w:t xml:space="preserve"> is attached as Exhibit B to </w:t>
      </w:r>
      <w:r>
        <w:rPr>
          <w:u w:val="single" w:color="000000"/>
        </w:rPr>
        <w:t>Order: (I) Approving Quigley’s Disclosure</w:t>
      </w:r>
      <w:r>
        <w:t xml:space="preserve"> </w:t>
      </w:r>
      <w:r>
        <w:rPr>
          <w:u w:val="single" w:color="000000"/>
        </w:rPr>
        <w:t>Statement; (II) Approving Solicitation Procedures, Forms of Ballots, and Manner of Notice; and (III)</w:t>
      </w:r>
      <w:r>
        <w:t xml:space="preserve"> </w:t>
      </w:r>
      <w:r>
        <w:rPr>
          <w:u w:val="single" w:color="000000"/>
        </w:rPr>
        <w:t>Fixing Date, Time and Place for Confirmation Hearing and Deadline for Filing Objections Thereto</w:t>
      </w:r>
      <w:r>
        <w:t>, dated Jan. 23, 2006 (“</w:t>
      </w:r>
      <w:r>
        <w:rPr>
          <w:u w:val="single" w:color="000000"/>
        </w:rPr>
        <w:t>DS Order</w:t>
      </w:r>
      <w:r>
        <w:t xml:space="preserve">”) (ECF Doc. # 593.) </w:t>
      </w:r>
    </w:p>
    <w:p w14:paraId="70EB9CD5" w14:textId="77777777" w:rsidR="00823138" w:rsidRDefault="00A0477A">
      <w:pPr>
        <w:pStyle w:val="footnotedescription"/>
        <w:spacing w:line="259" w:lineRule="auto"/>
      </w:pPr>
      <w:r>
        <w:t xml:space="preserve"> </w:t>
      </w:r>
    </w:p>
  </w:footnote>
  <w:footnote w:id="3">
    <w:p w14:paraId="19EC8201" w14:textId="77777777" w:rsidR="00823138" w:rsidRDefault="00A0477A">
      <w:pPr>
        <w:pStyle w:val="footnotedescription"/>
        <w:spacing w:line="259" w:lineRule="auto"/>
      </w:pPr>
      <w:r>
        <w:rPr>
          <w:rStyle w:val="footnotemark"/>
        </w:rPr>
        <w:footnoteRef/>
      </w:r>
      <w:r>
        <w:t xml:space="preserve">  The “Consensual Plan Effective Date” is the date on which the District Court’s order confirming the Plan becomes a final </w:t>
      </w:r>
      <w:proofErr w:type="gramStart"/>
      <w:r>
        <w:t>order, and</w:t>
      </w:r>
      <w:proofErr w:type="gramEnd"/>
      <w:r>
        <w:t xml:space="preserve"> is no longer subject to further review.  (</w:t>
      </w:r>
      <w:r>
        <w:rPr>
          <w:u w:val="single" w:color="000000"/>
        </w:rPr>
        <w:t>Pfizer Settlement Agreement</w:t>
      </w:r>
      <w:r>
        <w:t xml:space="preserve">, at § 1.1(b), p. 4.)  </w:t>
      </w:r>
    </w:p>
  </w:footnote>
  <w:footnote w:id="4">
    <w:p w14:paraId="21442620" w14:textId="77777777" w:rsidR="00823138" w:rsidRDefault="00A0477A">
      <w:pPr>
        <w:pStyle w:val="footnotedescription"/>
        <w:spacing w:after="20" w:line="216" w:lineRule="auto"/>
        <w:ind w:right="138"/>
        <w:jc w:val="both"/>
      </w:pPr>
      <w:r>
        <w:rPr>
          <w:rStyle w:val="footnotemark"/>
        </w:rPr>
        <w:footnoteRef/>
      </w:r>
      <w:r>
        <w:t xml:space="preserve"> 6   In theory, Pfizer could terminate its obligation to pay the remaining 50% after the votes were solicited and even after Plan was confirmed, provided that the Consensual Plan Effective Date had not yet occurred. </w:t>
      </w:r>
    </w:p>
  </w:footnote>
  <w:footnote w:id="5">
    <w:p w14:paraId="4E775139" w14:textId="77777777" w:rsidR="00823138" w:rsidRDefault="00A0477A">
      <w:pPr>
        <w:pStyle w:val="footnotedescription"/>
        <w:spacing w:line="224" w:lineRule="auto"/>
        <w:ind w:right="8533"/>
      </w:pPr>
      <w:r>
        <w:rPr>
          <w:rStyle w:val="footnotemark"/>
        </w:rPr>
        <w:footnoteRef/>
      </w:r>
      <w:r>
        <w:t xml:space="preserve"> 7</w:t>
      </w:r>
    </w:p>
    <w:p w14:paraId="5273C901" w14:textId="77777777" w:rsidR="00823138" w:rsidRDefault="00A0477A">
      <w:pPr>
        <w:pStyle w:val="footnotedescription"/>
        <w:spacing w:line="238" w:lineRule="auto"/>
        <w:ind w:firstLine="65"/>
        <w:jc w:val="both"/>
      </w:pPr>
      <w:r>
        <w:t xml:space="preserve">  The 75% requirement tracks the voting requirement for acceptance of the Plan by the Asbestos PI Claimants.  </w:t>
      </w:r>
      <w:r>
        <w:rPr>
          <w:u w:val="single" w:color="000000"/>
        </w:rPr>
        <w:t>See</w:t>
      </w:r>
      <w:r>
        <w:t xml:space="preserve"> 11 U.S.C. § 524(g)(2)(B)(ii)(</w:t>
      </w:r>
      <w:proofErr w:type="gramStart"/>
      <w:r>
        <w:t>IV)(</w:t>
      </w:r>
      <w:proofErr w:type="gramEnd"/>
      <w:r>
        <w:t xml:space="preserve">bb).   </w:t>
      </w:r>
    </w:p>
  </w:footnote>
  <w:footnote w:id="6">
    <w:p w14:paraId="3EF30846" w14:textId="77777777" w:rsidR="00823138" w:rsidRDefault="00A0477A">
      <w:pPr>
        <w:pStyle w:val="footnotedescription"/>
        <w:spacing w:line="224" w:lineRule="auto"/>
        <w:ind w:right="8533"/>
      </w:pPr>
      <w:r>
        <w:rPr>
          <w:rStyle w:val="footnotemark"/>
        </w:rPr>
        <w:footnoteRef/>
      </w:r>
      <w:r>
        <w:t xml:space="preserve"> 8</w:t>
      </w:r>
    </w:p>
    <w:p w14:paraId="0C914843" w14:textId="77777777" w:rsidR="00823138" w:rsidRDefault="00A0477A">
      <w:pPr>
        <w:pStyle w:val="footnotedescription"/>
        <w:spacing w:line="243" w:lineRule="auto"/>
        <w:ind w:firstLine="65"/>
      </w:pPr>
      <w:r>
        <w:t xml:space="preserve">  </w:t>
      </w:r>
      <w:r>
        <w:tab/>
        <w:t>To receive payment, a claimant must submit evidence of exposure to an asbestos-containing product produced by Quigley, and evidence of an asbestos-related illness.  (</w:t>
      </w:r>
      <w:r>
        <w:rPr>
          <w:u w:val="single" w:color="000000"/>
        </w:rPr>
        <w:t>DS</w:t>
      </w:r>
      <w:r>
        <w:t xml:space="preserve">, at 8.) </w:t>
      </w:r>
    </w:p>
    <w:p w14:paraId="3C8DFC38" w14:textId="77777777" w:rsidR="00823138" w:rsidRDefault="00A0477A">
      <w:pPr>
        <w:pStyle w:val="footnotedescription"/>
        <w:spacing w:line="259" w:lineRule="auto"/>
      </w:pPr>
      <w:r>
        <w:t xml:space="preserve"> </w:t>
      </w:r>
    </w:p>
  </w:footnote>
  <w:footnote w:id="7">
    <w:p w14:paraId="2E11CDEE" w14:textId="77777777" w:rsidR="00823138" w:rsidRDefault="00A0477A">
      <w:pPr>
        <w:pStyle w:val="footnotedescription"/>
        <w:spacing w:line="259" w:lineRule="auto"/>
      </w:pPr>
      <w:r>
        <w:rPr>
          <w:rStyle w:val="footnotemark"/>
        </w:rPr>
        <w:footnoteRef/>
      </w:r>
      <w:r>
        <w:t xml:space="preserve">  </w:t>
      </w:r>
      <w:r>
        <w:tab/>
        <w:t xml:space="preserve">The “Medical/Exposure Criteria” for each category is listed at pages 81-84 of the </w:t>
      </w:r>
      <w:r>
        <w:rPr>
          <w:u w:val="single" w:color="000000"/>
        </w:rPr>
        <w:t>DS</w:t>
      </w:r>
      <w:r>
        <w:t xml:space="preserve">.  </w:t>
      </w:r>
    </w:p>
  </w:footnote>
  <w:footnote w:id="8">
    <w:p w14:paraId="7C15F847" w14:textId="77777777" w:rsidR="00823138" w:rsidRDefault="00A0477A">
      <w:pPr>
        <w:pStyle w:val="footnotedescription"/>
        <w:spacing w:line="224" w:lineRule="auto"/>
        <w:ind w:right="8418"/>
      </w:pPr>
      <w:r>
        <w:rPr>
          <w:rStyle w:val="footnotemark"/>
        </w:rPr>
        <w:footnoteRef/>
      </w:r>
      <w:r>
        <w:t xml:space="preserve"> 10</w:t>
      </w:r>
    </w:p>
    <w:p w14:paraId="71E2AD4E" w14:textId="77777777" w:rsidR="00823138" w:rsidRDefault="00A0477A">
      <w:pPr>
        <w:pStyle w:val="footnotedescription"/>
        <w:spacing w:line="239" w:lineRule="auto"/>
        <w:ind w:firstLine="130"/>
      </w:pPr>
      <w:r>
        <w:t xml:space="preserve">  </w:t>
      </w:r>
      <w:r>
        <w:tab/>
        <w:t>No specific value was ascribed to “Lung Cancer 2 (Level V),” and each such claim is subject to Individual Review.  (</w:t>
      </w:r>
      <w:r>
        <w:rPr>
          <w:u w:val="single" w:color="000000"/>
        </w:rPr>
        <w:t>DS</w:t>
      </w:r>
      <w:r>
        <w:t>, at 81.)  The Individual Review Process applies to a claimant who believes that his claim would be compensable in the tort system even though the claim does not meet the presumptive criteria established under the Plan.  In addition, a claimant may elect to pursue the Individual Review Process if he believes the liquidated value of the claim exceeds the scheduled value.  (</w:t>
      </w:r>
      <w:r>
        <w:rPr>
          <w:u w:val="single" w:color="000000"/>
        </w:rPr>
        <w:t>DS</w:t>
      </w:r>
      <w:r>
        <w:t xml:space="preserve">, at 89.) </w:t>
      </w:r>
    </w:p>
    <w:p w14:paraId="201F90BC" w14:textId="77777777" w:rsidR="00823138" w:rsidRDefault="00A0477A">
      <w:pPr>
        <w:pStyle w:val="footnotedescription"/>
        <w:spacing w:line="259" w:lineRule="auto"/>
      </w:pPr>
      <w:r>
        <w:t xml:space="preserve"> </w:t>
      </w:r>
    </w:p>
  </w:footnote>
  <w:footnote w:id="9">
    <w:p w14:paraId="76003876" w14:textId="77777777" w:rsidR="00823138" w:rsidRDefault="00A0477A">
      <w:pPr>
        <w:pStyle w:val="footnotedescription"/>
        <w:spacing w:after="21" w:line="255" w:lineRule="auto"/>
      </w:pPr>
      <w:r>
        <w:rPr>
          <w:rStyle w:val="footnotemark"/>
        </w:rPr>
        <w:footnoteRef/>
      </w:r>
      <w:r>
        <w:t xml:space="preserve"> Class 2 consists of Quigley’s secured </w:t>
      </w:r>
      <w:proofErr w:type="gramStart"/>
      <w:r>
        <w:t>creditors, and</w:t>
      </w:r>
      <w:proofErr w:type="gramEnd"/>
      <w:r>
        <w:t xml:space="preserve"> includes certain Asbestos PI Claimants that hold pre-petition judgments secured by </w:t>
      </w:r>
      <w:r>
        <w:rPr>
          <w:u w:val="single" w:color="000000"/>
        </w:rPr>
        <w:t>supersedeas</w:t>
      </w:r>
      <w:r>
        <w:t xml:space="preserve"> bonds posted to stay collection.  (</w:t>
      </w:r>
      <w:r>
        <w:rPr>
          <w:u w:val="single" w:color="000000"/>
        </w:rPr>
        <w:t>See</w:t>
      </w:r>
      <w:r>
        <w:t xml:space="preserve"> </w:t>
      </w:r>
      <w:r>
        <w:rPr>
          <w:u w:val="single" w:color="000000"/>
        </w:rPr>
        <w:t>DS</w:t>
      </w:r>
      <w:r>
        <w:t xml:space="preserve"> 47-49.)  Their claims fall within the broad definition of Asbestos PI Claims, and, therefore, appear to fit into both classes. </w:t>
      </w:r>
    </w:p>
    <w:p w14:paraId="0183019B" w14:textId="77777777" w:rsidR="00823138" w:rsidRDefault="00A0477A">
      <w:pPr>
        <w:pStyle w:val="footnotedescription"/>
        <w:spacing w:line="259" w:lineRule="auto"/>
      </w:pPr>
      <w:r>
        <w:rPr>
          <w:sz w:val="24"/>
        </w:rPr>
        <w:t xml:space="preserve"> </w:t>
      </w:r>
    </w:p>
  </w:footnote>
  <w:footnote w:id="10">
    <w:p w14:paraId="19E138CE" w14:textId="77777777" w:rsidR="00823138" w:rsidRDefault="00A0477A">
      <w:pPr>
        <w:pStyle w:val="footnotedescription"/>
        <w:spacing w:after="12"/>
        <w:ind w:right="6"/>
        <w:jc w:val="both"/>
      </w:pPr>
      <w:r>
        <w:rPr>
          <w:rStyle w:val="footnotemark"/>
        </w:rPr>
        <w:footnoteRef/>
      </w:r>
      <w:r>
        <w:t xml:space="preserve"> </w:t>
      </w:r>
      <w:r>
        <w:rPr>
          <w:u w:val="single" w:color="000000"/>
        </w:rPr>
        <w:t>Motion of Quigley Company, Inc. For an Order: (I) Approving Quigley’s Disclosure Statement;</w:t>
      </w:r>
      <w:r>
        <w:t xml:space="preserve"> </w:t>
      </w:r>
      <w:r>
        <w:rPr>
          <w:u w:val="single" w:color="000000"/>
        </w:rPr>
        <w:t>(II) Approving Solicitation Procedures, Forms of Ballots, and Manner of Notice; (III) Estimating Each</w:t>
      </w:r>
      <w:r>
        <w:t xml:space="preserve"> </w:t>
      </w:r>
      <w:r>
        <w:rPr>
          <w:u w:val="single" w:color="000000"/>
        </w:rPr>
        <w:t>Asbestos PI Claim at $1.00 Solely for Voting Purposes and (IV) Fixing Date, Time and Place for</w:t>
      </w:r>
      <w:r>
        <w:t xml:space="preserve"> </w:t>
      </w:r>
      <w:r>
        <w:rPr>
          <w:u w:val="single" w:color="000000"/>
        </w:rPr>
        <w:t>Confirming Hearing and Deadline for Filing Objections Thereto</w:t>
      </w:r>
      <w:r>
        <w:t>, dated Aug. 17, 2005 (“</w:t>
      </w:r>
      <w:r>
        <w:rPr>
          <w:u w:val="single" w:color="000000"/>
        </w:rPr>
        <w:t>Solicitation</w:t>
      </w:r>
      <w:r>
        <w:t xml:space="preserve"> </w:t>
      </w:r>
      <w:r>
        <w:rPr>
          <w:u w:val="single" w:color="000000"/>
        </w:rPr>
        <w:t>Procedures Motion</w:t>
      </w:r>
      <w:r>
        <w:t xml:space="preserve">”) (ECF Doc. # 421.)  </w:t>
      </w:r>
    </w:p>
    <w:p w14:paraId="704CF1BA" w14:textId="77777777" w:rsidR="00823138" w:rsidRDefault="00A0477A">
      <w:pPr>
        <w:pStyle w:val="footnotedescription"/>
        <w:spacing w:line="259" w:lineRule="auto"/>
        <w:ind w:left="360"/>
      </w:pPr>
      <w:r>
        <w:rPr>
          <w:sz w:val="22"/>
        </w:rPr>
        <w:t xml:space="preserve"> </w:t>
      </w:r>
    </w:p>
  </w:footnote>
  <w:footnote w:id="11">
    <w:p w14:paraId="52E26F6F" w14:textId="77777777" w:rsidR="00823138" w:rsidRDefault="00A0477A">
      <w:pPr>
        <w:pStyle w:val="footnotedescription"/>
        <w:spacing w:line="259" w:lineRule="auto"/>
      </w:pPr>
      <w:r>
        <w:rPr>
          <w:rStyle w:val="footnotemark"/>
        </w:rPr>
        <w:footnoteRef/>
      </w:r>
      <w:r>
        <w:t xml:space="preserve">  In addition to the Ad Hoc Committee’s Objection, which is </w:t>
      </w:r>
      <w:r>
        <w:rPr>
          <w:u w:val="single" w:color="000000"/>
        </w:rPr>
        <w:t>Objection of the Ad-Hoc Committee</w:t>
      </w:r>
      <w:r>
        <w:t xml:space="preserve"> </w:t>
      </w:r>
      <w:r>
        <w:rPr>
          <w:u w:val="single" w:color="000000"/>
        </w:rPr>
        <w:t>of Tort Victims to the Debtor’s First Amended Disclosure Statement…</w:t>
      </w:r>
      <w:r>
        <w:t xml:space="preserve">, dated Sept. 15, 2005 (ECF Doc. # 450), certain other objections were filed by Asbestos PI Claimants and their law firms on the basis of the proposed voting scheme; </w:t>
      </w:r>
      <w:r>
        <w:rPr>
          <w:u w:val="single" w:color="000000"/>
        </w:rPr>
        <w:t>Objection of the David Law Firm Who Represents Victims of Mesothelioma to</w:t>
      </w:r>
      <w:r>
        <w:t xml:space="preserve"> </w:t>
      </w:r>
      <w:r>
        <w:rPr>
          <w:u w:val="single" w:color="000000"/>
        </w:rPr>
        <w:t>the Motion…</w:t>
      </w:r>
      <w:r>
        <w:t xml:space="preserve">, dated Sept. 15, 2005 (ECF Doc. # 443); </w:t>
      </w:r>
      <w:r>
        <w:rPr>
          <w:u w:val="single" w:color="000000"/>
        </w:rPr>
        <w:t>Wade Freeman Objections to Motion of Quigley</w:t>
      </w:r>
      <w:r>
        <w:t xml:space="preserve"> </w:t>
      </w:r>
      <w:r>
        <w:rPr>
          <w:u w:val="single" w:color="000000"/>
        </w:rPr>
        <w:t>Company, Inc…</w:t>
      </w:r>
      <w:r>
        <w:t xml:space="preserve">, dated Sept. 14, 2005 (ECF Doc. # 442); </w:t>
      </w:r>
      <w:proofErr w:type="spellStart"/>
      <w:r>
        <w:rPr>
          <w:u w:val="single" w:color="000000"/>
        </w:rPr>
        <w:t>Reaud</w:t>
      </w:r>
      <w:proofErr w:type="spellEnd"/>
      <w:r>
        <w:rPr>
          <w:u w:val="single" w:color="000000"/>
        </w:rPr>
        <w:t>, Morgan &amp; Quinn, L.L.P.’s Objection to</w:t>
      </w:r>
      <w:r>
        <w:t xml:space="preserve"> </w:t>
      </w:r>
      <w:r>
        <w:rPr>
          <w:u w:val="single" w:color="000000"/>
        </w:rPr>
        <w:t>Motion…</w:t>
      </w:r>
      <w:r>
        <w:t xml:space="preserve">, dated Sept. 15, 2005 (ECF Doc. # 445); </w:t>
      </w:r>
      <w:r>
        <w:rPr>
          <w:u w:val="single" w:color="000000"/>
        </w:rPr>
        <w:t>Objection of William F. Geritz, et. al to First Amended</w:t>
      </w:r>
      <w:r>
        <w:t xml:space="preserve"> </w:t>
      </w:r>
      <w:r>
        <w:rPr>
          <w:u w:val="single" w:color="000000"/>
        </w:rPr>
        <w:t>Disclosure Statement…</w:t>
      </w:r>
      <w:r>
        <w:t>, dated Sept. 15, 2005 (ECF Doc. # 446</w:t>
      </w:r>
      <w:proofErr w:type="gramStart"/>
      <w:r>
        <w:t xml:space="preserve">);  </w:t>
      </w:r>
      <w:r>
        <w:rPr>
          <w:u w:val="single" w:color="000000"/>
        </w:rPr>
        <w:t>Objection</w:t>
      </w:r>
      <w:proofErr w:type="gramEnd"/>
      <w:r>
        <w:rPr>
          <w:u w:val="single" w:color="000000"/>
        </w:rPr>
        <w:t xml:space="preserve"> of Hissey Kientz, L.L.P. and</w:t>
      </w:r>
      <w:r>
        <w:t xml:space="preserve"> </w:t>
      </w:r>
      <w:r>
        <w:rPr>
          <w:u w:val="single" w:color="000000"/>
        </w:rPr>
        <w:t>Hissey, Kientz &amp; Herron P.L.L.C…</w:t>
      </w:r>
      <w:r>
        <w:t xml:space="preserve">, dated Sept. 15, 2005 (ECF Doc. # 455.) </w:t>
      </w:r>
    </w:p>
    <w:p w14:paraId="53D9C51F" w14:textId="77777777" w:rsidR="00823138" w:rsidRDefault="00A0477A">
      <w:pPr>
        <w:pStyle w:val="footnotedescription"/>
        <w:spacing w:line="259" w:lineRule="auto"/>
        <w:ind w:left="360"/>
      </w:pPr>
      <w:r>
        <w:rPr>
          <w:sz w:val="22"/>
        </w:rPr>
        <w:t xml:space="preserve"> </w:t>
      </w:r>
    </w:p>
  </w:footnote>
  <w:footnote w:id="12">
    <w:p w14:paraId="646C2142" w14:textId="77777777" w:rsidR="00823138" w:rsidRDefault="00A0477A">
      <w:pPr>
        <w:pStyle w:val="footnotedescription"/>
        <w:tabs>
          <w:tab w:val="center" w:pos="3910"/>
        </w:tabs>
        <w:spacing w:line="259" w:lineRule="auto"/>
      </w:pPr>
      <w:r>
        <w:rPr>
          <w:rStyle w:val="footnotemark"/>
        </w:rPr>
        <w:footnoteRef/>
      </w:r>
      <w:r>
        <w:t xml:space="preserve"> If a class receives nothing, it is deemed to reject the plan.  11 U.S.C. § 1126(g). </w:t>
      </w:r>
    </w:p>
  </w:footnote>
  <w:footnote w:id="13">
    <w:p w14:paraId="2344C981" w14:textId="77777777" w:rsidR="00823138" w:rsidRDefault="00A0477A">
      <w:pPr>
        <w:pStyle w:val="footnotedescription"/>
        <w:spacing w:line="259" w:lineRule="auto"/>
      </w:pPr>
      <w:r>
        <w:rPr>
          <w:rStyle w:val="footnotemark"/>
        </w:rPr>
        <w:footnoteRef/>
      </w:r>
      <w:r>
        <w:t xml:space="preserve"> In some cases, like </w:t>
      </w:r>
      <w:r>
        <w:rPr>
          <w:u w:val="single" w:color="000000"/>
        </w:rPr>
        <w:t>Manville</w:t>
      </w:r>
      <w:r>
        <w:t xml:space="preserve">, which is discussed in the succeeding text, the ballot doubles as </w:t>
      </w:r>
      <w:proofErr w:type="gramStart"/>
      <w:r>
        <w:t>a proof</w:t>
      </w:r>
      <w:proofErr w:type="gramEnd"/>
      <w:r>
        <w:t xml:space="preserve"> of claim.   </w:t>
      </w:r>
    </w:p>
  </w:footnote>
  <w:footnote w:id="14">
    <w:p w14:paraId="20F31C41" w14:textId="77777777" w:rsidR="00823138" w:rsidRDefault="00A0477A">
      <w:pPr>
        <w:pStyle w:val="footnotedescription"/>
        <w:spacing w:after="12"/>
        <w:ind w:right="6"/>
        <w:jc w:val="both"/>
      </w:pPr>
      <w:r>
        <w:rPr>
          <w:rStyle w:val="footnotemark"/>
        </w:rPr>
        <w:footnoteRef/>
      </w:r>
      <w:r>
        <w:t xml:space="preserve"> </w:t>
      </w:r>
      <w:r>
        <w:t xml:space="preserve">In addition, Quigley refers to a few unpublished bankruptcy court orders that adopted the $1.00 methodology.  Such citations are not persuasive because the issue may not have </w:t>
      </w:r>
      <w:proofErr w:type="gramStart"/>
      <w:r>
        <w:t>actually been</w:t>
      </w:r>
      <w:proofErr w:type="gramEnd"/>
      <w:r>
        <w:t xml:space="preserve"> litigated or decided.  For example, this Court presided over </w:t>
      </w:r>
      <w:r>
        <w:rPr>
          <w:u w:val="single" w:color="000000"/>
        </w:rPr>
        <w:t>Keene Corporation</w:t>
      </w:r>
      <w:r>
        <w:t>, Case no. 93-46090 (</w:t>
      </w:r>
      <w:proofErr w:type="spellStart"/>
      <w:r>
        <w:t>Bankr</w:t>
      </w:r>
      <w:proofErr w:type="spellEnd"/>
      <w:r>
        <w:t xml:space="preserve">. S.D.N.Y.), one of the cases cited by Quigley.  The plan in Keene was consensual, and all parties acquiesced in the $1.00 estimation.   Frankly, it did not matter </w:t>
      </w:r>
      <w:proofErr w:type="gramStart"/>
      <w:r>
        <w:t>in light of</w:t>
      </w:r>
      <w:proofErr w:type="gramEnd"/>
      <w:r>
        <w:t xml:space="preserve"> the overwhelming acceptance, a critical factor discussed in the succeeding text. </w:t>
      </w:r>
    </w:p>
    <w:p w14:paraId="298F9A8B" w14:textId="77777777" w:rsidR="00823138" w:rsidRDefault="00A0477A">
      <w:pPr>
        <w:pStyle w:val="footnotedescription"/>
        <w:spacing w:line="259" w:lineRule="auto"/>
        <w:ind w:left="360"/>
      </w:pPr>
      <w:r>
        <w:rPr>
          <w:sz w:val="2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7E13E" w14:textId="77777777" w:rsidR="00823138" w:rsidRDefault="00A0477A">
    <w:pPr>
      <w:spacing w:after="0" w:line="259" w:lineRule="auto"/>
      <w:ind w:left="-379" w:right="-371" w:firstLine="0"/>
    </w:pPr>
    <w:r>
      <w:rPr>
        <w:rFonts w:ascii="Calibri" w:eastAsia="Calibri" w:hAnsi="Calibri" w:cs="Calibri"/>
      </w:rPr>
      <w:t xml:space="preserve">04-15739-dsj    Doc 897    Filed 08/09/06    Entered 08/09/06 13:40:12    Main Document </w:t>
    </w:r>
  </w:p>
  <w:p w14:paraId="6D28E362" w14:textId="77777777" w:rsidR="00823138" w:rsidRDefault="00A0477A">
    <w:pPr>
      <w:spacing w:after="0" w:line="259" w:lineRule="auto"/>
      <w:ind w:left="0" w:right="8" w:firstLine="0"/>
      <w:jc w:val="center"/>
    </w:pPr>
    <w:r>
      <w:rPr>
        <w:rFonts w:ascii="Calibri" w:eastAsia="Calibri" w:hAnsi="Calibri" w:cs="Calibri"/>
      </w:rPr>
      <w:t xml:space="preserve">Pg </w:t>
    </w: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of </w:t>
    </w:r>
    <w:r>
      <w:fldChar w:fldCharType="begin"/>
    </w:r>
    <w:r>
      <w:instrText xml:space="preserve"> NUMPAGES   \* MERGEFORMAT </w:instrText>
    </w:r>
    <w:r>
      <w:fldChar w:fldCharType="separate"/>
    </w:r>
    <w:r>
      <w:rPr>
        <w:rFonts w:ascii="Calibri" w:eastAsia="Calibri" w:hAnsi="Calibri" w:cs="Calibri"/>
      </w:rPr>
      <w:t>24</w:t>
    </w:r>
    <w:r>
      <w:rPr>
        <w:rFonts w:ascii="Calibri" w:eastAsia="Calibri" w:hAnsi="Calibri" w:cs="Calibr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F5304" w14:textId="77777777" w:rsidR="00823138" w:rsidRDefault="00A0477A">
    <w:pPr>
      <w:spacing w:after="0" w:line="259" w:lineRule="auto"/>
      <w:ind w:left="-379" w:right="-371" w:firstLine="0"/>
    </w:pPr>
    <w:r>
      <w:rPr>
        <w:rFonts w:ascii="Calibri" w:eastAsia="Calibri" w:hAnsi="Calibri" w:cs="Calibri"/>
      </w:rPr>
      <w:t xml:space="preserve">04-15739-dsj    Doc 897    Filed 08/09/06    Entered 08/09/06 13:40:12    Main Document </w:t>
    </w:r>
  </w:p>
  <w:p w14:paraId="5CC09FC3" w14:textId="77777777" w:rsidR="00823138" w:rsidRDefault="00A0477A">
    <w:pPr>
      <w:spacing w:after="0" w:line="259" w:lineRule="auto"/>
      <w:ind w:left="0" w:right="8" w:firstLine="0"/>
      <w:jc w:val="center"/>
    </w:pPr>
    <w:r>
      <w:rPr>
        <w:rFonts w:ascii="Calibri" w:eastAsia="Calibri" w:hAnsi="Calibri" w:cs="Calibri"/>
      </w:rPr>
      <w:t xml:space="preserve">Pg </w:t>
    </w: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of </w:t>
    </w:r>
    <w:r>
      <w:fldChar w:fldCharType="begin"/>
    </w:r>
    <w:r>
      <w:instrText xml:space="preserve"> NUMPAGES   \* MERGEFORMAT </w:instrText>
    </w:r>
    <w:r>
      <w:fldChar w:fldCharType="separate"/>
    </w:r>
    <w:r>
      <w:rPr>
        <w:rFonts w:ascii="Calibri" w:eastAsia="Calibri" w:hAnsi="Calibri" w:cs="Calibri"/>
      </w:rPr>
      <w:t>24</w:t>
    </w:r>
    <w:r>
      <w:rPr>
        <w:rFonts w:ascii="Calibri" w:eastAsia="Calibri" w:hAnsi="Calibri" w:cs="Calibri"/>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042C7" w14:textId="77777777" w:rsidR="00823138" w:rsidRDefault="00A0477A">
    <w:pPr>
      <w:spacing w:after="0" w:line="259" w:lineRule="auto"/>
      <w:ind w:left="-379" w:right="-371" w:firstLine="0"/>
    </w:pPr>
    <w:r>
      <w:rPr>
        <w:rFonts w:ascii="Calibri" w:eastAsia="Calibri" w:hAnsi="Calibri" w:cs="Calibri"/>
      </w:rPr>
      <w:t xml:space="preserve">04-15739-dsj    Doc 897    Filed 08/09/06    Entered 08/09/06 13:40:12    Main Document </w:t>
    </w:r>
  </w:p>
  <w:p w14:paraId="3F0EB5DE" w14:textId="77777777" w:rsidR="00823138" w:rsidRDefault="00A0477A">
    <w:pPr>
      <w:spacing w:after="0" w:line="259" w:lineRule="auto"/>
      <w:ind w:left="0" w:right="8" w:firstLine="0"/>
      <w:jc w:val="center"/>
    </w:pPr>
    <w:r>
      <w:rPr>
        <w:rFonts w:ascii="Calibri" w:eastAsia="Calibri" w:hAnsi="Calibri" w:cs="Calibri"/>
      </w:rPr>
      <w:t xml:space="preserve">Pg </w:t>
    </w: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of </w:t>
    </w:r>
    <w:r>
      <w:fldChar w:fldCharType="begin"/>
    </w:r>
    <w:r>
      <w:instrText xml:space="preserve"> NUMPAGES   \* MERGEFORMAT </w:instrText>
    </w:r>
    <w:r>
      <w:fldChar w:fldCharType="separate"/>
    </w:r>
    <w:r>
      <w:rPr>
        <w:rFonts w:ascii="Calibri" w:eastAsia="Calibri" w:hAnsi="Calibri" w:cs="Calibri"/>
      </w:rPr>
      <w:t>24</w:t>
    </w:r>
    <w:r>
      <w:rPr>
        <w:rFonts w:ascii="Calibri" w:eastAsia="Calibri" w:hAnsi="Calibri" w:cs="Calibri"/>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4815BF"/>
    <w:multiLevelType w:val="hybridMultilevel"/>
    <w:tmpl w:val="0C962136"/>
    <w:lvl w:ilvl="0" w:tplc="716A5C84">
      <w:start w:val="3"/>
      <w:numFmt w:val="decimal"/>
      <w:lvlText w:val="%1"/>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922ADB2C">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C1624C9C">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88E64FF0">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0AD2754A">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0E5E9EBE">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84540BC2">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92C402EC">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4F365A2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num w:numId="1" w16cid:durableId="1598714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138"/>
    <w:rsid w:val="00823138"/>
    <w:rsid w:val="00A0477A"/>
    <w:rsid w:val="00B03E66"/>
    <w:rsid w:val="00B35A2A"/>
    <w:rsid w:val="00C44A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79E27"/>
  <w15:docId w15:val="{0E004963-1757-4F04-9080-3AC18A999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 w:line="264" w:lineRule="auto"/>
      <w:ind w:left="10" w:hanging="1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258" w:line="259" w:lineRule="auto"/>
      <w:ind w:left="1200" w:hanging="10"/>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after="246" w:line="265" w:lineRule="auto"/>
      <w:ind w:left="10" w:hanging="10"/>
      <w:outlineLvl w:val="1"/>
    </w:pPr>
    <w:rPr>
      <w:rFonts w:ascii="Times New Roman" w:eastAsia="Times New Roman" w:hAnsi="Times New Roman" w:cs="Times New Roman"/>
      <w:color w:val="000000"/>
      <w:u w:val="single" w:color="000000"/>
    </w:rPr>
  </w:style>
  <w:style w:type="paragraph" w:styleId="Heading3">
    <w:name w:val="heading 3"/>
    <w:next w:val="Normal"/>
    <w:link w:val="Heading3Char"/>
    <w:uiPriority w:val="9"/>
    <w:unhideWhenUsed/>
    <w:qFormat/>
    <w:pPr>
      <w:keepNext/>
      <w:keepLines/>
      <w:spacing w:after="258" w:line="259" w:lineRule="auto"/>
      <w:ind w:left="1200" w:hanging="10"/>
      <w:outlineLvl w:val="2"/>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color w:val="000000"/>
      <w:sz w:val="24"/>
      <w:u w:val="single" w:color="000000"/>
    </w:rPr>
  </w:style>
  <w:style w:type="character" w:customStyle="1" w:styleId="Heading1Char">
    <w:name w:val="Heading 1 Char"/>
    <w:link w:val="Heading1"/>
    <w:rPr>
      <w:rFonts w:ascii="Times New Roman" w:eastAsia="Times New Roman" w:hAnsi="Times New Roman" w:cs="Times New Roman"/>
      <w:b/>
      <w:color w:val="000000"/>
      <w:sz w:val="24"/>
    </w:rPr>
  </w:style>
  <w:style w:type="paragraph" w:customStyle="1" w:styleId="footnotedescription">
    <w:name w:val="footnote description"/>
    <w:next w:val="Normal"/>
    <w:link w:val="footnotedescriptionChar"/>
    <w:hidden/>
    <w:pPr>
      <w:spacing w:after="0" w:line="244" w:lineRule="auto"/>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23</Pages>
  <Words>5357</Words>
  <Characters>30537</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TO:</vt:lpstr>
    </vt:vector>
  </TitlesOfParts>
  <Company/>
  <LinksUpToDate>false</LinksUpToDate>
  <CharactersWithSpaces>35823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subject/>
  <dc:creator>agildea</dc:creator>
  <cp:keywords/>
  <cp:lastModifiedBy>John Rabiej</cp:lastModifiedBy>
  <cp:revision>2</cp:revision>
  <dcterms:created xsi:type="dcterms:W3CDTF">2026-08-07T12:38:00Z</dcterms:created>
  <dcterms:modified xsi:type="dcterms:W3CDTF">2026-08-07T12:38:00Z</dcterms:modified>
</cp:coreProperties>
</file>