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043A6" w14:textId="4891EA0A" w:rsidR="00FB0B2F" w:rsidRDefault="00FB0B2F" w:rsidP="00FB0B2F">
      <w:pPr>
        <w:shd w:val="clear" w:color="auto" w:fill="FFFFFF"/>
        <w:spacing w:before="100" w:beforeAutospacing="1" w:after="0" w:line="240" w:lineRule="auto"/>
        <w:ind w:left="720" w:right="720"/>
        <w:jc w:val="both"/>
        <w:rPr>
          <w:rFonts w:cs="Times New Roman"/>
          <w:b/>
          <w:bCs/>
          <w:color w:val="000000" w:themeColor="text1"/>
          <w:kern w:val="0"/>
          <w:szCs w:val="24"/>
          <w14:ligatures w14:val="none"/>
        </w:rPr>
      </w:pPr>
      <w:r>
        <w:rPr>
          <w:noProof/>
        </w:rPr>
        <w:drawing>
          <wp:inline distT="0" distB="0" distL="0" distR="0" wp14:anchorId="20CC5F98" wp14:editId="65D2AF49">
            <wp:extent cx="5943600" cy="828675"/>
            <wp:effectExtent l="0" t="0" r="0" b="9525"/>
            <wp:docPr id="5" name="Picture 5" descr="Graphical user interface,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imeline&#10;&#10;Description automatically generated with medium confidence"/>
                    <pic:cNvPicPr>
                      <a:picLocks noChangeAspect="1" noChangeArrowheads="1"/>
                    </pic:cNvPicPr>
                  </pic:nvPicPr>
                  <pic:blipFill rotWithShape="1">
                    <a:blip r:embed="rId6">
                      <a:extLst>
                        <a:ext uri="{28A0092B-C50C-407E-A947-70E740481C1C}">
                          <a14:useLocalDpi xmlns:a14="http://schemas.microsoft.com/office/drawing/2010/main" val="0"/>
                        </a:ext>
                      </a:extLst>
                    </a:blip>
                    <a:srcRect l="-481" t="18882" r="481" b="63826"/>
                    <a:stretch/>
                  </pic:blipFill>
                  <pic:spPr bwMode="auto">
                    <a:xfrm>
                      <a:off x="0" y="0"/>
                      <a:ext cx="5943600" cy="828675"/>
                    </a:xfrm>
                    <a:prstGeom prst="rect">
                      <a:avLst/>
                    </a:prstGeom>
                    <a:noFill/>
                    <a:ln>
                      <a:noFill/>
                    </a:ln>
                    <a:extLst>
                      <a:ext uri="{53640926-AAD7-44D8-BBD7-CCE9431645EC}">
                        <a14:shadowObscured xmlns:a14="http://schemas.microsoft.com/office/drawing/2010/main"/>
                      </a:ext>
                    </a:extLst>
                  </pic:spPr>
                </pic:pic>
              </a:graphicData>
            </a:graphic>
          </wp:inline>
        </w:drawing>
      </w:r>
    </w:p>
    <w:p w14:paraId="234A756C" w14:textId="16837050" w:rsidR="00FB0B2F" w:rsidRPr="00FB0B2F" w:rsidRDefault="00FB0B2F" w:rsidP="00FB0B2F">
      <w:pPr>
        <w:pStyle w:val="NoSpacing"/>
        <w:jc w:val="center"/>
        <w:rPr>
          <w:b/>
          <w:bCs/>
        </w:rPr>
      </w:pPr>
      <w:r w:rsidRPr="00FB0B2F">
        <w:rPr>
          <w:b/>
          <w:bCs/>
        </w:rPr>
        <w:t xml:space="preserve">Comparing Best Practices Requiring Minimum Proof of Injury and Use </w:t>
      </w:r>
      <w:r w:rsidRPr="00FB0B2F">
        <w:rPr>
          <w:b/>
          <w:bCs/>
        </w:rPr>
        <w:t>for Mass-Tort MDLs and Bankruptcies</w:t>
      </w:r>
    </w:p>
    <w:p w14:paraId="0E97C7B4" w14:textId="2C8832EE" w:rsidR="00FB0B2F" w:rsidRPr="00FB0B2F" w:rsidRDefault="00FB0B2F" w:rsidP="00FB0B2F">
      <w:pPr>
        <w:pStyle w:val="NoSpacing"/>
        <w:jc w:val="center"/>
        <w:rPr>
          <w:b/>
          <w:bCs/>
        </w:rPr>
      </w:pPr>
      <w:r w:rsidRPr="00FB0B2F">
        <w:rPr>
          <w:b/>
          <w:bCs/>
        </w:rPr>
        <w:t>September 7, 2026</w:t>
      </w:r>
    </w:p>
    <w:p w14:paraId="3BA399C4" w14:textId="2A9802C5" w:rsidR="00FB0B2F" w:rsidRPr="00FB0B2F" w:rsidRDefault="00FB0B2F" w:rsidP="00FB0B2F">
      <w:pPr>
        <w:shd w:val="clear" w:color="auto" w:fill="FFFFFF"/>
        <w:spacing w:before="100" w:beforeAutospacing="1" w:after="0" w:line="240" w:lineRule="auto"/>
        <w:ind w:left="720" w:right="720"/>
        <w:jc w:val="both"/>
        <w:rPr>
          <w:rFonts w:cs="Times New Roman"/>
          <w:color w:val="000000" w:themeColor="text1"/>
          <w:kern w:val="0"/>
          <w:szCs w:val="24"/>
          <w14:ligatures w14:val="none"/>
        </w:rPr>
      </w:pPr>
      <w:r>
        <w:rPr>
          <w:rFonts w:cs="Times New Roman"/>
          <w:b/>
          <w:bCs/>
          <w:color w:val="000000" w:themeColor="text1"/>
          <w:kern w:val="0"/>
          <w:szCs w:val="24"/>
          <w14:ligatures w14:val="none"/>
        </w:rPr>
        <w:t>I.</w:t>
      </w:r>
      <w:r>
        <w:rPr>
          <w:rFonts w:cs="Times New Roman"/>
          <w:b/>
          <w:bCs/>
          <w:color w:val="000000" w:themeColor="text1"/>
          <w:kern w:val="0"/>
          <w:szCs w:val="24"/>
          <w14:ligatures w14:val="none"/>
        </w:rPr>
        <w:tab/>
      </w:r>
      <w:r w:rsidRPr="00FB0B2F">
        <w:rPr>
          <w:rFonts w:cs="Times New Roman"/>
          <w:b/>
          <w:bCs/>
          <w:color w:val="000000" w:themeColor="text1"/>
          <w:kern w:val="0"/>
          <w:szCs w:val="24"/>
          <w:u w:val="single"/>
          <w14:ligatures w14:val="none"/>
        </w:rPr>
        <w:t xml:space="preserve">Threshold Proof of Injury and Use in Mass-Tort </w:t>
      </w:r>
      <w:r w:rsidRPr="00FB0B2F">
        <w:rPr>
          <w:rFonts w:cs="Times New Roman"/>
          <w:b/>
          <w:bCs/>
          <w:color w:val="000000" w:themeColor="text1"/>
          <w:kern w:val="0"/>
          <w:szCs w:val="24"/>
          <w:u w:val="single"/>
          <w14:ligatures w14:val="none"/>
        </w:rPr>
        <w:t>Bankruptcies</w:t>
      </w:r>
    </w:p>
    <w:p w14:paraId="7EA1C6D6" w14:textId="6AE7B1BC" w:rsidR="00FB0B2F" w:rsidRDefault="00FB0B2F" w:rsidP="00FB0B2F">
      <w:pPr>
        <w:shd w:val="clear" w:color="auto" w:fill="FFFFFF"/>
        <w:spacing w:before="100" w:beforeAutospacing="1" w:after="0" w:line="240" w:lineRule="auto"/>
        <w:ind w:left="720" w:right="720"/>
        <w:jc w:val="both"/>
        <w:rPr>
          <w:rFonts w:cs="Times New Roman"/>
          <w:b/>
          <w:bCs/>
          <w:color w:val="000000" w:themeColor="text1"/>
          <w:kern w:val="0"/>
          <w:szCs w:val="24"/>
          <w14:ligatures w14:val="none"/>
        </w:rPr>
      </w:pPr>
    </w:p>
    <w:p w14:paraId="6967B377" w14:textId="77777777" w:rsidR="00FB0B2F" w:rsidRPr="00FB0B2F" w:rsidRDefault="00FB0B2F" w:rsidP="00FB0B2F">
      <w:pPr>
        <w:spacing w:after="0" w:line="240" w:lineRule="auto"/>
        <w:jc w:val="both"/>
        <w:rPr>
          <w:rFonts w:ascii="Times New Roman Bold" w:hAnsi="Times New Roman Bold" w:cs="Times New Roman"/>
          <w:smallCaps/>
          <w:kern w:val="0"/>
          <w:sz w:val="28"/>
          <w:szCs w:val="28"/>
          <w14:ligatures w14:val="none"/>
        </w:rPr>
      </w:pPr>
      <w:r w:rsidRPr="00FB0B2F">
        <w:rPr>
          <w:b/>
          <w:bCs/>
          <w:color w:val="000000" w:themeColor="text1"/>
          <w:kern w:val="0"/>
          <w:szCs w:val="24"/>
          <w:u w:val="single"/>
          <w14:ligatures w14:val="none"/>
        </w:rPr>
        <w:t xml:space="preserve">GUIDELINE </w:t>
      </w:r>
      <w:r w:rsidRPr="00FB0B2F">
        <w:rPr>
          <w:rFonts w:cs="Times New Roman"/>
          <w:b/>
          <w:bCs/>
          <w:color w:val="000000" w:themeColor="text1"/>
          <w:kern w:val="0"/>
          <w:szCs w:val="24"/>
          <w:u w:val="single"/>
          <w14:ligatures w14:val="none"/>
        </w:rPr>
        <w:t>MDL-§ 15</w:t>
      </w:r>
      <w:r w:rsidRPr="00FB0B2F">
        <w:rPr>
          <w:rFonts w:cs="Times New Roman"/>
          <w:b/>
          <w:bCs/>
          <w:color w:val="000000" w:themeColor="text1"/>
          <w:kern w:val="0"/>
          <w:szCs w:val="24"/>
          <w14:ligatures w14:val="none"/>
        </w:rPr>
        <w:t>:</w:t>
      </w:r>
      <w:r w:rsidRPr="00FB0B2F">
        <w:rPr>
          <w:b/>
          <w:bCs/>
          <w:color w:val="000000" w:themeColor="text1"/>
          <w:kern w:val="0"/>
          <w:szCs w:val="24"/>
          <w14:ligatures w14:val="none"/>
        </w:rPr>
        <w:t xml:space="preserve"> </w:t>
      </w:r>
      <w:r w:rsidRPr="00FB0B2F">
        <w:rPr>
          <w:color w:val="000000" w:themeColor="text1"/>
          <w:kern w:val="0"/>
          <w:szCs w:val="24"/>
          <w14:ligatures w14:val="none"/>
        </w:rPr>
        <w:t xml:space="preserve">Parties and the court need basic information as to each creditor’s personal-injury claim in a Chapter 11 mass-tort bankruptcy as soon as practicable -- to facilitate the plan’s development and to allow parties in interest to make informed decisions about eligibility to vote for a reorganization plan. </w:t>
      </w:r>
    </w:p>
    <w:p w14:paraId="4A5CBA44" w14:textId="77777777" w:rsidR="00FB0B2F" w:rsidRPr="00FB0B2F" w:rsidRDefault="00FB0B2F" w:rsidP="00FB0B2F">
      <w:pPr>
        <w:spacing w:after="0" w:line="240" w:lineRule="auto"/>
        <w:ind w:left="720" w:right="720"/>
        <w:jc w:val="both"/>
        <w:rPr>
          <w:rFonts w:ascii="Times New Roman Bold" w:hAnsi="Times New Roman Bold" w:cs="Times New Roman"/>
          <w:b/>
          <w:bCs/>
          <w:smallCaps/>
          <w:kern w:val="0"/>
          <w:sz w:val="28"/>
          <w:szCs w:val="28"/>
          <w14:ligatures w14:val="none"/>
        </w:rPr>
      </w:pPr>
    </w:p>
    <w:p w14:paraId="62629AF8"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In a Chapter 11 bankruptcy case that is caused exclusively or primarily by potential liabilities for hundreds or thousands of individual personal-injury claims, the court and parties need information to identify unsupportable and “less substantial” claims as soon as practicable to assess voting-eligibility rights and begin estimating the value of tort claims and develop a reorganization plan.  </w:t>
      </w:r>
    </w:p>
    <w:p w14:paraId="7BDFF4E1"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A mass-tort MDL can involve thousands even tens of thousands of individual actions, many of which are filed in good faith but without an evidentiary basis. This happens because in non-bankruptcy litigation (such as in an MDL) the action may be filed, consistent with FED. R. CIV. P. 11, on “information and belief” without any evidentiary basis in the expectation that evidence will later be found after further investigation or discovery. As a result, a significant number of claims filed in a mass-tort MDL ultimately are withdrawn or dismissed after further investigation or discovery has revealed no evidentiary basis. To facilitate management of these cases, courts require parties to submit Plaintiff Fact Sheets, which are widely utilized in MDL litigation,</w:t>
      </w:r>
      <w:r w:rsidRPr="00FB0B2F">
        <w:rPr>
          <w:rFonts w:cs="Times New Roman"/>
          <w:color w:val="000000" w:themeColor="text1"/>
          <w:kern w:val="0"/>
          <w:szCs w:val="24"/>
          <w:vertAlign w:val="superscript"/>
          <w14:ligatures w14:val="none"/>
        </w:rPr>
        <w:footnoteReference w:id="1"/>
      </w:r>
      <w:r w:rsidRPr="00FB0B2F">
        <w:rPr>
          <w:rFonts w:cs="Times New Roman"/>
          <w:color w:val="000000" w:themeColor="text1"/>
          <w:kern w:val="0"/>
          <w:szCs w:val="24"/>
          <w14:ligatures w14:val="none"/>
        </w:rPr>
        <w:t xml:space="preserve"> particularly in products liability and mass-tort MDLs.</w:t>
      </w:r>
      <w:r w:rsidRPr="00FB0B2F">
        <w:rPr>
          <w:rFonts w:cs="Times New Roman"/>
          <w:color w:val="000000" w:themeColor="text1"/>
          <w:kern w:val="0"/>
          <w:szCs w:val="24"/>
          <w:vertAlign w:val="superscript"/>
          <w14:ligatures w14:val="none"/>
        </w:rPr>
        <w:footnoteReference w:id="2"/>
      </w:r>
      <w:r w:rsidRPr="00FB0B2F">
        <w:rPr>
          <w:rFonts w:cs="Times New Roman"/>
          <w:color w:val="000000" w:themeColor="text1"/>
          <w:kern w:val="0"/>
          <w:szCs w:val="24"/>
          <w14:ligatures w14:val="none"/>
        </w:rPr>
        <w:t xml:space="preserve"> They were developed to provide basic information quickly about individual claimants to aid vetting, including information about </w:t>
      </w:r>
      <w:r w:rsidRPr="00FB0B2F">
        <w:rPr>
          <w:rFonts w:cs="Times New Roman"/>
          <w:color w:val="000000" w:themeColor="text1"/>
          <w:kern w:val="0"/>
          <w:szCs w:val="24"/>
          <w14:ligatures w14:val="none"/>
        </w:rPr>
        <w:lastRenderedPageBreak/>
        <w:t xml:space="preserve">the plaintiff’s location, plaintiff’s health-care providers, witnesses, where the injury occurred, and the extent of the exposure and injury. </w:t>
      </w:r>
    </w:p>
    <w:p w14:paraId="59C2654E" w14:textId="77777777" w:rsidR="00FB0B2F" w:rsidRPr="00FB0B2F" w:rsidRDefault="00FB0B2F" w:rsidP="00FB0B2F">
      <w:pPr>
        <w:spacing w:after="0" w:line="360" w:lineRule="auto"/>
        <w:ind w:firstLine="720"/>
        <w:jc w:val="both"/>
        <w:rPr>
          <w:rFonts w:cs="Times New Roman"/>
          <w:color w:val="111111"/>
          <w:spacing w:val="1"/>
          <w:kern w:val="0"/>
          <w:szCs w:val="24"/>
          <w:shd w:val="clear" w:color="auto" w:fill="FFFFFF"/>
          <w14:ligatures w14:val="none"/>
        </w:rPr>
      </w:pPr>
      <w:r w:rsidRPr="00FB0B2F">
        <w:rPr>
          <w:rFonts w:cs="Times New Roman"/>
          <w:color w:val="000000" w:themeColor="text1"/>
          <w:kern w:val="0"/>
          <w:szCs w:val="24"/>
          <w14:ligatures w14:val="none"/>
        </w:rPr>
        <w:t xml:space="preserve">Different forms of Plaintiff Fact Sheets, either “short” or “long,” have been used, either separately or together in an MDL. Some fact sheets require the plaintiff to attach medical records, while others require only a statement that such medical records exist. </w:t>
      </w:r>
    </w:p>
    <w:p w14:paraId="11B54E0F" w14:textId="77777777" w:rsidR="00FB0B2F" w:rsidRPr="00FB0B2F" w:rsidRDefault="00FB0B2F" w:rsidP="00FB0B2F">
      <w:pPr>
        <w:spacing w:after="0" w:line="360" w:lineRule="auto"/>
        <w:ind w:firstLine="720"/>
        <w:jc w:val="both"/>
        <w:rPr>
          <w:rFonts w:cs="Times New Roman"/>
          <w:color w:val="111111"/>
          <w:spacing w:val="1"/>
          <w:kern w:val="0"/>
          <w:szCs w:val="24"/>
          <w:shd w:val="clear" w:color="auto" w:fill="FFFFFF"/>
          <w14:ligatures w14:val="none"/>
        </w:rPr>
      </w:pPr>
      <w:r w:rsidRPr="00FB0B2F">
        <w:rPr>
          <w:rFonts w:cs="Times New Roman"/>
          <w:color w:val="000000" w:themeColor="text1"/>
          <w:kern w:val="0"/>
          <w:szCs w:val="24"/>
          <w14:ligatures w14:val="none"/>
        </w:rPr>
        <w:t xml:space="preserve">In a mass-tort bankruptcy-- like any other bankruptcy -- the Proof of Claim alerts the debtor of potential liabilities at the outset of bankruptcy, identifying the creditor and type of claim but typically with little in the way of details.   The form for Proof of Claim is prescribed by Official Form 410, which strives for simplicity, and which is intended only to </w:t>
      </w:r>
      <w:r w:rsidRPr="00FB0B2F">
        <w:rPr>
          <w:rFonts w:cs="Times New Roman"/>
          <w:color w:val="111111"/>
          <w:spacing w:val="1"/>
          <w:kern w:val="0"/>
          <w:szCs w:val="24"/>
          <w:shd w:val="clear" w:color="auto" w:fill="FFFFFF"/>
          <w14:ligatures w14:val="none"/>
        </w:rPr>
        <w:t xml:space="preserve">provide notice of a claim to the court, the debtor, and any other creditors in the bankruptcy. Question No. 8 of Part 2 asks: “What is the basis of the claim?  Examples: Goods sold ... </w:t>
      </w:r>
      <w:r w:rsidRPr="00FB0B2F">
        <w:rPr>
          <w:rFonts w:cs="Times New Roman"/>
          <w:i/>
          <w:iCs/>
          <w:color w:val="111111"/>
          <w:spacing w:val="1"/>
          <w:kern w:val="0"/>
          <w:szCs w:val="24"/>
          <w:shd w:val="clear" w:color="auto" w:fill="FFFFFF"/>
          <w14:ligatures w14:val="none"/>
        </w:rPr>
        <w:t>personal injury</w:t>
      </w:r>
      <w:r w:rsidRPr="00FB0B2F">
        <w:rPr>
          <w:rFonts w:cs="Times New Roman"/>
          <w:color w:val="111111"/>
          <w:spacing w:val="1"/>
          <w:kern w:val="0"/>
          <w:szCs w:val="24"/>
          <w:shd w:val="clear" w:color="auto" w:fill="FFFFFF"/>
          <w14:ligatures w14:val="none"/>
        </w:rPr>
        <w:t xml:space="preserve"> or wrongful death ...” In a mass-tort bankruptcy case, solely asserting a claim, without more information, is minimally helpful.</w:t>
      </w:r>
    </w:p>
    <w:p w14:paraId="73805E6D" w14:textId="77777777" w:rsidR="00FB0B2F" w:rsidRPr="00FB0B2F" w:rsidRDefault="00FB0B2F" w:rsidP="00FB0B2F">
      <w:pPr>
        <w:spacing w:after="0" w:line="360" w:lineRule="auto"/>
        <w:ind w:firstLine="720"/>
        <w:jc w:val="both"/>
        <w:rPr>
          <w:rFonts w:cs="Times New Roman"/>
          <w:color w:val="111111"/>
          <w:spacing w:val="1"/>
          <w:kern w:val="0"/>
          <w:szCs w:val="24"/>
          <w:shd w:val="clear" w:color="auto" w:fill="FFFFFF"/>
          <w14:ligatures w14:val="none"/>
        </w:rPr>
      </w:pPr>
      <w:r w:rsidRPr="00FB0B2F">
        <w:rPr>
          <w:rFonts w:cs="Times New Roman"/>
          <w:color w:val="111111"/>
          <w:spacing w:val="1"/>
          <w:kern w:val="0"/>
          <w:szCs w:val="24"/>
          <w:shd w:val="clear" w:color="auto" w:fill="FFFFFF"/>
          <w14:ligatures w14:val="none"/>
        </w:rPr>
        <w:t>Though each of the proof of claim and the Plaintiff Fact Sheet is intended to provide basic information about the tort claimants, the Plaintiff Fact Sheet is much more effective in facilitating resolution.  Although Proofs-of-Claim in bankruptcy, like actions filed in a mass-tort MDL, are subject to sanctions for fraudulent submissions, a significant number of claims are likely to be filed that, while innocently submitted, are unsupportable.  Additional information is needed to verify the claims to assess voting-rights eligibility, and as importantly or more so to determine potential total liability and develop a reorganization plan.</w:t>
      </w:r>
    </w:p>
    <w:p w14:paraId="1EB378A8"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111111"/>
          <w:spacing w:val="1"/>
          <w:kern w:val="0"/>
          <w:szCs w:val="24"/>
          <w:shd w:val="clear" w:color="auto" w:fill="FFFFFF"/>
          <w14:ligatures w14:val="none"/>
        </w:rPr>
        <w:t>Expending the limited purpose of Official Form 410 is restricted by Fed. R.  Bk. P. 9009(a), which requires that Official Forms “be used without alteration, except as otherwise provided in these rules, in a particular Official Form, or in the national instructions for a particular Official Form.  Official Forms may be modified to permit minor changes not affecting wording or the order of presenting information....”  Despite these restrictions, the histories of Official Form 410 and Rule 9009 support a practical application, which permits limited modifications that amplify the requested information consistent with the intent and purpose of the rule.</w:t>
      </w:r>
    </w:p>
    <w:p w14:paraId="66287EA6"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t>Best Practice MDL-§ 15(a):</w:t>
      </w:r>
      <w:r w:rsidRPr="00FB0B2F">
        <w:rPr>
          <w:b/>
          <w:bCs/>
          <w:color w:val="000000" w:themeColor="text1"/>
          <w:kern w:val="0"/>
          <w:szCs w:val="24"/>
          <w14:ligatures w14:val="none"/>
        </w:rPr>
        <w:t xml:space="preserve"> </w:t>
      </w:r>
      <w:r w:rsidRPr="00FB0B2F">
        <w:rPr>
          <w:color w:val="000000" w:themeColor="text1"/>
          <w:kern w:val="0"/>
          <w:szCs w:val="24"/>
          <w14:ligatures w14:val="none"/>
        </w:rPr>
        <w:t>A court should consider approving modifications to Official Form 410 (Proof of Claim) to require a creditor to provide basic information, including attachments, supporting their personal-injury claim in a mass-tort bankruptcy.</w:t>
      </w:r>
      <w:r w:rsidRPr="00FB0B2F">
        <w:rPr>
          <w:b/>
          <w:bCs/>
          <w:color w:val="000000" w:themeColor="text1"/>
          <w:kern w:val="0"/>
          <w:szCs w:val="24"/>
          <w14:ligatures w14:val="none"/>
        </w:rPr>
        <w:t xml:space="preserve"> </w:t>
      </w:r>
    </w:p>
    <w:p w14:paraId="3A8F9A4B" w14:textId="77777777" w:rsidR="00FB0B2F" w:rsidRPr="00FB0B2F" w:rsidRDefault="00FB0B2F" w:rsidP="00FB0B2F">
      <w:pPr>
        <w:spacing w:after="0" w:line="240" w:lineRule="auto"/>
        <w:jc w:val="both"/>
        <w:rPr>
          <w:rFonts w:cs="Times New Roman"/>
          <w:color w:val="000000" w:themeColor="text1"/>
          <w:kern w:val="0"/>
          <w:szCs w:val="24"/>
          <w14:ligatures w14:val="none"/>
        </w:rPr>
      </w:pPr>
    </w:p>
    <w:p w14:paraId="321F0FFB"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lastRenderedPageBreak/>
        <w:t xml:space="preserve">If an MDL has moved into bankruptcy, the court and parties should have sufficient information from Plaintiff Fact Sheets about the personal-injury claims stayed in a mass-tort MDL pending bankruptcy to assess voting-rights eligibility and facilitate development of a reorganization plan.  But the call for the public to submit proofs of claim in bankruptcy will likely draw new, additional claims that were not part of the litigation, and which will contain only a bare-bones notification in the Official Form 410 (Proof of Claim).   </w:t>
      </w:r>
    </w:p>
    <w:p w14:paraId="6CB4D6C3"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Official Form 410 (Proof of Claim) asks a creditor to indicate only whether they are asserting a “personal-injury claim.”   Although a party </w:t>
      </w:r>
      <w:proofErr w:type="gramStart"/>
      <w:r w:rsidRPr="00FB0B2F">
        <w:rPr>
          <w:rFonts w:cs="Times New Roman"/>
          <w:color w:val="000000" w:themeColor="text1"/>
          <w:kern w:val="0"/>
          <w:szCs w:val="24"/>
          <w14:ligatures w14:val="none"/>
        </w:rPr>
        <w:t>in</w:t>
      </w:r>
      <w:proofErr w:type="gramEnd"/>
      <w:r w:rsidRPr="00FB0B2F">
        <w:rPr>
          <w:rFonts w:cs="Times New Roman"/>
          <w:color w:val="000000" w:themeColor="text1"/>
          <w:kern w:val="0"/>
          <w:szCs w:val="24"/>
          <w14:ligatures w14:val="none"/>
        </w:rPr>
        <w:t xml:space="preserve"> interest can rely on alternative procedures to obtain additional information about the claim, none is as effective or efficient as using an expanded Official Form 410, assuming the burdens in responding to the additional requests are reasonable.   </w:t>
      </w:r>
    </w:p>
    <w:p w14:paraId="709FFB16"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Fed. R. Bk. P. 9009(a) sharply limits permissible revisions to any Official Form as a means to promote national uniformity and ensure that Official Forms do not vary district to district or by judges within a district.</w:t>
      </w:r>
      <w:r w:rsidRPr="00FB0B2F">
        <w:rPr>
          <w:rFonts w:cs="Times New Roman"/>
          <w:color w:val="000000" w:themeColor="text1"/>
          <w:kern w:val="0"/>
          <w:szCs w:val="24"/>
          <w:vertAlign w:val="superscript"/>
          <w14:ligatures w14:val="none"/>
        </w:rPr>
        <w:footnoteReference w:id="3"/>
      </w:r>
      <w:r w:rsidRPr="00FB0B2F">
        <w:rPr>
          <w:rFonts w:cs="Times New Roman"/>
          <w:color w:val="000000" w:themeColor="text1"/>
          <w:kern w:val="0"/>
          <w:szCs w:val="24"/>
          <w14:ligatures w14:val="none"/>
        </w:rPr>
        <w:t xml:space="preserve">  Accordingly, an Official Form may not be altered under Rule 9009(a) unless otherwise provided: (</w:t>
      </w:r>
      <w:proofErr w:type="spellStart"/>
      <w:r w:rsidRPr="00FB0B2F">
        <w:rPr>
          <w:rFonts w:cs="Times New Roman"/>
          <w:color w:val="000000" w:themeColor="text1"/>
          <w:kern w:val="0"/>
          <w:szCs w:val="24"/>
          <w14:ligatures w14:val="none"/>
        </w:rPr>
        <w:t>i</w:t>
      </w:r>
      <w:proofErr w:type="spellEnd"/>
      <w:r w:rsidRPr="00FB0B2F">
        <w:rPr>
          <w:rFonts w:cs="Times New Roman"/>
          <w:color w:val="000000" w:themeColor="text1"/>
          <w:kern w:val="0"/>
          <w:szCs w:val="24"/>
          <w14:ligatures w14:val="none"/>
        </w:rPr>
        <w:t>) in an individual Federal Rule of Bankruptcy Procedure; (ii) in a particular Official Form; or (iii) in the national instructions for a particular form.</w:t>
      </w:r>
      <w:r w:rsidRPr="00FB0B2F">
        <w:rPr>
          <w:rFonts w:cs="Times New Roman"/>
          <w:color w:val="000000" w:themeColor="text1"/>
          <w:kern w:val="0"/>
          <w:szCs w:val="24"/>
          <w:vertAlign w:val="superscript"/>
          <w14:ligatures w14:val="none"/>
        </w:rPr>
        <w:footnoteReference w:id="4"/>
      </w:r>
      <w:r w:rsidRPr="00FB0B2F">
        <w:rPr>
          <w:rFonts w:cs="Times New Roman"/>
          <w:color w:val="000000" w:themeColor="text1"/>
          <w:kern w:val="0"/>
          <w:szCs w:val="24"/>
          <w14:ligatures w14:val="none"/>
        </w:rPr>
        <w:t xml:space="preserve">   </w:t>
      </w:r>
    </w:p>
    <w:p w14:paraId="44706BC2"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Fed. R. Bk. P. 3001(a) provides such authority, though limited, to alter Official Form 410 (proof-of-claim): “A proof of claim shall </w:t>
      </w:r>
      <w:r w:rsidRPr="00FB0B2F">
        <w:rPr>
          <w:rFonts w:cs="Times New Roman"/>
          <w:i/>
          <w:iCs/>
          <w:color w:val="000000" w:themeColor="text1"/>
          <w:kern w:val="0"/>
          <w:szCs w:val="24"/>
          <w14:ligatures w14:val="none"/>
        </w:rPr>
        <w:t>conform substantially</w:t>
      </w:r>
      <w:r w:rsidRPr="00FB0B2F">
        <w:rPr>
          <w:rFonts w:cs="Times New Roman"/>
          <w:color w:val="000000" w:themeColor="text1"/>
          <w:kern w:val="0"/>
          <w:szCs w:val="24"/>
          <w14:ligatures w14:val="none"/>
        </w:rPr>
        <w:t xml:space="preserve"> to the appropriate Official Form [410].”</w:t>
      </w:r>
      <w:r w:rsidRPr="00FB0B2F">
        <w:rPr>
          <w:rFonts w:cs="Times New Roman"/>
          <w:color w:val="000000" w:themeColor="text1"/>
          <w:kern w:val="0"/>
          <w:szCs w:val="24"/>
          <w:vertAlign w:val="superscript"/>
          <w14:ligatures w14:val="none"/>
        </w:rPr>
        <w:footnoteReference w:id="5"/>
      </w:r>
      <w:r w:rsidRPr="00FB0B2F">
        <w:rPr>
          <w:rFonts w:cs="Times New Roman"/>
          <w:color w:val="000000" w:themeColor="text1"/>
          <w:kern w:val="0"/>
          <w:szCs w:val="24"/>
          <w14:ligatures w14:val="none"/>
        </w:rPr>
        <w:t xml:space="preserve"> The provisions of Official Form 410 as well as its accompanying instructions provide some leeway for a court to deviate from the wording in Official Form 410.  </w:t>
      </w:r>
    </w:p>
    <w:p w14:paraId="27E2D98E"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Adding simple questions to Official Form 410 regarding Question 8’s “basis of the claim” by asking for information confirming a claimant’s use or receipt of the product at issue and demonstrating the extent of exposure and injury alerts the debtor, court, and other parties of potential liabilities, the primary purpose of the form.  Although Question 8 on the Official Form itself appears to limit attachments only to those “documents supporting the claim required by Bankruptcy Rule 3001(c),” the accompanying National Instructions are broader and require the creditor to “attach redacted copies of any documents that </w:t>
      </w:r>
      <w:r w:rsidRPr="00FB0B2F">
        <w:rPr>
          <w:rFonts w:cs="Times New Roman"/>
          <w:i/>
          <w:iCs/>
          <w:color w:val="000000" w:themeColor="text1"/>
          <w:kern w:val="0"/>
          <w:szCs w:val="24"/>
          <w14:ligatures w14:val="none"/>
        </w:rPr>
        <w:t>show that the debt exists</w:t>
      </w:r>
      <w:r w:rsidRPr="00FB0B2F">
        <w:rPr>
          <w:rFonts w:cs="Times New Roman"/>
          <w:color w:val="000000" w:themeColor="text1"/>
          <w:kern w:val="0"/>
          <w:szCs w:val="24"/>
          <w14:ligatures w14:val="none"/>
        </w:rPr>
        <w:t xml:space="preserve">.”  Those </w:t>
      </w:r>
      <w:r w:rsidRPr="00FB0B2F">
        <w:rPr>
          <w:rFonts w:cs="Times New Roman"/>
          <w:color w:val="000000" w:themeColor="text1"/>
          <w:kern w:val="0"/>
          <w:szCs w:val="24"/>
          <w14:ligatures w14:val="none"/>
        </w:rPr>
        <w:lastRenderedPageBreak/>
        <w:t xml:space="preserve">documents could include, when applicable, standard documentation identifying the product to which the claimant was exposed and confirmation of the claimant’s treatment or injury. In accordance with Rule 9009(a), the broader provisions in the Form’s instructions control and add weight to the proposition that requiring additional information about the product, extent of exposure, and injury would substantially conform to the Form. </w:t>
      </w:r>
    </w:p>
    <w:p w14:paraId="44C0DB87" w14:textId="77777777" w:rsidR="00FB0B2F" w:rsidRPr="00FB0B2F" w:rsidRDefault="00FB0B2F" w:rsidP="00FB0B2F">
      <w:pPr>
        <w:spacing w:after="0" w:line="360" w:lineRule="auto"/>
        <w:ind w:firstLine="720"/>
        <w:jc w:val="both"/>
        <w:rPr>
          <w:color w:val="000000" w:themeColor="text1"/>
          <w:kern w:val="0"/>
          <w:szCs w:val="24"/>
          <w14:ligatures w14:val="none"/>
        </w:rPr>
      </w:pPr>
      <w:r w:rsidRPr="00FB0B2F">
        <w:rPr>
          <w:color w:val="000000" w:themeColor="text1"/>
          <w:kern w:val="0"/>
          <w:szCs w:val="24"/>
          <w14:ligatures w14:val="none"/>
        </w:rPr>
        <w:t xml:space="preserve">The significance of the National Instructions to the Official Forms was highlighted during the rulemaking process promulgating the 2017 amendments to Rule 9009, which was part of a decade-long project establishing a uniform Official Form governing Chapter 13 Plans.  The more liberal earlier version of Rule 9009 authorized a court to alter Official Forms “as may be appropriate,” which undercut the purpose of the new form to provide uniformity in Chapter 13 plans.  After years of debate between proponents of local autonomy and advocates of national uniform practices, Rule 9009 was amended to “provide greater flexibility in the use and reproduction of forms without reverting to the permissive standard of the current rule.” The compromise provided flexibility to account for circumstances that might arise with respect to </w:t>
      </w:r>
      <w:proofErr w:type="gramStart"/>
      <w:r w:rsidRPr="00FB0B2F">
        <w:rPr>
          <w:color w:val="000000" w:themeColor="text1"/>
          <w:kern w:val="0"/>
          <w:szCs w:val="24"/>
          <w14:ligatures w14:val="none"/>
        </w:rPr>
        <w:t>particular Official</w:t>
      </w:r>
      <w:proofErr w:type="gramEnd"/>
      <w:r w:rsidRPr="00FB0B2F">
        <w:rPr>
          <w:color w:val="000000" w:themeColor="text1"/>
          <w:kern w:val="0"/>
          <w:szCs w:val="24"/>
          <w14:ligatures w14:val="none"/>
        </w:rPr>
        <w:t xml:space="preserve"> Forms, including Official Form 410.  The rules committee concluded that given the length of time needed to amend an official form (two years) and the Bankruptcy Rules (three years), “a more rapid method should be available to deal with problems or concerns about the permissible extent of deviations from a form that might come to light.  The use of the form’s instructions would serve that need. This additional source of flexibility, however, would be limited to the national instructions accompanying an Official Form and not local variations of those instructions.”</w:t>
      </w:r>
      <w:r w:rsidRPr="00FB0B2F">
        <w:rPr>
          <w:color w:val="000000" w:themeColor="text1"/>
          <w:kern w:val="0"/>
          <w:szCs w:val="24"/>
          <w:vertAlign w:val="superscript"/>
          <w14:ligatures w14:val="none"/>
        </w:rPr>
        <w:footnoteReference w:id="6"/>
      </w:r>
      <w:r w:rsidRPr="00FB0B2F">
        <w:rPr>
          <w:color w:val="000000" w:themeColor="text1"/>
          <w:kern w:val="0"/>
          <w:szCs w:val="24"/>
          <w14:ligatures w14:val="none"/>
        </w:rPr>
        <w:t xml:space="preserve"> </w:t>
      </w:r>
    </w:p>
    <w:p w14:paraId="35B293B3"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Modifying Official Form 410 by adding wording requesting more information from the creditor about the product, extent of exposure, and injury of a personal-injury claim in a mass-tort bankruptcy, including diagnosis and treatment, as well as attaching documents that support the “basis” of their personal-injury claim “substantially conforms” with the form’s purpose as promoted in the accompanying national instructions, which permit attachments that show that a debt exists.  </w:t>
      </w:r>
    </w:p>
    <w:p w14:paraId="1ED902B6" w14:textId="77777777" w:rsidR="00FB0B2F" w:rsidRPr="00FB0B2F" w:rsidRDefault="00FB0B2F" w:rsidP="00FB0B2F">
      <w:pPr>
        <w:spacing w:after="0" w:line="240" w:lineRule="auto"/>
        <w:ind w:left="720" w:right="720"/>
        <w:jc w:val="both"/>
        <w:rPr>
          <w:color w:val="000000" w:themeColor="text1"/>
          <w:kern w:val="0"/>
          <w:szCs w:val="24"/>
          <w14:ligatures w14:val="none"/>
        </w:rPr>
      </w:pPr>
      <w:r w:rsidRPr="00FB0B2F">
        <w:rPr>
          <w:rFonts w:cs="Times New Roman"/>
          <w:b/>
          <w:bCs/>
          <w:color w:val="000000" w:themeColor="text1"/>
          <w:kern w:val="0"/>
          <w:szCs w:val="24"/>
          <w14:ligatures w14:val="none"/>
        </w:rPr>
        <w:t>Best Practice MDL-§ 15(b):</w:t>
      </w:r>
      <w:r w:rsidRPr="00FB0B2F">
        <w:rPr>
          <w:b/>
          <w:bCs/>
          <w:color w:val="000000" w:themeColor="text1"/>
          <w:kern w:val="0"/>
          <w:szCs w:val="24"/>
          <w14:ligatures w14:val="none"/>
        </w:rPr>
        <w:t xml:space="preserve"> </w:t>
      </w:r>
      <w:r w:rsidRPr="00FB0B2F">
        <w:rPr>
          <w:color w:val="000000" w:themeColor="text1"/>
          <w:kern w:val="0"/>
          <w:szCs w:val="24"/>
          <w14:ligatures w14:val="none"/>
        </w:rPr>
        <w:t xml:space="preserve">The parties should submit to the court proposed specific modifications to Official Form 410, which provide information supporting </w:t>
      </w:r>
      <w:r w:rsidRPr="00FB0B2F">
        <w:rPr>
          <w:color w:val="000000" w:themeColor="text1"/>
          <w:kern w:val="0"/>
          <w:szCs w:val="24"/>
          <w14:ligatures w14:val="none"/>
        </w:rPr>
        <w:lastRenderedPageBreak/>
        <w:t xml:space="preserve">a personal-injury claim in a mass-tort bankruptcy without unduly burdening a creditor.   </w:t>
      </w:r>
    </w:p>
    <w:p w14:paraId="0649BAF1" w14:textId="77777777" w:rsidR="00FB0B2F" w:rsidRPr="00FB0B2F" w:rsidRDefault="00FB0B2F" w:rsidP="00FB0B2F">
      <w:pPr>
        <w:spacing w:after="0" w:line="240" w:lineRule="auto"/>
        <w:ind w:left="720" w:right="720"/>
        <w:jc w:val="both"/>
        <w:rPr>
          <w:color w:val="000000" w:themeColor="text1"/>
          <w:kern w:val="0"/>
          <w:szCs w:val="24"/>
          <w14:ligatures w14:val="none"/>
        </w:rPr>
      </w:pPr>
    </w:p>
    <w:p w14:paraId="55955337"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Several courts handling asbestos claims in bankruptcy modified Official Form 10 (predecessor to Official Form 410) under the more liberal Rule 9009 standard in effect before the 2017 amendments, which authorized modifications as “may be appropriate.” The court in </w:t>
      </w:r>
      <w:r w:rsidRPr="00FB0B2F">
        <w:rPr>
          <w:rFonts w:cs="Times New Roman"/>
          <w:i/>
          <w:iCs/>
          <w:color w:val="000000" w:themeColor="text1"/>
          <w:kern w:val="0"/>
          <w:szCs w:val="24"/>
          <w14:ligatures w14:val="none"/>
        </w:rPr>
        <w:t>A.H. Robbins</w:t>
      </w:r>
      <w:r w:rsidRPr="00FB0B2F">
        <w:rPr>
          <w:rFonts w:cs="Times New Roman"/>
          <w:color w:val="000000" w:themeColor="text1"/>
          <w:kern w:val="0"/>
          <w:szCs w:val="24"/>
          <w14:ligatures w14:val="none"/>
        </w:rPr>
        <w:t xml:space="preserve"> required the creditor to provide basic information about use of the product, nature of injuries, and names of physicians and clinics consulted.  The claimant was not required to submit any medical records.</w:t>
      </w:r>
      <w:r w:rsidRPr="00FB0B2F">
        <w:rPr>
          <w:rFonts w:cs="Times New Roman"/>
          <w:color w:val="000000" w:themeColor="text1"/>
          <w:kern w:val="0"/>
          <w:szCs w:val="24"/>
          <w:vertAlign w:val="superscript"/>
          <w14:ligatures w14:val="none"/>
        </w:rPr>
        <w:footnoteReference w:id="7"/>
      </w:r>
      <w:r w:rsidRPr="00FB0B2F">
        <w:rPr>
          <w:rFonts w:cs="Times New Roman"/>
          <w:color w:val="000000" w:themeColor="text1"/>
          <w:kern w:val="0"/>
          <w:szCs w:val="24"/>
          <w14:ligatures w14:val="none"/>
        </w:rPr>
        <w:t xml:space="preserve"> In the </w:t>
      </w:r>
      <w:r w:rsidRPr="00FB0B2F">
        <w:rPr>
          <w:rFonts w:cs="Times New Roman"/>
          <w:i/>
          <w:iCs/>
          <w:color w:val="000000" w:themeColor="text1"/>
          <w:kern w:val="0"/>
          <w:szCs w:val="24"/>
          <w14:ligatures w14:val="none"/>
        </w:rPr>
        <w:t>Babcock Wilcox</w:t>
      </w:r>
      <w:r w:rsidRPr="00FB0B2F">
        <w:rPr>
          <w:rFonts w:cs="Times New Roman"/>
          <w:color w:val="000000" w:themeColor="text1"/>
          <w:kern w:val="0"/>
          <w:szCs w:val="24"/>
          <w14:ligatures w14:val="none"/>
        </w:rPr>
        <w:t xml:space="preserve"> bankruptcy case, the court required the claimant to provide medical information, including the alleged injury, year of diagnosis, and medical tests.  The claimant was required to attach copies of diagnostic reports.</w:t>
      </w:r>
      <w:r w:rsidRPr="00FB0B2F">
        <w:rPr>
          <w:rFonts w:cs="Times New Roman"/>
          <w:color w:val="000000" w:themeColor="text1"/>
          <w:kern w:val="0"/>
          <w:szCs w:val="24"/>
          <w:vertAlign w:val="superscript"/>
          <w14:ligatures w14:val="none"/>
        </w:rPr>
        <w:footnoteReference w:id="8"/>
      </w:r>
      <w:r w:rsidRPr="00FB0B2F">
        <w:rPr>
          <w:rFonts w:cs="Times New Roman"/>
          <w:color w:val="000000" w:themeColor="text1"/>
          <w:kern w:val="0"/>
          <w:szCs w:val="24"/>
          <w14:ligatures w14:val="none"/>
        </w:rPr>
        <w:t xml:space="preserve"> In </w:t>
      </w:r>
      <w:r w:rsidRPr="00FB0B2F">
        <w:rPr>
          <w:rFonts w:cs="Times New Roman"/>
          <w:i/>
          <w:iCs/>
          <w:color w:val="000000" w:themeColor="text1"/>
          <w:kern w:val="0"/>
          <w:szCs w:val="24"/>
          <w14:ligatures w14:val="none"/>
        </w:rPr>
        <w:t>Federal-Mogul</w:t>
      </w:r>
      <w:r w:rsidRPr="00FB0B2F">
        <w:rPr>
          <w:rFonts w:cs="Times New Roman"/>
          <w:color w:val="000000" w:themeColor="text1"/>
          <w:kern w:val="0"/>
          <w:szCs w:val="24"/>
          <w14:ligatures w14:val="none"/>
        </w:rPr>
        <w:t>, the court required information about the building that was the site of the property damage, dates of installation of asbestos, and damages.</w:t>
      </w:r>
    </w:p>
    <w:p w14:paraId="5CA65080" w14:textId="77777777" w:rsidR="00FB0B2F" w:rsidRPr="00FB0B2F" w:rsidRDefault="00FB0B2F" w:rsidP="00FB0B2F">
      <w:pPr>
        <w:spacing w:after="0" w:line="360" w:lineRule="auto"/>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ab/>
        <w:t xml:space="preserve">The court approved a modified three-page Official Form 410 (proof of claim) in the </w:t>
      </w:r>
      <w:r w:rsidRPr="00FB0B2F">
        <w:rPr>
          <w:rFonts w:cs="Times New Roman"/>
          <w:i/>
          <w:iCs/>
          <w:color w:val="000000" w:themeColor="text1"/>
          <w:kern w:val="0"/>
          <w:szCs w:val="24"/>
          <w14:ligatures w14:val="none"/>
        </w:rPr>
        <w:t>LTL Management</w:t>
      </w:r>
      <w:r w:rsidRPr="00FB0B2F">
        <w:rPr>
          <w:rFonts w:cs="Times New Roman"/>
          <w:color w:val="000000" w:themeColor="text1"/>
          <w:kern w:val="0"/>
          <w:szCs w:val="24"/>
          <w14:ligatures w14:val="none"/>
        </w:rPr>
        <w:t xml:space="preserve"> bankruptcy case under the narrower standard in amended Rule 9009, which added several “yes/no” and one “menu-selection” questions.  The court required the claimant to provide information about the specific cancer diagnosis, date of diagnosis, exposure to product, and damages.  The court also asked whether there was medical documentation confirming the diagnosis but did not require the claimant to submit the documentation.</w:t>
      </w:r>
      <w:r w:rsidRPr="00FB0B2F">
        <w:rPr>
          <w:rFonts w:cs="Times New Roman"/>
          <w:color w:val="000000" w:themeColor="text1"/>
          <w:kern w:val="0"/>
          <w:szCs w:val="24"/>
          <w:vertAlign w:val="superscript"/>
          <w14:ligatures w14:val="none"/>
        </w:rPr>
        <w:footnoteReference w:id="9"/>
      </w:r>
      <w:r w:rsidRPr="00FB0B2F">
        <w:rPr>
          <w:rFonts w:cs="Times New Roman"/>
          <w:color w:val="000000" w:themeColor="text1"/>
          <w:kern w:val="0"/>
          <w:szCs w:val="24"/>
          <w14:ligatures w14:val="none"/>
        </w:rPr>
        <w:t xml:space="preserve">  The modified form added questions in the same format as in the Official Form, </w:t>
      </w:r>
      <w:r w:rsidRPr="00FB0B2F">
        <w:rPr>
          <w:rFonts w:cs="Times New Roman"/>
          <w:i/>
          <w:iCs/>
          <w:color w:val="000000" w:themeColor="text1"/>
          <w:kern w:val="0"/>
          <w:szCs w:val="24"/>
          <w14:ligatures w14:val="none"/>
        </w:rPr>
        <w:t>i.e</w:t>
      </w:r>
      <w:r w:rsidRPr="00FB0B2F">
        <w:rPr>
          <w:rFonts w:cs="Times New Roman"/>
          <w:color w:val="000000" w:themeColor="text1"/>
          <w:kern w:val="0"/>
          <w:szCs w:val="24"/>
          <w14:ligatures w14:val="none"/>
        </w:rPr>
        <w:t>., checkboxes for “yes” or “no” and a menu-of-selections responses. The added questions imposed modest burdens on a creditor and did not apply to any other bankruptcy cases.</w:t>
      </w:r>
      <w:r w:rsidRPr="00FB0B2F">
        <w:rPr>
          <w:rFonts w:cs="Times New Roman"/>
          <w:color w:val="000000" w:themeColor="text1"/>
          <w:kern w:val="0"/>
          <w:szCs w:val="24"/>
          <w:vertAlign w:val="superscript"/>
          <w14:ligatures w14:val="none"/>
        </w:rPr>
        <w:footnoteReference w:id="10"/>
      </w:r>
    </w:p>
    <w:p w14:paraId="736B3170"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The basic information about personal-injury claims will vary in every mass-tort MDL and mass-tort bankruptcy.  But the modifications to the proof-of-claim form approved in the </w:t>
      </w:r>
      <w:r w:rsidRPr="00FB0B2F">
        <w:rPr>
          <w:rFonts w:cs="Times New Roman"/>
          <w:i/>
          <w:iCs/>
          <w:color w:val="000000" w:themeColor="text1"/>
          <w:kern w:val="0"/>
          <w:szCs w:val="24"/>
          <w14:ligatures w14:val="none"/>
        </w:rPr>
        <w:t>LTL Management</w:t>
      </w:r>
      <w:r w:rsidRPr="00FB0B2F">
        <w:rPr>
          <w:rFonts w:cs="Times New Roman"/>
          <w:color w:val="000000" w:themeColor="text1"/>
          <w:kern w:val="0"/>
          <w:szCs w:val="24"/>
          <w14:ligatures w14:val="none"/>
        </w:rPr>
        <w:t xml:space="preserve"> bankruptcy as well as the earlier mass-tort bankruptcies provide good models for </w:t>
      </w:r>
      <w:r w:rsidRPr="00FB0B2F">
        <w:rPr>
          <w:rFonts w:cs="Times New Roman"/>
          <w:color w:val="000000" w:themeColor="text1"/>
          <w:kern w:val="0"/>
          <w:szCs w:val="24"/>
          <w14:ligatures w14:val="none"/>
        </w:rPr>
        <w:lastRenderedPageBreak/>
        <w:t>acceptable modifications, which do not unduly burden the creditor yet provide needed information.   In particular, the parties and court should consider whether a creditor must submit documentation about the extent of exposure and injury or whether a statement acknowledging such documentation exists is sufficient. The experience in mass-tort MDLs regarding claims alleging personal injuries because of defective drugs is instructional.  To screen claims, the PFS may require the plaintiff to submit documentation of the exposure as shown by a prescription or receipt of purchase.</w:t>
      </w:r>
    </w:p>
    <w:p w14:paraId="725487F3"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t>Best Practice MDL-§ 15(c):</w:t>
      </w:r>
      <w:r w:rsidRPr="00FB0B2F">
        <w:rPr>
          <w:b/>
          <w:bCs/>
          <w:color w:val="000000" w:themeColor="text1"/>
          <w:kern w:val="0"/>
          <w:szCs w:val="24"/>
          <w14:ligatures w14:val="none"/>
        </w:rPr>
        <w:t xml:space="preserve"> </w:t>
      </w:r>
      <w:r w:rsidRPr="00FB0B2F">
        <w:rPr>
          <w:color w:val="000000" w:themeColor="text1"/>
          <w:kern w:val="0"/>
          <w:szCs w:val="24"/>
          <w14:ligatures w14:val="none"/>
        </w:rPr>
        <w:t>The Advisory Committee on Federal Rules of Bankruptcy Procedure should consider</w:t>
      </w:r>
      <w:r w:rsidRPr="00FB0B2F">
        <w:rPr>
          <w:b/>
          <w:bCs/>
          <w:color w:val="000000" w:themeColor="text1"/>
          <w:kern w:val="0"/>
          <w:szCs w:val="24"/>
          <w14:ligatures w14:val="none"/>
        </w:rPr>
        <w:t xml:space="preserve"> </w:t>
      </w:r>
      <w:r w:rsidRPr="00FB0B2F">
        <w:rPr>
          <w:color w:val="000000" w:themeColor="text1"/>
          <w:kern w:val="0"/>
          <w:szCs w:val="24"/>
          <w14:ligatures w14:val="none"/>
        </w:rPr>
        <w:t>revising the national instructions to</w:t>
      </w:r>
      <w:r w:rsidRPr="00FB0B2F">
        <w:rPr>
          <w:rFonts w:cs="Times New Roman"/>
          <w:color w:val="000000" w:themeColor="text1"/>
          <w:kern w:val="0"/>
          <w:szCs w:val="24"/>
          <w14:ligatures w14:val="none"/>
        </w:rPr>
        <w:t xml:space="preserve"> Question 8, Part 2, Official Form 410, and clarify that the creditor should provide basic information about personal-injury claims, including attachments supporting the claim, as required by the court in a mass-tort bankruptcy. </w:t>
      </w:r>
    </w:p>
    <w:p w14:paraId="2FF075A1"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p>
    <w:p w14:paraId="36DD812C" w14:textId="77777777" w:rsidR="00FB0B2F" w:rsidRPr="00FB0B2F" w:rsidRDefault="00FB0B2F" w:rsidP="00FB0B2F">
      <w:pPr>
        <w:spacing w:after="0" w:line="360" w:lineRule="auto"/>
        <w:ind w:firstLine="720"/>
        <w:jc w:val="both"/>
        <w:rPr>
          <w:color w:val="000000" w:themeColor="text1"/>
          <w:kern w:val="0"/>
          <w:szCs w:val="24"/>
          <w14:ligatures w14:val="none"/>
        </w:rPr>
      </w:pPr>
      <w:r w:rsidRPr="00FB0B2F">
        <w:rPr>
          <w:rFonts w:cs="Times New Roman"/>
          <w:color w:val="000000" w:themeColor="text1"/>
          <w:kern w:val="0"/>
          <w:szCs w:val="24"/>
          <w14:ligatures w14:val="none"/>
        </w:rPr>
        <w:t xml:space="preserve">The 2017 amendments to Fed. R. Bk. P. 9009(a) expressly authorized the alteration of an Official Form in accordance with its accompanying National Instructions.   </w:t>
      </w:r>
      <w:r w:rsidRPr="00FB0B2F">
        <w:rPr>
          <w:color w:val="000000" w:themeColor="text1"/>
          <w:kern w:val="0"/>
          <w:szCs w:val="24"/>
          <w14:ligatures w14:val="none"/>
        </w:rPr>
        <w:t xml:space="preserve">The use of the form’s instructions provides “a more rapid method ... to deal with problems or concerns about the permissible extent of deviations from a form that might come to light.” As noted in the history of the Rule 9009, the Rules Committees can revise an Official Form’s national instructions without seeking approval from the Judicial Conference or the Supreme Court as would be otherwise required for a rule amendment.  </w:t>
      </w:r>
    </w:p>
    <w:p w14:paraId="6AB14D19"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color w:val="000000" w:themeColor="text1"/>
          <w:kern w:val="0"/>
          <w:szCs w:val="24"/>
          <w14:ligatures w14:val="none"/>
        </w:rPr>
        <w:t xml:space="preserve">Rule 9009(a) anticipates the need for an expedited process to address unanticipated or new developments.  The influx of mass-tort product-liability and other personal-injury bankruptcy cases arising from MDLs is a recent phenomenon, which has caused serious problems for courts trying to determine voting-eligibility rights and develop a reorganization plan based on insufficient information about personal-injury claims.  Although Rule 3001(a) can be read to authorize appropriate revisions to Official Form 410, as these best practices promote, a minor revision to the National Instructions to the form would eliminate any uncertainty. </w:t>
      </w:r>
    </w:p>
    <w:p w14:paraId="2EE7A94D"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t>Best Practice MDL-§ 15(d):</w:t>
      </w:r>
      <w:r w:rsidRPr="00FB0B2F">
        <w:rPr>
          <w:rFonts w:cs="Times New Roman"/>
          <w:color w:val="000000" w:themeColor="text1"/>
          <w:kern w:val="0"/>
          <w:szCs w:val="24"/>
          <w14:ligatures w14:val="none"/>
        </w:rPr>
        <w:t xml:space="preserve"> If a court handling a mass-tort bankruptcy declines to permit modifications to Official Form 410, it should consider the best alternative means to collect and transmit information describing the individual personal-injury claims. </w:t>
      </w:r>
    </w:p>
    <w:p w14:paraId="0856B40F"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p>
    <w:p w14:paraId="01466910"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Instead of, or in addition to modifying the proof-of-claim form, a court may approve alternative means to obtain information about personal-injury claims. The information collected by alternative means would not be restricted by the limits imposed under Rule 3001.  </w:t>
      </w:r>
    </w:p>
    <w:p w14:paraId="0539347A"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lastRenderedPageBreak/>
        <w:t>Courts have required early exchange of information about the factual bases for claims and defenses to facilitate efficient case management under the court’s inherent authority to manage their caseload.  Alternatively, courts in several mass-tort MDLs have ordered that the parties exchange fact sheets, which request more information about personal-injury claims, as “standard interrogatories” under Rule 33.</w:t>
      </w:r>
      <w:r w:rsidRPr="00FB0B2F">
        <w:rPr>
          <w:rFonts w:cs="Times New Roman"/>
          <w:color w:val="000000" w:themeColor="text1"/>
          <w:kern w:val="0"/>
          <w:szCs w:val="24"/>
          <w:vertAlign w:val="superscript"/>
          <w14:ligatures w14:val="none"/>
        </w:rPr>
        <w:footnoteReference w:id="11"/>
      </w:r>
      <w:r w:rsidRPr="00FB0B2F">
        <w:rPr>
          <w:rFonts w:cs="Times New Roman"/>
          <w:color w:val="000000" w:themeColor="text1"/>
          <w:kern w:val="0"/>
          <w:szCs w:val="24"/>
          <w14:ligatures w14:val="none"/>
        </w:rPr>
        <w:t xml:space="preserve">  Relying on the discovery rules instead of inherent authority provides some advantages.  Unlike sanctions for failing to comply with orders issued under the court’s inherent authority, which may raise questions about the limits of such authority and procedures, a party failing to comply with “standard interrogatories” is subject to provisions governing sanctions under Rule 37.  The discovery-rule provisions provide clear procedures and sanctions for violations, including dismissal in appropriate circumstances.</w:t>
      </w:r>
    </w:p>
    <w:p w14:paraId="7E9EDF7E"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Fed. R. Bk. P. 7033 and 7037 authorize a bankruptcy court to exercise the same authority in FED. R. CIV. P. 33 and 37 in adversary proceedings. </w:t>
      </w:r>
    </w:p>
    <w:p w14:paraId="7FF2D149" w14:textId="1F55FFA6" w:rsidR="00FB0B2F" w:rsidRDefault="00FB0B2F" w:rsidP="00FB0B2F">
      <w:pPr>
        <w:shd w:val="clear" w:color="auto" w:fill="FFFFFF"/>
        <w:spacing w:before="100" w:beforeAutospacing="1" w:after="0" w:line="240" w:lineRule="auto"/>
        <w:ind w:left="720" w:right="720"/>
        <w:jc w:val="both"/>
        <w:rPr>
          <w:rFonts w:cs="Times New Roman"/>
          <w:b/>
          <w:bCs/>
          <w:color w:val="000000" w:themeColor="text1"/>
          <w:kern w:val="0"/>
          <w:szCs w:val="24"/>
          <w14:ligatures w14:val="none"/>
        </w:rPr>
      </w:pPr>
      <w:r>
        <w:rPr>
          <w:rFonts w:cs="Times New Roman"/>
          <w:b/>
          <w:bCs/>
          <w:color w:val="000000" w:themeColor="text1"/>
          <w:kern w:val="0"/>
          <w:szCs w:val="24"/>
          <w14:ligatures w14:val="none"/>
        </w:rPr>
        <w:t>II.</w:t>
      </w:r>
      <w:r>
        <w:rPr>
          <w:rFonts w:cs="Times New Roman"/>
          <w:b/>
          <w:bCs/>
          <w:color w:val="000000" w:themeColor="text1"/>
          <w:kern w:val="0"/>
          <w:szCs w:val="24"/>
          <w14:ligatures w14:val="none"/>
        </w:rPr>
        <w:tab/>
      </w:r>
      <w:r w:rsidRPr="00FB0B2F">
        <w:rPr>
          <w:rFonts w:cs="Times New Roman"/>
          <w:b/>
          <w:bCs/>
          <w:color w:val="000000" w:themeColor="text1"/>
          <w:kern w:val="0"/>
          <w:szCs w:val="24"/>
          <w:u w:val="single"/>
          <w14:ligatures w14:val="none"/>
        </w:rPr>
        <w:t>Threshold Proof of Injury and Use in Mass-Tort MDLs</w:t>
      </w:r>
    </w:p>
    <w:p w14:paraId="48D0855B" w14:textId="0E4ECBF3" w:rsidR="00FB0B2F" w:rsidRPr="00FB0B2F" w:rsidRDefault="00FB0B2F" w:rsidP="00FB0B2F">
      <w:pPr>
        <w:shd w:val="clear" w:color="auto" w:fill="FFFFFF"/>
        <w:spacing w:before="100" w:beforeAutospacing="1" w:after="0" w:line="240" w:lineRule="auto"/>
        <w:ind w:left="720" w:right="720"/>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t xml:space="preserve">Best Practice MDL-§ 8(b)(ii): </w:t>
      </w:r>
      <w:r w:rsidRPr="00FB0B2F">
        <w:rPr>
          <w:rFonts w:cs="Times New Roman"/>
          <w:color w:val="000000" w:themeColor="text1"/>
          <w:kern w:val="0"/>
          <w:szCs w:val="24"/>
          <w14:ligatures w14:val="none"/>
        </w:rPr>
        <w:t>The parties should ensure that the central-exchange platform can collect and transmit information responding to questions in profile forms or fact sheets regarding the evidentiary support of the actions</w:t>
      </w:r>
      <w:r w:rsidRPr="00FB0B2F">
        <w:rPr>
          <w:rFonts w:eastAsia="Times New Roman" w:cs="Times New Roman"/>
          <w:color w:val="4A4A4A"/>
          <w:kern w:val="0"/>
          <w:szCs w:val="24"/>
          <w14:ligatures w14:val="none"/>
        </w:rPr>
        <w:t>.</w:t>
      </w:r>
      <w:r w:rsidRPr="00FB0B2F">
        <w:rPr>
          <w:rFonts w:cs="Times New Roman"/>
          <w:color w:val="000000" w:themeColor="text1"/>
          <w:kern w:val="0"/>
          <w:szCs w:val="24"/>
          <w14:ligatures w14:val="none"/>
        </w:rPr>
        <w:t xml:space="preserve"> </w:t>
      </w:r>
    </w:p>
    <w:p w14:paraId="0298E25B" w14:textId="77777777" w:rsidR="00FB0B2F" w:rsidRPr="00FB0B2F" w:rsidRDefault="00FB0B2F" w:rsidP="00FB0B2F">
      <w:pPr>
        <w:spacing w:after="0" w:line="360" w:lineRule="auto"/>
        <w:ind w:firstLine="720"/>
        <w:jc w:val="both"/>
        <w:rPr>
          <w:kern w:val="0"/>
          <w14:ligatures w14:val="none"/>
        </w:rPr>
      </w:pPr>
    </w:p>
    <w:p w14:paraId="3E307EEC"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Under </w:t>
      </w:r>
      <w:r w:rsidRPr="00FB0B2F">
        <w:rPr>
          <w:color w:val="000000" w:themeColor="text1"/>
          <w:kern w:val="0"/>
          <w:szCs w:val="24"/>
          <w14:ligatures w14:val="none"/>
        </w:rPr>
        <w:t>Best Practices (</w:t>
      </w:r>
      <w:r w:rsidRPr="00FB0B2F">
        <w:rPr>
          <w:i/>
          <w:iCs/>
          <w:color w:val="000000" w:themeColor="text1"/>
          <w:kern w:val="0"/>
          <w:szCs w:val="24"/>
          <w14:ligatures w14:val="none"/>
        </w:rPr>
        <w:t>see</w:t>
      </w:r>
      <w:r w:rsidRPr="00FB0B2F">
        <w:rPr>
          <w:color w:val="000000" w:themeColor="text1"/>
          <w:kern w:val="0"/>
          <w:szCs w:val="24"/>
          <w14:ligatures w14:val="none"/>
        </w:rPr>
        <w:t xml:space="preserve"> Rabiej Litigation Law Center Index for specific topic)</w:t>
      </w:r>
      <w:r w:rsidRPr="00FB0B2F">
        <w:rPr>
          <w:rFonts w:cs="Times New Roman"/>
          <w:color w:val="000000" w:themeColor="text1"/>
          <w:kern w:val="0"/>
          <w:szCs w:val="24"/>
          <w14:ligatures w14:val="none"/>
        </w:rPr>
        <w:t xml:space="preserve">, parties select a central-exchange platform to exchange communications. </w:t>
      </w:r>
      <w:r w:rsidRPr="00FB0B2F">
        <w:rPr>
          <w:rFonts w:cs="Times New Roman"/>
          <w:b/>
          <w:bCs/>
          <w:color w:val="000000" w:themeColor="text1"/>
          <w:kern w:val="0"/>
          <w:szCs w:val="24"/>
          <w14:ligatures w14:val="none"/>
        </w:rPr>
        <w:t xml:space="preserve"> </w:t>
      </w:r>
      <w:r w:rsidRPr="00FB0B2F">
        <w:rPr>
          <w:rFonts w:cs="Times New Roman"/>
          <w:color w:val="000000" w:themeColor="text1"/>
          <w:kern w:val="0"/>
          <w:szCs w:val="24"/>
          <w14:ligatures w14:val="none"/>
        </w:rPr>
        <w:t xml:space="preserve">Rule 16.1(b)(3)(B) requires the parties to discuss “how and when” information will be exchanged about “factual bases for their claims and defenses.”  Parties in mass-tort MDLs typically agree on using a central-exchange </w:t>
      </w:r>
      <w:proofErr w:type="gramStart"/>
      <w:r w:rsidRPr="00FB0B2F">
        <w:rPr>
          <w:rFonts w:cs="Times New Roman"/>
          <w:color w:val="000000" w:themeColor="text1"/>
          <w:kern w:val="0"/>
          <w:szCs w:val="24"/>
          <w14:ligatures w14:val="none"/>
        </w:rPr>
        <w:t>platform, which</w:t>
      </w:r>
      <w:proofErr w:type="gramEnd"/>
      <w:r w:rsidRPr="00FB0B2F">
        <w:rPr>
          <w:rFonts w:cs="Times New Roman"/>
          <w:color w:val="000000" w:themeColor="text1"/>
          <w:kern w:val="0"/>
          <w:szCs w:val="24"/>
          <w14:ligatures w14:val="none"/>
        </w:rPr>
        <w:t xml:space="preserve"> stores and shares information about their claims and defenses.</w:t>
      </w:r>
      <w:r w:rsidRPr="00FB0B2F">
        <w:rPr>
          <w:rFonts w:cs="Times New Roman"/>
          <w:color w:val="000000" w:themeColor="text1"/>
          <w:kern w:val="0"/>
          <w:szCs w:val="24"/>
          <w:vertAlign w:val="superscript"/>
          <w14:ligatures w14:val="none"/>
        </w:rPr>
        <w:footnoteReference w:id="12"/>
      </w:r>
      <w:r w:rsidRPr="00FB0B2F">
        <w:rPr>
          <w:rFonts w:cs="Times New Roman"/>
          <w:color w:val="000000" w:themeColor="text1"/>
          <w:kern w:val="0"/>
          <w:szCs w:val="24"/>
          <w14:ligatures w14:val="none"/>
        </w:rPr>
        <w:t xml:space="preserve">  Parties use these platforms to collect information for the case, submit and transmit evidence, and automatically send notices of deficiencies as directed by the parties. </w:t>
      </w:r>
    </w:p>
    <w:p w14:paraId="6581F09C"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In mass-tort MDLs, parties are routinely required to complete and submit a profile form or fact sheet, which contains basic information about their claims and defenses as well as </w:t>
      </w:r>
      <w:proofErr w:type="gramStart"/>
      <w:r w:rsidRPr="00FB0B2F">
        <w:rPr>
          <w:rFonts w:cs="Times New Roman"/>
          <w:color w:val="000000" w:themeColor="text1"/>
          <w:kern w:val="0"/>
          <w:szCs w:val="24"/>
          <w14:ligatures w14:val="none"/>
        </w:rPr>
        <w:t>attaches</w:t>
      </w:r>
      <w:proofErr w:type="gramEnd"/>
      <w:r w:rsidRPr="00FB0B2F">
        <w:rPr>
          <w:rFonts w:cs="Times New Roman"/>
          <w:color w:val="000000" w:themeColor="text1"/>
          <w:kern w:val="0"/>
          <w:szCs w:val="24"/>
          <w14:ligatures w14:val="none"/>
        </w:rPr>
        <w:t xml:space="preserve"> the essential evidence supporting the action, </w:t>
      </w:r>
      <w:r w:rsidRPr="00FB0B2F">
        <w:rPr>
          <w:rFonts w:cs="Times New Roman"/>
          <w:i/>
          <w:iCs/>
          <w:color w:val="000000" w:themeColor="text1"/>
          <w:kern w:val="0"/>
          <w:szCs w:val="24"/>
          <w14:ligatures w14:val="none"/>
        </w:rPr>
        <w:t>e.g</w:t>
      </w:r>
      <w:r w:rsidRPr="00FB0B2F">
        <w:rPr>
          <w:rFonts w:cs="Times New Roman"/>
          <w:color w:val="000000" w:themeColor="text1"/>
          <w:kern w:val="0"/>
          <w:szCs w:val="24"/>
          <w14:ligatures w14:val="none"/>
        </w:rPr>
        <w:t xml:space="preserve">., proof of purchase and medical records of alleged injury.  Parties rely on information in profile forms and fact sheets to screen complaints at an early </w:t>
      </w:r>
      <w:r w:rsidRPr="00FB0B2F">
        <w:rPr>
          <w:rFonts w:cs="Times New Roman"/>
          <w:color w:val="000000" w:themeColor="text1"/>
          <w:kern w:val="0"/>
          <w:szCs w:val="24"/>
          <w14:ligatures w14:val="none"/>
        </w:rPr>
        <w:lastRenderedPageBreak/>
        <w:t>stage and evaluate whether there is any evidentiary basis supporting the claims or defenses. For example, courts have required preliminary-profile forms served within 30 to 60 days of the filing of a complaint with evidence of proof-of-product usage.</w:t>
      </w:r>
      <w:r w:rsidRPr="00FB0B2F">
        <w:rPr>
          <w:rFonts w:cs="Times New Roman"/>
          <w:color w:val="000000" w:themeColor="text1"/>
          <w:kern w:val="0"/>
          <w:szCs w:val="24"/>
          <w:vertAlign w:val="superscript"/>
          <w14:ligatures w14:val="none"/>
        </w:rPr>
        <w:footnoteReference w:id="13"/>
      </w:r>
      <w:r w:rsidRPr="00FB0B2F">
        <w:rPr>
          <w:rFonts w:cs="Times New Roman"/>
          <w:color w:val="000000" w:themeColor="text1"/>
          <w:kern w:val="0"/>
          <w:szCs w:val="24"/>
          <w14:ligatures w14:val="none"/>
        </w:rPr>
        <w:t xml:space="preserve">   The profile forms and the later, more robust fact sheets have been used to identify claims that are potential candidates for early disposition. Often, the judge explicitly deems such profile forms or fact sheets as standard interrogatories, subject to Rules 26 and 37.</w:t>
      </w:r>
      <w:r w:rsidRPr="00FB0B2F">
        <w:rPr>
          <w:rFonts w:cs="Times New Roman"/>
          <w:color w:val="000000" w:themeColor="text1"/>
          <w:kern w:val="0"/>
          <w:szCs w:val="24"/>
          <w:vertAlign w:val="superscript"/>
          <w14:ligatures w14:val="none"/>
        </w:rPr>
        <w:footnoteReference w:id="14"/>
      </w:r>
      <w:r w:rsidRPr="00FB0B2F">
        <w:rPr>
          <w:rFonts w:cs="Times New Roman"/>
          <w:color w:val="000000" w:themeColor="text1"/>
          <w:kern w:val="0"/>
          <w:szCs w:val="24"/>
          <w14:ligatures w14:val="none"/>
        </w:rPr>
        <w:t xml:space="preserve"> Typically, the parties are requested to agree and propose the text of the fact sheets.</w:t>
      </w:r>
      <w:r w:rsidRPr="00FB0B2F">
        <w:rPr>
          <w:rFonts w:cs="Times New Roman"/>
          <w:color w:val="000000" w:themeColor="text1"/>
          <w:kern w:val="0"/>
          <w:szCs w:val="24"/>
          <w:vertAlign w:val="superscript"/>
          <w14:ligatures w14:val="none"/>
        </w:rPr>
        <w:footnoteReference w:id="15"/>
      </w:r>
      <w:r w:rsidRPr="00FB0B2F">
        <w:rPr>
          <w:rFonts w:cs="Times New Roman"/>
          <w:color w:val="000000" w:themeColor="text1"/>
          <w:kern w:val="0"/>
          <w:szCs w:val="24"/>
          <w14:ligatures w14:val="none"/>
        </w:rPr>
        <w:t xml:space="preserve"> </w:t>
      </w:r>
    </w:p>
    <w:p w14:paraId="44F88F73"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 xml:space="preserve">If the evidence supporting the claim is not submitted at the time that the profile form or fact sheet is filed, the plaintiff should have the opportunity to update the fact sheet or profile form </w:t>
      </w:r>
      <w:proofErr w:type="gramStart"/>
      <w:r w:rsidRPr="00FB0B2F">
        <w:rPr>
          <w:rFonts w:cs="Times New Roman"/>
          <w:kern w:val="0"/>
          <w:szCs w:val="24"/>
          <w14:ligatures w14:val="none"/>
        </w:rPr>
        <w:t>at a later date</w:t>
      </w:r>
      <w:proofErr w:type="gramEnd"/>
      <w:r w:rsidRPr="00FB0B2F">
        <w:rPr>
          <w:rFonts w:cs="Times New Roman"/>
          <w:kern w:val="0"/>
          <w:szCs w:val="24"/>
          <w14:ligatures w14:val="none"/>
        </w:rPr>
        <w:t xml:space="preserve"> and submit the evidence supporting the claims. The parties should format the profile forms or fact sheets to show </w:t>
      </w:r>
      <w:proofErr w:type="gramStart"/>
      <w:r w:rsidRPr="00FB0B2F">
        <w:rPr>
          <w:rFonts w:cs="Times New Roman"/>
          <w:kern w:val="0"/>
          <w:szCs w:val="24"/>
          <w14:ligatures w14:val="none"/>
        </w:rPr>
        <w:t>whether: (</w:t>
      </w:r>
      <w:proofErr w:type="spellStart"/>
      <w:proofErr w:type="gramEnd"/>
      <w:r w:rsidRPr="00FB0B2F">
        <w:rPr>
          <w:rFonts w:cs="Times New Roman"/>
          <w:kern w:val="0"/>
          <w:szCs w:val="24"/>
          <w14:ligatures w14:val="none"/>
        </w:rPr>
        <w:t>i</w:t>
      </w:r>
      <w:proofErr w:type="spellEnd"/>
      <w:r w:rsidRPr="00FB0B2F">
        <w:rPr>
          <w:rFonts w:cs="Times New Roman"/>
          <w:kern w:val="0"/>
          <w:szCs w:val="24"/>
          <w14:ligatures w14:val="none"/>
        </w:rPr>
        <w:t xml:space="preserve">) the action has evidence supporting the claims and such evidence is attached; or (ii) the action will likely have evidentiary support after a reasonable opportunity for further investigation or discovery, consistent with Rule 11(b)(3). </w:t>
      </w:r>
    </w:p>
    <w:p w14:paraId="0EA41582"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kern w:val="0"/>
          <w14:ligatures w14:val="none"/>
        </w:rPr>
        <w:t xml:space="preserve">The responsibility to review filings is ongoing and applies to future filings.  </w:t>
      </w:r>
      <w:r w:rsidRPr="00FB0B2F">
        <w:rPr>
          <w:rFonts w:cs="Times New Roman"/>
          <w:kern w:val="0"/>
          <w:szCs w:val="24"/>
          <w14:ligatures w14:val="none"/>
        </w:rPr>
        <w:t xml:space="preserve">Regularized efforts should be taken early to address such filings promptly after the plaintiffs and defendants have had a reasonable opportunity for further investigation or discovery to collect evidentiary support before significant expenditures have been spent and recoupment of sunk costs becomes a strategic priority.  </w:t>
      </w:r>
    </w:p>
    <w:p w14:paraId="47D9D0D3" w14:textId="77777777" w:rsidR="00FB0B2F" w:rsidRPr="00FB0B2F" w:rsidRDefault="00FB0B2F" w:rsidP="00FB0B2F">
      <w:pPr>
        <w:spacing w:after="0" w:line="360" w:lineRule="auto"/>
        <w:ind w:firstLine="720"/>
        <w:jc w:val="both"/>
        <w:rPr>
          <w:kern w:val="0"/>
          <w14:ligatures w14:val="none"/>
        </w:rPr>
      </w:pPr>
      <w:r w:rsidRPr="00FB0B2F">
        <w:rPr>
          <w:rFonts w:cs="Times New Roman"/>
          <w:kern w:val="0"/>
          <w:szCs w:val="24"/>
          <w14:ligatures w14:val="none"/>
        </w:rPr>
        <w:t>Parties should program their selected central-exchange platform to automatically send notices when agreed-upon evidence supporting claims has not been timely submitted.</w:t>
      </w:r>
      <w:r w:rsidRPr="00FB0B2F">
        <w:rPr>
          <w:kern w:val="0"/>
          <w14:ligatures w14:val="none"/>
        </w:rPr>
        <w:t xml:space="preserve"> The notices should be sent to the court as well.</w:t>
      </w:r>
      <w:r w:rsidRPr="00FB0B2F">
        <w:rPr>
          <w:kern w:val="0"/>
          <w:vertAlign w:val="superscript"/>
          <w14:ligatures w14:val="none"/>
        </w:rPr>
        <w:footnoteReference w:id="16"/>
      </w:r>
      <w:r w:rsidRPr="00FB0B2F">
        <w:rPr>
          <w:kern w:val="0"/>
          <w14:ligatures w14:val="none"/>
        </w:rPr>
        <w:t xml:space="preserve"> Detecting and addressing actions filed without an evidentiary basis “is part of the court’s responsibility for securing the system’s effective operation.”</w:t>
      </w:r>
      <w:r w:rsidRPr="00FB0B2F">
        <w:rPr>
          <w:kern w:val="0"/>
          <w:vertAlign w:val="superscript"/>
          <w14:ligatures w14:val="none"/>
        </w:rPr>
        <w:footnoteReference w:id="17"/>
      </w:r>
    </w:p>
    <w:p w14:paraId="0A2D1C20"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lastRenderedPageBreak/>
        <w:t xml:space="preserve">Best Practice MDL-§ 8(b)(ii)(A): </w:t>
      </w:r>
      <w:r w:rsidRPr="00FB0B2F">
        <w:rPr>
          <w:rFonts w:cs="Times New Roman"/>
          <w:color w:val="000000" w:themeColor="text1"/>
          <w:kern w:val="0"/>
          <w:szCs w:val="24"/>
          <w14:ligatures w14:val="none"/>
        </w:rPr>
        <w:t xml:space="preserve">The court should require defense and plaintiff lead counsel to work together and develop criteria for the minimum evidence required to support an action in a mass-tort MDL.   </w:t>
      </w:r>
    </w:p>
    <w:p w14:paraId="7F9CB98F"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p>
    <w:p w14:paraId="3A879D28"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It is in the self-interest of both sides and the court to promptly identify and resolve actions that have no evidentiary basis supporting claims in a mass-tort MDL, which generate wasteful litigation, harden the defendant’s and plaintiffs’ opposition, and bog down settlement negotiations.  The parties should agree on criteria that </w:t>
      </w:r>
      <w:proofErr w:type="gramStart"/>
      <w:r w:rsidRPr="00FB0B2F">
        <w:rPr>
          <w:rFonts w:cs="Times New Roman"/>
          <w:color w:val="000000" w:themeColor="text1"/>
          <w:kern w:val="0"/>
          <w:szCs w:val="24"/>
          <w14:ligatures w14:val="none"/>
        </w:rPr>
        <w:t>confirms</w:t>
      </w:r>
      <w:proofErr w:type="gramEnd"/>
      <w:r w:rsidRPr="00FB0B2F">
        <w:rPr>
          <w:rFonts w:cs="Times New Roman"/>
          <w:color w:val="000000" w:themeColor="text1"/>
          <w:kern w:val="0"/>
          <w:szCs w:val="24"/>
          <w14:ligatures w14:val="none"/>
        </w:rPr>
        <w:t xml:space="preserve"> the evidentiary basis of actions, which fix the minimum evidence showing that a pleader is entitled to relief.</w:t>
      </w:r>
      <w:r w:rsidRPr="00FB0B2F">
        <w:rPr>
          <w:rFonts w:cs="Times New Roman"/>
          <w:color w:val="000000" w:themeColor="text1"/>
          <w:kern w:val="0"/>
          <w:szCs w:val="24"/>
          <w:vertAlign w:val="superscript"/>
          <w14:ligatures w14:val="none"/>
        </w:rPr>
        <w:footnoteReference w:id="18"/>
      </w:r>
      <w:r w:rsidRPr="00FB0B2F">
        <w:rPr>
          <w:rFonts w:cs="Times New Roman"/>
          <w:color w:val="000000" w:themeColor="text1"/>
          <w:kern w:val="0"/>
          <w:szCs w:val="24"/>
          <w14:ligatures w14:val="none"/>
        </w:rPr>
        <w:t xml:space="preserve">  </w:t>
      </w:r>
    </w:p>
    <w:p w14:paraId="7FA4EB42"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kern w:val="0"/>
          <w14:ligatures w14:val="none"/>
        </w:rPr>
        <w:t xml:space="preserve">The evidence supporting an action typically responds to two or three questions and are attached to a profile form or fact sheet, and </w:t>
      </w:r>
      <w:r w:rsidRPr="00FB0B2F">
        <w:rPr>
          <w:rFonts w:cs="Times New Roman"/>
          <w:kern w:val="0"/>
          <w:szCs w:val="24"/>
          <w14:ligatures w14:val="none"/>
        </w:rPr>
        <w:t xml:space="preserve">have required not only product identification, but also minimum evidentiary documentation of exposure or product use and injury, </w:t>
      </w:r>
      <w:r w:rsidRPr="00FB0B2F">
        <w:rPr>
          <w:rFonts w:cs="Times New Roman"/>
          <w:i/>
          <w:iCs/>
          <w:kern w:val="0"/>
          <w:szCs w:val="24"/>
          <w14:ligatures w14:val="none"/>
        </w:rPr>
        <w:t>e.g.,</w:t>
      </w:r>
      <w:r w:rsidRPr="00FB0B2F">
        <w:rPr>
          <w:rFonts w:cs="Times New Roman"/>
          <w:kern w:val="0"/>
          <w:szCs w:val="24"/>
          <w14:ligatures w14:val="none"/>
        </w:rPr>
        <w:t xml:space="preserve"> evidence of a prescription or receipt of a product purchase found in pharmacy records, or a medical diagnosis or other medical records of alleged injury, a prescribing physician’s records or, in the case of medical devices, in the hospital chart for the implantation surgery. A plaintiff cannot proceed with a case without this information.  Evidence of causation usually comes later in the form of expert reports.</w:t>
      </w:r>
      <w:r w:rsidRPr="00FB0B2F">
        <w:rPr>
          <w:rFonts w:cs="Times New Roman"/>
          <w:kern w:val="0"/>
          <w:szCs w:val="24"/>
          <w:vertAlign w:val="superscript"/>
          <w14:ligatures w14:val="none"/>
        </w:rPr>
        <w:footnoteReference w:id="19"/>
      </w:r>
      <w:r w:rsidRPr="00FB0B2F">
        <w:rPr>
          <w:rFonts w:cs="Times New Roman"/>
          <w:kern w:val="0"/>
          <w:szCs w:val="24"/>
          <w14:ligatures w14:val="none"/>
        </w:rPr>
        <w:t xml:space="preserve">   </w:t>
      </w:r>
    </w:p>
    <w:p w14:paraId="74E23A1C" w14:textId="77777777" w:rsidR="00FB0B2F" w:rsidRPr="00FB0B2F" w:rsidRDefault="00FB0B2F" w:rsidP="00FB0B2F">
      <w:pPr>
        <w:spacing w:after="0" w:line="240" w:lineRule="auto"/>
        <w:ind w:left="720" w:right="720"/>
        <w:contextualSpacing/>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t>Best Practice MDL-§ 8(b)(ii)(B):</w:t>
      </w:r>
      <w:r w:rsidRPr="00FB0B2F">
        <w:rPr>
          <w:rFonts w:cs="Times New Roman"/>
          <w:color w:val="000000" w:themeColor="text1"/>
          <w:kern w:val="0"/>
          <w:szCs w:val="24"/>
          <w14:ligatures w14:val="none"/>
        </w:rPr>
        <w:t xml:space="preserve"> The parties should agree on a reasonable time for a plaintiff to </w:t>
      </w:r>
      <w:proofErr w:type="gramStart"/>
      <w:r w:rsidRPr="00FB0B2F">
        <w:rPr>
          <w:rFonts w:cs="Times New Roman"/>
          <w:color w:val="000000" w:themeColor="text1"/>
          <w:kern w:val="0"/>
          <w:szCs w:val="24"/>
          <w14:ligatures w14:val="none"/>
        </w:rPr>
        <w:t>conduct an investigation</w:t>
      </w:r>
      <w:proofErr w:type="gramEnd"/>
      <w:r w:rsidRPr="00FB0B2F">
        <w:rPr>
          <w:rFonts w:cs="Times New Roman"/>
          <w:color w:val="000000" w:themeColor="text1"/>
          <w:kern w:val="0"/>
          <w:szCs w:val="24"/>
          <w14:ligatures w14:val="none"/>
        </w:rPr>
        <w:t xml:space="preserve"> or discovery to confirm and submit evidence supporting every action in a mass-tort MDL, if not otherwise submitted at filing.  </w:t>
      </w:r>
    </w:p>
    <w:p w14:paraId="25DC3D2F" w14:textId="77777777" w:rsidR="00FB0B2F" w:rsidRPr="00FB0B2F" w:rsidRDefault="00FB0B2F" w:rsidP="00FB0B2F">
      <w:pPr>
        <w:spacing w:after="0" w:line="240" w:lineRule="auto"/>
        <w:ind w:left="720" w:right="720"/>
        <w:contextualSpacing/>
        <w:jc w:val="both"/>
        <w:rPr>
          <w:rFonts w:cs="Times New Roman"/>
          <w:b/>
          <w:bCs/>
          <w:color w:val="000000" w:themeColor="text1"/>
          <w:kern w:val="0"/>
          <w:szCs w:val="24"/>
          <w14:ligatures w14:val="none"/>
        </w:rPr>
      </w:pPr>
    </w:p>
    <w:p w14:paraId="0D23F50A"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Transferee courts in mass-tort MDLs usually direct the parties to submit profile forms or fact sheets within 30-60 days from filing the action or transfer and outline a process and procedure to resolve any alleged deficiencies.</w:t>
      </w:r>
      <w:r w:rsidRPr="00FB0B2F">
        <w:rPr>
          <w:rFonts w:cs="Times New Roman"/>
          <w:color w:val="000000" w:themeColor="text1"/>
          <w:kern w:val="0"/>
          <w:szCs w:val="24"/>
          <w:vertAlign w:val="superscript"/>
          <w14:ligatures w14:val="none"/>
        </w:rPr>
        <w:footnoteReference w:id="20"/>
      </w:r>
      <w:r w:rsidRPr="00FB0B2F">
        <w:rPr>
          <w:rFonts w:cs="Times New Roman"/>
          <w:color w:val="000000" w:themeColor="text1"/>
          <w:kern w:val="0"/>
          <w:szCs w:val="24"/>
          <w14:ligatures w14:val="none"/>
        </w:rPr>
        <w:t xml:space="preserve"> Some courts have deferred submission of fact sheets until a dispositive motion has been resolved. The court must weigh the benefits in possibly saving the time and expense in completing the facts sheets with the delay incurred if the dispositive motion is denied.  </w:t>
      </w:r>
    </w:p>
    <w:p w14:paraId="377C469E" w14:textId="77777777" w:rsidR="00FB0B2F" w:rsidRPr="00FB0B2F" w:rsidRDefault="00FB0B2F" w:rsidP="00FB0B2F">
      <w:pPr>
        <w:spacing w:after="0" w:line="360" w:lineRule="auto"/>
        <w:ind w:firstLine="720"/>
        <w:jc w:val="both"/>
        <w:rPr>
          <w:kern w:val="0"/>
          <w14:ligatures w14:val="none"/>
        </w:rPr>
      </w:pPr>
      <w:r w:rsidRPr="00FB0B2F">
        <w:rPr>
          <w:kern w:val="0"/>
          <w14:ligatures w14:val="none"/>
        </w:rPr>
        <w:lastRenderedPageBreak/>
        <w:t>Some courts have accelerated the process, providing the plaintiff 30 days after filing the complaint or transfer to complete an abbreviated profile form with medical records, requiring plaintiff to respond within 21 days to defendant’s deficiency notice submitted through a central-exchange platform, ruling on a deficiency at the court’s next case-management conference, and providing the defendant with an opportunity to apply for their reasonable attorney’s fees and expenses incurred in seeking dismissal.</w:t>
      </w:r>
      <w:r w:rsidRPr="00FB0B2F">
        <w:rPr>
          <w:kern w:val="0"/>
          <w:vertAlign w:val="superscript"/>
          <w14:ligatures w14:val="none"/>
        </w:rPr>
        <w:footnoteReference w:id="21"/>
      </w:r>
      <w:r w:rsidRPr="00FB0B2F">
        <w:rPr>
          <w:kern w:val="0"/>
          <w14:ligatures w14:val="none"/>
        </w:rPr>
        <w:t xml:space="preserve">  Similar provisions apply to incomplete profile forms or fact sheets submitted by the defendant. The expense of collecting the additional information should be compensated through the common-benefit fund. </w:t>
      </w:r>
    </w:p>
    <w:p w14:paraId="35ADE7E7"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As a practical matter, plaintiff law firms often require substantial time in mass-tort MDLs to properly vet hundreds or thousands of actions and gather evidentiary support for every action.</w:t>
      </w:r>
      <w:r w:rsidRPr="00FB0B2F">
        <w:rPr>
          <w:rFonts w:cs="Times New Roman"/>
          <w:color w:val="000000" w:themeColor="text1"/>
          <w:kern w:val="0"/>
          <w:szCs w:val="24"/>
          <w:vertAlign w:val="superscript"/>
          <w14:ligatures w14:val="none"/>
        </w:rPr>
        <w:footnoteReference w:id="22"/>
      </w:r>
      <w:r w:rsidRPr="00FB0B2F">
        <w:rPr>
          <w:rFonts w:cs="Times New Roman"/>
          <w:color w:val="000000" w:themeColor="text1"/>
          <w:kern w:val="0"/>
          <w:szCs w:val="24"/>
          <w14:ligatures w14:val="none"/>
        </w:rPr>
        <w:t xml:space="preserve">  Rule 11 anticipates the need for adequate time to conduct reasonable post-filing investigation or discovery to</w:t>
      </w:r>
      <w:r w:rsidRPr="00FB0B2F">
        <w:rPr>
          <w:rFonts w:eastAsia="Times New Roman" w:cs="Times New Roman"/>
          <w:color w:val="000000" w:themeColor="text1"/>
          <w:spacing w:val="-1"/>
          <w:kern w:val="0"/>
          <w:szCs w:val="24"/>
          <w14:ligatures w14:val="none"/>
        </w:rPr>
        <w:t xml:space="preserve"> </w:t>
      </w:r>
      <w:r w:rsidRPr="00FB0B2F">
        <w:rPr>
          <w:rFonts w:eastAsia="Times New Roman" w:cs="Times New Roman"/>
          <w:color w:val="000000" w:themeColor="text1"/>
          <w:kern w:val="0"/>
          <w:szCs w:val="24"/>
          <w14:ligatures w14:val="none"/>
        </w:rPr>
        <w:t>verify</w:t>
      </w:r>
      <w:r w:rsidRPr="00FB0B2F">
        <w:rPr>
          <w:rFonts w:eastAsia="Times New Roman" w:cs="Times New Roman"/>
          <w:color w:val="000000" w:themeColor="text1"/>
          <w:spacing w:val="-3"/>
          <w:kern w:val="0"/>
          <w:szCs w:val="24"/>
          <w14:ligatures w14:val="none"/>
        </w:rPr>
        <w:t xml:space="preserve"> </w:t>
      </w:r>
      <w:r w:rsidRPr="00FB0B2F">
        <w:rPr>
          <w:rFonts w:eastAsia="Times New Roman" w:cs="Times New Roman"/>
          <w:color w:val="000000" w:themeColor="text1"/>
          <w:kern w:val="0"/>
          <w:szCs w:val="24"/>
          <w14:ligatures w14:val="none"/>
        </w:rPr>
        <w:t>specific</w:t>
      </w:r>
      <w:r w:rsidRPr="00FB0B2F">
        <w:rPr>
          <w:rFonts w:eastAsia="Times New Roman" w:cs="Times New Roman"/>
          <w:color w:val="000000" w:themeColor="text1"/>
          <w:spacing w:val="-2"/>
          <w:kern w:val="0"/>
          <w:szCs w:val="24"/>
          <w14:ligatures w14:val="none"/>
        </w:rPr>
        <w:t xml:space="preserve"> </w:t>
      </w:r>
      <w:r w:rsidRPr="00FB0B2F">
        <w:rPr>
          <w:rFonts w:eastAsia="Times New Roman" w:cs="Times New Roman"/>
          <w:color w:val="000000" w:themeColor="text1"/>
          <w:kern w:val="0"/>
          <w:szCs w:val="24"/>
          <w14:ligatures w14:val="none"/>
        </w:rPr>
        <w:t>product</w:t>
      </w:r>
      <w:r w:rsidRPr="00FB0B2F">
        <w:rPr>
          <w:rFonts w:eastAsia="Times New Roman" w:cs="Times New Roman"/>
          <w:color w:val="000000" w:themeColor="text1"/>
          <w:spacing w:val="-3"/>
          <w:kern w:val="0"/>
          <w:szCs w:val="24"/>
          <w14:ligatures w14:val="none"/>
        </w:rPr>
        <w:t xml:space="preserve"> </w:t>
      </w:r>
      <w:r w:rsidRPr="00FB0B2F">
        <w:rPr>
          <w:rFonts w:eastAsia="Times New Roman" w:cs="Times New Roman"/>
          <w:color w:val="000000" w:themeColor="text1"/>
          <w:kern w:val="0"/>
          <w:szCs w:val="24"/>
          <w14:ligatures w14:val="none"/>
        </w:rPr>
        <w:t>use,</w:t>
      </w:r>
      <w:r w:rsidRPr="00FB0B2F">
        <w:rPr>
          <w:rFonts w:eastAsia="Times New Roman" w:cs="Times New Roman"/>
          <w:color w:val="000000" w:themeColor="text1"/>
          <w:spacing w:val="-3"/>
          <w:kern w:val="0"/>
          <w:szCs w:val="24"/>
          <w14:ligatures w14:val="none"/>
        </w:rPr>
        <w:t xml:space="preserve"> </w:t>
      </w:r>
      <w:r w:rsidRPr="00FB0B2F">
        <w:rPr>
          <w:rFonts w:eastAsia="Times New Roman" w:cs="Times New Roman"/>
          <w:color w:val="000000" w:themeColor="text1"/>
          <w:kern w:val="0"/>
          <w:szCs w:val="24"/>
          <w14:ligatures w14:val="none"/>
        </w:rPr>
        <w:t>exposure,</w:t>
      </w:r>
      <w:r w:rsidRPr="00FB0B2F">
        <w:rPr>
          <w:rFonts w:eastAsia="Times New Roman" w:cs="Times New Roman"/>
          <w:color w:val="000000" w:themeColor="text1"/>
          <w:spacing w:val="-3"/>
          <w:kern w:val="0"/>
          <w:szCs w:val="24"/>
          <w14:ligatures w14:val="none"/>
        </w:rPr>
        <w:t xml:space="preserve"> </w:t>
      </w:r>
      <w:r w:rsidRPr="00FB0B2F">
        <w:rPr>
          <w:rFonts w:eastAsia="Times New Roman" w:cs="Times New Roman"/>
          <w:color w:val="000000" w:themeColor="text1"/>
          <w:kern w:val="0"/>
          <w:szCs w:val="24"/>
          <w14:ligatures w14:val="none"/>
        </w:rPr>
        <w:t>or</w:t>
      </w:r>
      <w:r w:rsidRPr="00FB0B2F">
        <w:rPr>
          <w:rFonts w:eastAsia="Times New Roman" w:cs="Times New Roman"/>
          <w:color w:val="000000" w:themeColor="text1"/>
          <w:spacing w:val="-2"/>
          <w:kern w:val="0"/>
          <w:szCs w:val="24"/>
          <w14:ligatures w14:val="none"/>
        </w:rPr>
        <w:t xml:space="preserve"> </w:t>
      </w:r>
      <w:r w:rsidRPr="00FB0B2F">
        <w:rPr>
          <w:rFonts w:eastAsia="Times New Roman" w:cs="Times New Roman"/>
          <w:color w:val="000000" w:themeColor="text1"/>
          <w:kern w:val="0"/>
          <w:szCs w:val="24"/>
          <w14:ligatures w14:val="none"/>
        </w:rPr>
        <w:t>implantation;</w:t>
      </w:r>
      <w:r w:rsidRPr="00FB0B2F">
        <w:rPr>
          <w:rFonts w:eastAsia="Times New Roman" w:cs="Times New Roman"/>
          <w:color w:val="000000" w:themeColor="text1"/>
          <w:spacing w:val="-3"/>
          <w:kern w:val="0"/>
          <w:szCs w:val="24"/>
          <w14:ligatures w14:val="none"/>
        </w:rPr>
        <w:t xml:space="preserve"> </w:t>
      </w:r>
      <w:r w:rsidRPr="00FB0B2F">
        <w:rPr>
          <w:rFonts w:eastAsia="Times New Roman" w:cs="Times New Roman"/>
          <w:color w:val="000000" w:themeColor="text1"/>
          <w:kern w:val="0"/>
          <w:szCs w:val="24"/>
          <w14:ligatures w14:val="none"/>
        </w:rPr>
        <w:t>to</w:t>
      </w:r>
      <w:r w:rsidRPr="00FB0B2F">
        <w:rPr>
          <w:rFonts w:eastAsia="Times New Roman" w:cs="Times New Roman"/>
          <w:color w:val="000000" w:themeColor="text1"/>
          <w:spacing w:val="-3"/>
          <w:kern w:val="0"/>
          <w:szCs w:val="24"/>
          <w14:ligatures w14:val="none"/>
        </w:rPr>
        <w:t xml:space="preserve"> </w:t>
      </w:r>
      <w:r w:rsidRPr="00FB0B2F">
        <w:rPr>
          <w:rFonts w:eastAsia="Times New Roman" w:cs="Times New Roman"/>
          <w:color w:val="000000" w:themeColor="text1"/>
          <w:kern w:val="0"/>
          <w:szCs w:val="24"/>
          <w14:ligatures w14:val="none"/>
        </w:rPr>
        <w:t>obtain</w:t>
      </w:r>
      <w:r w:rsidRPr="00FB0B2F">
        <w:rPr>
          <w:rFonts w:eastAsia="Times New Roman" w:cs="Times New Roman"/>
          <w:color w:val="000000" w:themeColor="text1"/>
          <w:spacing w:val="-3"/>
          <w:kern w:val="0"/>
          <w:szCs w:val="24"/>
          <w14:ligatures w14:val="none"/>
        </w:rPr>
        <w:t xml:space="preserve"> </w:t>
      </w:r>
      <w:r w:rsidRPr="00FB0B2F">
        <w:rPr>
          <w:rFonts w:eastAsia="Times New Roman" w:cs="Times New Roman"/>
          <w:color w:val="000000" w:themeColor="text1"/>
          <w:kern w:val="0"/>
          <w:szCs w:val="24"/>
          <w14:ligatures w14:val="none"/>
        </w:rPr>
        <w:t>official medical records, or locate other documentation to confirm medical diagnosis and treatment; or sometimes to find a client who may have moved, changed phone numbers, or even passed away.</w:t>
      </w:r>
      <w:r w:rsidRPr="00FB0B2F">
        <w:rPr>
          <w:rFonts w:eastAsia="Times New Roman" w:cs="Times New Roman"/>
          <w:color w:val="000000" w:themeColor="text1"/>
          <w:kern w:val="0"/>
          <w:szCs w:val="24"/>
          <w:vertAlign w:val="superscript"/>
          <w14:ligatures w14:val="none"/>
        </w:rPr>
        <w:footnoteReference w:id="23"/>
      </w:r>
    </w:p>
    <w:p w14:paraId="6BA64DDA"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 xml:space="preserve">Plaintiff and defendant leadership should recommend a realistic timetable for litigants “to gather and confirm the evidentiary basis for their allegations,” for actions that do not have an evidentiary basis supporting their claims at filing. The times will vary depending on the difficulty in finding the evidence and type of mass-tort MDL, </w:t>
      </w:r>
      <w:r w:rsidRPr="00FB0B2F">
        <w:rPr>
          <w:rFonts w:cs="Times New Roman"/>
          <w:i/>
          <w:iCs/>
          <w:kern w:val="0"/>
          <w:szCs w:val="24"/>
          <w14:ligatures w14:val="none"/>
        </w:rPr>
        <w:t>e.g</w:t>
      </w:r>
      <w:r w:rsidRPr="00FB0B2F">
        <w:rPr>
          <w:rFonts w:cs="Times New Roman"/>
          <w:kern w:val="0"/>
          <w:szCs w:val="24"/>
          <w14:ligatures w14:val="none"/>
        </w:rPr>
        <w:t xml:space="preserve">., pharmaceutical, medical device, over-the-counter medications, and should </w:t>
      </w:r>
      <w:proofErr w:type="gramStart"/>
      <w:r w:rsidRPr="00FB0B2F">
        <w:rPr>
          <w:rFonts w:cs="Times New Roman"/>
          <w:kern w:val="0"/>
          <w:szCs w:val="24"/>
          <w14:ligatures w14:val="none"/>
        </w:rPr>
        <w:t>take into account</w:t>
      </w:r>
      <w:proofErr w:type="gramEnd"/>
      <w:r w:rsidRPr="00FB0B2F">
        <w:rPr>
          <w:rFonts w:cs="Times New Roman"/>
          <w:kern w:val="0"/>
          <w:szCs w:val="24"/>
          <w14:ligatures w14:val="none"/>
        </w:rPr>
        <w:t xml:space="preserve"> the large number of filings that may temporarily overwhelm the resources of a law firm.  The timetable should account for any delays caused by the defendant in responding to requests for essential evidence in its </w:t>
      </w:r>
      <w:proofErr w:type="gramStart"/>
      <w:r w:rsidRPr="00FB0B2F">
        <w:rPr>
          <w:rFonts w:cs="Times New Roman"/>
          <w:kern w:val="0"/>
          <w:szCs w:val="24"/>
          <w14:ligatures w14:val="none"/>
        </w:rPr>
        <w:t>possession,</w:t>
      </w:r>
      <w:proofErr w:type="gramEnd"/>
      <w:r w:rsidRPr="00FB0B2F">
        <w:rPr>
          <w:rFonts w:cs="Times New Roman"/>
          <w:kern w:val="0"/>
          <w:szCs w:val="24"/>
          <w14:ligatures w14:val="none"/>
        </w:rPr>
        <w:t xml:space="preserve"> or information necessary to locate such evidence. </w:t>
      </w:r>
    </w:p>
    <w:p w14:paraId="6605823A"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lastRenderedPageBreak/>
        <w:t xml:space="preserve">The length of time may be adjusted to provide more time during the first years than later years for tag-along actions filed years later when the investigations or discovery become more routine. </w:t>
      </w:r>
    </w:p>
    <w:p w14:paraId="7C61E9C5"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 xml:space="preserve">The </w:t>
      </w:r>
      <w:proofErr w:type="gramStart"/>
      <w:r w:rsidRPr="00FB0B2F">
        <w:rPr>
          <w:rFonts w:cs="Times New Roman"/>
          <w:kern w:val="0"/>
          <w:szCs w:val="24"/>
          <w14:ligatures w14:val="none"/>
        </w:rPr>
        <w:t>central-exchange</w:t>
      </w:r>
      <w:proofErr w:type="gramEnd"/>
      <w:r w:rsidRPr="00FB0B2F">
        <w:rPr>
          <w:rFonts w:cs="Times New Roman"/>
          <w:kern w:val="0"/>
          <w:szCs w:val="24"/>
          <w14:ligatures w14:val="none"/>
        </w:rPr>
        <w:t xml:space="preserve"> platform should be programmed to automatically alert parties and the court of filings that fail to submit evidence supporting the claims after expiration of the agreed-upon reasonable time.</w:t>
      </w:r>
      <w:r w:rsidRPr="00FB0B2F">
        <w:rPr>
          <w:rFonts w:cs="Times New Roman"/>
          <w:kern w:val="0"/>
          <w:szCs w:val="24"/>
          <w:vertAlign w:val="superscript"/>
          <w14:ligatures w14:val="none"/>
        </w:rPr>
        <w:footnoteReference w:id="24"/>
      </w:r>
    </w:p>
    <w:p w14:paraId="535230B0" w14:textId="77777777" w:rsidR="00FB0B2F" w:rsidRPr="00FB0B2F" w:rsidRDefault="00FB0B2F" w:rsidP="00FB0B2F">
      <w:pPr>
        <w:shd w:val="clear" w:color="auto" w:fill="FFFFFF"/>
        <w:spacing w:before="100" w:beforeAutospacing="1" w:after="0" w:line="240" w:lineRule="auto"/>
        <w:ind w:left="720" w:right="720"/>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t>Best Practice MDL-§ 8(b)(ii)(C):</w:t>
      </w:r>
      <w:r w:rsidRPr="00FB0B2F">
        <w:rPr>
          <w:rFonts w:cs="Times New Roman"/>
          <w:color w:val="000000" w:themeColor="text1"/>
          <w:kern w:val="0"/>
          <w:szCs w:val="24"/>
          <w14:ligatures w14:val="none"/>
        </w:rPr>
        <w:t xml:space="preserve"> The parties should recommend a process that confirms the evidentiary bases of actions, including procedures that clearly address failures to find and transmit the minimum evidence within the agreed-upon time.  </w:t>
      </w:r>
    </w:p>
    <w:p w14:paraId="1322AF2D"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p>
    <w:p w14:paraId="34A6FFA8" w14:textId="77777777" w:rsidR="00FB0B2F" w:rsidRPr="00FB0B2F" w:rsidRDefault="00FB0B2F" w:rsidP="00FB0B2F">
      <w:pPr>
        <w:spacing w:after="0" w:line="360" w:lineRule="auto"/>
        <w:ind w:firstLine="720"/>
        <w:jc w:val="both"/>
        <w:rPr>
          <w:kern w:val="0"/>
          <w14:ligatures w14:val="none"/>
        </w:rPr>
      </w:pPr>
      <w:r w:rsidRPr="00FB0B2F">
        <w:rPr>
          <w:kern w:val="0"/>
          <w14:ligatures w14:val="none"/>
        </w:rPr>
        <w:t xml:space="preserve">The process recommended by the parties to confirm the evidentiary basis of </w:t>
      </w:r>
      <w:proofErr w:type="gramStart"/>
      <w:r w:rsidRPr="00FB0B2F">
        <w:rPr>
          <w:kern w:val="0"/>
          <w14:ligatures w14:val="none"/>
        </w:rPr>
        <w:t>actions</w:t>
      </w:r>
      <w:proofErr w:type="gramEnd"/>
      <w:r w:rsidRPr="00FB0B2F">
        <w:rPr>
          <w:kern w:val="0"/>
          <w14:ligatures w14:val="none"/>
        </w:rPr>
        <w:t xml:space="preserve"> should be limited exclusively to addressing the failure to find and transmit the minimum evidence. Alleged deficiencies in completing the profile forms or fact sheets regarding other matters should not be considered part of this process, which the parties and court should address separately.  </w:t>
      </w:r>
    </w:p>
    <w:p w14:paraId="05AA8D40" w14:textId="77777777" w:rsidR="00FB0B2F" w:rsidRPr="00FB0B2F" w:rsidRDefault="00FB0B2F" w:rsidP="00FB0B2F">
      <w:pPr>
        <w:spacing w:after="0" w:line="360" w:lineRule="auto"/>
        <w:ind w:firstLine="720"/>
        <w:jc w:val="both"/>
        <w:rPr>
          <w:kern w:val="0"/>
          <w14:ligatures w14:val="none"/>
        </w:rPr>
      </w:pPr>
      <w:r w:rsidRPr="00FB0B2F">
        <w:rPr>
          <w:kern w:val="0"/>
          <w14:ligatures w14:val="none"/>
        </w:rPr>
        <w:t xml:space="preserve">To mitigate the potential for disputes about actions without any evidentiary basis supporting their claims, the defendant should first consider “informally” advising the plaintiff leadership of problematic filings, especially highlighting multiple actions filed by a single law firm without submitting evidence supporting their claims. Instead of going directly to the court for a ruling following a notice of deficiency from the central-exchange platform, the parties may also consider designating a neutral to resolve any disputes and recommend disposition to both plaintiff and defense leadership.  Plaintiffs’ leadership is also in a good position to recognize whether individual filed actions are questionable and raise with the court those filings that may not have adequate evidentiary support at appropriate times, especially if the questionable filings are made </w:t>
      </w:r>
      <w:r w:rsidRPr="00FB0B2F">
        <w:rPr>
          <w:kern w:val="0"/>
          <w14:ligatures w14:val="none"/>
        </w:rPr>
        <w:lastRenderedPageBreak/>
        <w:t>by a single or a few law firms.</w:t>
      </w:r>
      <w:r w:rsidRPr="00FB0B2F">
        <w:rPr>
          <w:kern w:val="0"/>
          <w:vertAlign w:val="superscript"/>
          <w14:ligatures w14:val="none"/>
        </w:rPr>
        <w:footnoteReference w:id="25"/>
      </w:r>
      <w:r w:rsidRPr="00FB0B2F">
        <w:rPr>
          <w:kern w:val="0"/>
          <w14:ligatures w14:val="none"/>
        </w:rPr>
        <w:t xml:space="preserve">  Plaintiffs’ leadership should consider informing the court of such cases either on their own or suggest to the court that it assign them to do it.  </w:t>
      </w:r>
    </w:p>
    <w:p w14:paraId="7AF99315"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 xml:space="preserve">Upon notification by the central-exchange platform that the deadline to submit evidence supporting an action has expired, the defendants may send a one-time communication through the central-exchange platform stating their intent to seek dismissal unless the evidence is timely submitted.  If neither evidence nor an explanation is timely submitted, </w:t>
      </w:r>
      <w:bookmarkStart w:id="0" w:name="_Hlk174272889"/>
      <w:r w:rsidRPr="00FB0B2F">
        <w:rPr>
          <w:rFonts w:cs="Times New Roman"/>
          <w:kern w:val="0"/>
          <w:szCs w:val="24"/>
          <w14:ligatures w14:val="none"/>
        </w:rPr>
        <w:t xml:space="preserve">the defendant may request the court to dismiss the action </w:t>
      </w:r>
      <w:bookmarkEnd w:id="0"/>
      <w:r w:rsidRPr="00FB0B2F">
        <w:rPr>
          <w:rFonts w:cs="Times New Roman"/>
          <w:kern w:val="0"/>
          <w:szCs w:val="24"/>
          <w14:ligatures w14:val="none"/>
        </w:rPr>
        <w:t>for the failure to prosecute or failure to comply with the court order.</w:t>
      </w:r>
      <w:r w:rsidRPr="00FB0B2F">
        <w:rPr>
          <w:rFonts w:cs="Times New Roman"/>
          <w:kern w:val="0"/>
          <w:szCs w:val="24"/>
          <w:vertAlign w:val="superscript"/>
          <w14:ligatures w14:val="none"/>
        </w:rPr>
        <w:footnoteReference w:id="26"/>
      </w:r>
      <w:r w:rsidRPr="00FB0B2F">
        <w:rPr>
          <w:rFonts w:cs="Times New Roman"/>
          <w:kern w:val="0"/>
          <w:szCs w:val="24"/>
          <w14:ligatures w14:val="none"/>
        </w:rPr>
        <w:t xml:space="preserve"> </w:t>
      </w:r>
      <w:bookmarkStart w:id="1" w:name="_Hlk174258110"/>
      <w:r w:rsidRPr="00FB0B2F">
        <w:rPr>
          <w:rFonts w:cs="Times New Roman"/>
          <w:kern w:val="0"/>
          <w:szCs w:val="24"/>
          <w14:ligatures w14:val="none"/>
        </w:rPr>
        <w:t>Courts address such requests for dismissals of individual actions at regularly scheduled case-management conference</w:t>
      </w:r>
      <w:bookmarkEnd w:id="1"/>
      <w:r w:rsidRPr="00FB0B2F">
        <w:rPr>
          <w:rFonts w:cs="Times New Roman"/>
          <w:kern w:val="0"/>
          <w:szCs w:val="24"/>
          <w14:ligatures w14:val="none"/>
        </w:rPr>
        <w:t xml:space="preserve">s to systematize their consideration on an ongoing basis that otherwise might go neglected.   </w:t>
      </w:r>
    </w:p>
    <w:p w14:paraId="538C8DBB"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If an explanation is provided but is not satisfactory, the defendant may request the court to take appropriate action, which may include: (</w:t>
      </w:r>
      <w:proofErr w:type="spellStart"/>
      <w:r w:rsidRPr="00FB0B2F">
        <w:rPr>
          <w:rFonts w:cs="Times New Roman"/>
          <w:kern w:val="0"/>
          <w:szCs w:val="24"/>
          <w14:ligatures w14:val="none"/>
        </w:rPr>
        <w:t>i</w:t>
      </w:r>
      <w:proofErr w:type="spellEnd"/>
      <w:r w:rsidRPr="00FB0B2F">
        <w:rPr>
          <w:rFonts w:cs="Times New Roman"/>
          <w:kern w:val="0"/>
          <w:szCs w:val="24"/>
          <w14:ligatures w14:val="none"/>
        </w:rPr>
        <w:t>) providing additional time to find evidence supporting the claims; (ii) dismissing the action for failing to comply with a court order or failing to prosecute under FED. R. CIV. P. 41; or (iii) sanctioning a party under FED. R. CIV. P. 37, if the court treated facts sheets and profile forms as discovery.</w:t>
      </w:r>
      <w:r w:rsidRPr="00FB0B2F">
        <w:rPr>
          <w:rFonts w:cs="Times New Roman"/>
          <w:kern w:val="0"/>
          <w:szCs w:val="24"/>
          <w:vertAlign w:val="superscript"/>
          <w14:ligatures w14:val="none"/>
        </w:rPr>
        <w:footnoteReference w:id="27"/>
      </w:r>
      <w:r w:rsidRPr="00FB0B2F">
        <w:rPr>
          <w:rFonts w:cs="Times New Roman"/>
          <w:kern w:val="0"/>
          <w:szCs w:val="24"/>
          <w14:ligatures w14:val="none"/>
        </w:rPr>
        <w:t xml:space="preserve"> As part of the vetting process, serial deficiencies attributed to a single law firm should be highlighted, which can be raised to the court’s attention and addressed by Rule 11 sanctions.</w:t>
      </w:r>
      <w:r w:rsidRPr="00FB0B2F">
        <w:rPr>
          <w:rFonts w:cs="Times New Roman"/>
          <w:kern w:val="0"/>
          <w:szCs w:val="24"/>
          <w:vertAlign w:val="superscript"/>
          <w14:ligatures w14:val="none"/>
        </w:rPr>
        <w:footnoteReference w:id="28"/>
      </w:r>
    </w:p>
    <w:p w14:paraId="52261793"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t xml:space="preserve">Best Practice MDL-§ 8(b)(ii)(D):   </w:t>
      </w:r>
      <w:r w:rsidRPr="00FB0B2F">
        <w:rPr>
          <w:rFonts w:cs="Times New Roman"/>
          <w:color w:val="000000" w:themeColor="text1"/>
          <w:kern w:val="0"/>
          <w:szCs w:val="24"/>
          <w14:ligatures w14:val="none"/>
        </w:rPr>
        <w:t xml:space="preserve">The defendant should not persist in denials of factual contentions, which were initially denied on information or belief but were found after further investigation or discovery to be unwarranted. </w:t>
      </w:r>
    </w:p>
    <w:p w14:paraId="1A6337AC" w14:textId="77777777" w:rsidR="00FB0B2F" w:rsidRPr="00FB0B2F" w:rsidRDefault="00FB0B2F" w:rsidP="00FB0B2F">
      <w:pPr>
        <w:spacing w:after="0" w:line="240" w:lineRule="auto"/>
        <w:ind w:left="720" w:right="720"/>
        <w:jc w:val="both"/>
        <w:rPr>
          <w:rFonts w:cs="Times New Roman"/>
          <w:color w:val="000000" w:themeColor="text1"/>
          <w:kern w:val="0"/>
          <w:szCs w:val="24"/>
          <w14:ligatures w14:val="none"/>
        </w:rPr>
      </w:pPr>
    </w:p>
    <w:p w14:paraId="6B5B9015"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A balanced process should ensure that defendants comply with comparable obligations to cease persisting in denying significant factual case-dispositive allegations that involve many </w:t>
      </w:r>
      <w:r w:rsidRPr="00FB0B2F">
        <w:rPr>
          <w:rFonts w:cs="Times New Roman"/>
          <w:color w:val="000000" w:themeColor="text1"/>
          <w:kern w:val="0"/>
          <w:szCs w:val="24"/>
          <w14:ligatures w14:val="none"/>
        </w:rPr>
        <w:lastRenderedPageBreak/>
        <w:t xml:space="preserve">individual actions when they learn otherwise, </w:t>
      </w:r>
      <w:r w:rsidRPr="00FB0B2F">
        <w:rPr>
          <w:rFonts w:cs="Times New Roman"/>
          <w:i/>
          <w:iCs/>
          <w:color w:val="000000" w:themeColor="text1"/>
          <w:kern w:val="0"/>
          <w:szCs w:val="24"/>
          <w14:ligatures w14:val="none"/>
        </w:rPr>
        <w:t>e.g</w:t>
      </w:r>
      <w:r w:rsidRPr="00FB0B2F">
        <w:rPr>
          <w:rFonts w:cs="Times New Roman"/>
          <w:color w:val="000000" w:themeColor="text1"/>
          <w:kern w:val="0"/>
          <w:szCs w:val="24"/>
          <w14:ligatures w14:val="none"/>
        </w:rPr>
        <w:t xml:space="preserve">., abandoning statute of limitations arguments, if appropriate.    </w:t>
      </w:r>
    </w:p>
    <w:p w14:paraId="32B36439"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 xml:space="preserve">Rule 11(b)(4) allows a defendant to deny a factual contention on a belief formed after reasonable inquiry even if the denial may not be warranted, but only “if </w:t>
      </w:r>
      <w:proofErr w:type="gramStart"/>
      <w:r w:rsidRPr="00FB0B2F">
        <w:rPr>
          <w:rFonts w:cs="Times New Roman"/>
          <w:color w:val="000000" w:themeColor="text1"/>
          <w:kern w:val="0"/>
          <w:szCs w:val="24"/>
          <w14:ligatures w14:val="none"/>
        </w:rPr>
        <w:t>specifically</w:t>
      </w:r>
      <w:proofErr w:type="gramEnd"/>
      <w:r w:rsidRPr="00FB0B2F">
        <w:rPr>
          <w:rFonts w:cs="Times New Roman"/>
          <w:color w:val="000000" w:themeColor="text1"/>
          <w:kern w:val="0"/>
          <w:szCs w:val="24"/>
          <w14:ligatures w14:val="none"/>
        </w:rPr>
        <w:t xml:space="preserve"> so identified, are reasonably based on belief or a lack of information.”  The 1993 amendments to Rule 11 were intended to serve to “equalize the burden of the rule upon plaintiffs and defendants, who under Rule 8(b) are in effect allowed to deny allegations by stating that from their initial investigation they lack sufficient information to form a belief as to the truth of the allegation.</w:t>
      </w:r>
      <w:r w:rsidRPr="00FB0B2F">
        <w:rPr>
          <w:rFonts w:cs="Times New Roman"/>
          <w:color w:val="000000" w:themeColor="text1"/>
          <w:kern w:val="0"/>
          <w:szCs w:val="24"/>
          <w:vertAlign w:val="superscript"/>
          <w14:ligatures w14:val="none"/>
        </w:rPr>
        <w:footnoteReference w:id="29"/>
      </w:r>
      <w:r w:rsidRPr="00FB0B2F">
        <w:rPr>
          <w:rFonts w:cs="Times New Roman"/>
          <w:color w:val="000000" w:themeColor="text1"/>
          <w:kern w:val="0"/>
          <w:szCs w:val="24"/>
          <w14:ligatures w14:val="none"/>
        </w:rPr>
        <w:t xml:space="preserve"> If, after further investigation or discovery, a denial is no longer warranted, the defendant should not persist insisting on that denial.”</w:t>
      </w:r>
      <w:r w:rsidRPr="00FB0B2F">
        <w:rPr>
          <w:rFonts w:cs="Times New Roman"/>
          <w:color w:val="000000" w:themeColor="text1"/>
          <w:kern w:val="0"/>
          <w:szCs w:val="24"/>
          <w:vertAlign w:val="superscript"/>
          <w14:ligatures w14:val="none"/>
        </w:rPr>
        <w:footnoteReference w:id="30"/>
      </w:r>
      <w:r w:rsidRPr="00FB0B2F">
        <w:rPr>
          <w:rFonts w:cs="Times New Roman"/>
          <w:color w:val="000000" w:themeColor="text1"/>
          <w:kern w:val="0"/>
          <w:szCs w:val="24"/>
          <w14:ligatures w14:val="none"/>
        </w:rPr>
        <w:t xml:space="preserve"> </w:t>
      </w:r>
    </w:p>
    <w:p w14:paraId="2718BC72" w14:textId="77777777" w:rsidR="00FB0B2F" w:rsidRPr="00FB0B2F" w:rsidRDefault="00FB0B2F" w:rsidP="00FB0B2F">
      <w:pPr>
        <w:spacing w:after="0" w:line="360" w:lineRule="auto"/>
        <w:ind w:firstLine="720"/>
        <w:jc w:val="both"/>
        <w:rPr>
          <w:rFonts w:cs="Times New Roman"/>
          <w:color w:val="000000" w:themeColor="text1"/>
          <w:kern w:val="0"/>
          <w:szCs w:val="24"/>
          <w14:ligatures w14:val="none"/>
        </w:rPr>
      </w:pPr>
      <w:r w:rsidRPr="00FB0B2F">
        <w:rPr>
          <w:rFonts w:cs="Times New Roman"/>
          <w:color w:val="000000" w:themeColor="text1"/>
          <w:kern w:val="0"/>
          <w:szCs w:val="24"/>
          <w14:ligatures w14:val="none"/>
        </w:rPr>
        <w:t>In a mass-tort MDL, a defendant typically denies hundreds of factual allegations in its answer to the master complaint. The rule makes clear that simply because the defendant has no contradictory evidence or reasonably doubts the credibility of the only evidence relevant to the matter it need not admit that an allegation is true.</w:t>
      </w:r>
      <w:r w:rsidRPr="00FB0B2F">
        <w:rPr>
          <w:rFonts w:cs="Times New Roman"/>
          <w:color w:val="000000" w:themeColor="text1"/>
          <w:kern w:val="0"/>
          <w:szCs w:val="24"/>
          <w:vertAlign w:val="superscript"/>
          <w14:ligatures w14:val="none"/>
        </w:rPr>
        <w:footnoteReference w:id="31"/>
      </w:r>
      <w:r w:rsidRPr="00FB0B2F">
        <w:rPr>
          <w:rFonts w:cs="Times New Roman"/>
          <w:color w:val="000000" w:themeColor="text1"/>
          <w:kern w:val="0"/>
          <w:szCs w:val="24"/>
          <w14:ligatures w14:val="none"/>
        </w:rPr>
        <w:t xml:space="preserve"> But if the defendant learns after further investigation or discovery that the denial of the factual contention is no longer warranted, it must cease advocating that position.</w:t>
      </w:r>
    </w:p>
    <w:p w14:paraId="7B021DCE" w14:textId="77777777" w:rsidR="00FB0B2F" w:rsidRPr="00FB0B2F" w:rsidRDefault="00FB0B2F" w:rsidP="00FB0B2F">
      <w:pPr>
        <w:shd w:val="clear" w:color="auto" w:fill="FFFFFF"/>
        <w:spacing w:after="0" w:line="240" w:lineRule="auto"/>
        <w:ind w:left="720" w:right="720"/>
        <w:jc w:val="both"/>
        <w:rPr>
          <w:rFonts w:cs="Times New Roman"/>
          <w:color w:val="000000" w:themeColor="text1"/>
          <w:kern w:val="0"/>
          <w:szCs w:val="24"/>
          <w14:ligatures w14:val="none"/>
        </w:rPr>
      </w:pPr>
      <w:r w:rsidRPr="00FB0B2F">
        <w:rPr>
          <w:rFonts w:cs="Times New Roman"/>
          <w:b/>
          <w:bCs/>
          <w:color w:val="000000" w:themeColor="text1"/>
          <w:kern w:val="0"/>
          <w:szCs w:val="24"/>
          <w14:ligatures w14:val="none"/>
        </w:rPr>
        <w:t xml:space="preserve">Best Practice MDL-§ 8(b)(ii)(E): </w:t>
      </w:r>
      <w:r w:rsidRPr="00FB0B2F">
        <w:rPr>
          <w:rFonts w:cs="Times New Roman"/>
          <w:color w:val="000000" w:themeColor="text1"/>
          <w:kern w:val="0"/>
          <w:szCs w:val="24"/>
          <w14:ligatures w14:val="none"/>
        </w:rPr>
        <w:t xml:space="preserve">A judge should deter so-called “aggregators” from filing multiple actions in a mass-tort MDL absent reasonable prefiling inquiries or failing to dismiss actions after reasonable investigation or discovery that have no evidentiary basis supporting the claims.  </w:t>
      </w:r>
    </w:p>
    <w:p w14:paraId="1B3E511D" w14:textId="77777777" w:rsidR="00FB0B2F" w:rsidRPr="00FB0B2F" w:rsidRDefault="00FB0B2F" w:rsidP="00FB0B2F">
      <w:pPr>
        <w:shd w:val="clear" w:color="auto" w:fill="FFFFFF"/>
        <w:spacing w:after="0" w:line="240" w:lineRule="auto"/>
        <w:ind w:left="720" w:right="720"/>
        <w:jc w:val="both"/>
        <w:rPr>
          <w:rFonts w:cs="Times New Roman"/>
          <w:color w:val="000000" w:themeColor="text1"/>
          <w:kern w:val="0"/>
          <w:szCs w:val="24"/>
          <w14:ligatures w14:val="none"/>
        </w:rPr>
      </w:pPr>
    </w:p>
    <w:p w14:paraId="40BA80F4" w14:textId="77777777" w:rsidR="00FB0B2F" w:rsidRPr="00FB0B2F" w:rsidRDefault="00FB0B2F" w:rsidP="00FB0B2F">
      <w:pPr>
        <w:spacing w:after="0" w:line="360" w:lineRule="auto"/>
        <w:ind w:firstLine="720"/>
        <w:jc w:val="both"/>
        <w:rPr>
          <w:rFonts w:eastAsia="Times New Roman" w:cs="Times New Roman"/>
          <w:color w:val="222222"/>
          <w:kern w:val="0"/>
          <w:szCs w:val="24"/>
          <w14:ligatures w14:val="none"/>
        </w:rPr>
      </w:pPr>
      <w:r w:rsidRPr="00FB0B2F">
        <w:rPr>
          <w:rFonts w:cs="Times New Roman"/>
          <w:color w:val="000000" w:themeColor="text1"/>
          <w:kern w:val="0"/>
          <w:szCs w:val="24"/>
          <w14:ligatures w14:val="none"/>
        </w:rPr>
        <w:t>“The detection and punishment of a violation of the signing requirement, encouraged by the amended rule (Fed.  R. Civ. P. 11(b)(3)), is part of the court’s responsibility for securing  the system’s effective operation.”</w:t>
      </w:r>
      <w:r w:rsidRPr="00FB0B2F">
        <w:rPr>
          <w:rFonts w:cs="Times New Roman"/>
          <w:color w:val="000000" w:themeColor="text1"/>
          <w:kern w:val="0"/>
          <w:szCs w:val="24"/>
          <w:vertAlign w:val="superscript"/>
          <w14:ligatures w14:val="none"/>
        </w:rPr>
        <w:footnoteReference w:id="32"/>
      </w:r>
      <w:r w:rsidRPr="00FB0B2F">
        <w:rPr>
          <w:rFonts w:cs="Times New Roman"/>
          <w:color w:val="000000" w:themeColor="text1"/>
          <w:kern w:val="0"/>
          <w:szCs w:val="24"/>
          <w14:ligatures w14:val="none"/>
        </w:rPr>
        <w:t xml:space="preserve">  A court’s vigilant supervision from the start of the MDL of multiple actions filed by aggregators, which are flagged by the central-exchange platform as not having evidence supporting the claims, can help the court control the litigation, whose number of </w:t>
      </w:r>
      <w:r w:rsidRPr="00FB0B2F">
        <w:rPr>
          <w:rFonts w:cs="Times New Roman"/>
          <w:color w:val="000000" w:themeColor="text1"/>
          <w:kern w:val="0"/>
          <w:szCs w:val="24"/>
          <w14:ligatures w14:val="none"/>
        </w:rPr>
        <w:lastRenderedPageBreak/>
        <w:t>actions may appear to be manageable during the first years of litigation but later can explode, especially before the expiration of applicable statute of limitations.</w:t>
      </w:r>
      <w:r w:rsidRPr="00FB0B2F">
        <w:rPr>
          <w:rFonts w:cs="Times New Roman"/>
          <w:color w:val="000000" w:themeColor="text1"/>
          <w:kern w:val="0"/>
          <w:szCs w:val="24"/>
          <w:vertAlign w:val="superscript"/>
          <w14:ligatures w14:val="none"/>
        </w:rPr>
        <w:footnoteReference w:id="33"/>
      </w:r>
      <w:r w:rsidRPr="00FB0B2F">
        <w:rPr>
          <w:rFonts w:cs="Times New Roman"/>
          <w:color w:val="000000" w:themeColor="text1"/>
          <w:kern w:val="0"/>
          <w:szCs w:val="24"/>
          <w14:ligatures w14:val="none"/>
        </w:rPr>
        <w:t xml:space="preserve"> </w:t>
      </w:r>
      <w:r w:rsidRPr="00FB0B2F">
        <w:rPr>
          <w:rFonts w:eastAsia="Times New Roman" w:cs="Times New Roman"/>
          <w:color w:val="222222"/>
          <w:kern w:val="0"/>
          <w:szCs w:val="24"/>
          <w14:ligatures w14:val="none"/>
        </w:rPr>
        <w:t xml:space="preserve">And while some courts strive to evaluate questionable claims as early as possible, the parties are devoting most of their resources on general-causation issues, which can make-or-break the case, at the beginning of a mass-tort MDL, leaving little time and resources to evaluate and prosecute individual actions that have no evidentiary basis.   </w:t>
      </w:r>
    </w:p>
    <w:p w14:paraId="4DF1EC0D"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Rule 16.1(b)(3)(B) recognizes that “concerns have been raised on both the plaintiff side and defense side [as well as transferee judges] that some of the claims and defenses have been asserted [in fact sheets and in other exchanges of information about the factual basis of the case] without the inquiry called for by Rule 11(b).”</w:t>
      </w:r>
      <w:r w:rsidRPr="00FB0B2F">
        <w:rPr>
          <w:rFonts w:cs="Times New Roman"/>
          <w:kern w:val="0"/>
          <w:szCs w:val="24"/>
          <w:vertAlign w:val="superscript"/>
          <w14:ligatures w14:val="none"/>
        </w:rPr>
        <w:footnoteReference w:id="34"/>
      </w:r>
      <w:r w:rsidRPr="00FB0B2F">
        <w:rPr>
          <w:rFonts w:cs="Times New Roman"/>
          <w:kern w:val="0"/>
          <w:szCs w:val="24"/>
          <w14:ligatures w14:val="none"/>
        </w:rPr>
        <w:t xml:space="preserve">  The problem is not so much a few outlier actions, but instead involves hundreds or thousands of actions in individual mass-tort MDLs, the bulk of which are filed by one or a few law firms. The court should be alert to so-called “aggregators” who file multiple actions absent “reasonable prefiling inquiries” and who persist in maintaining unsupported actions after the time for reasonable “post-filing investigation or discovery” has expired. </w:t>
      </w:r>
    </w:p>
    <w:p w14:paraId="54F99FA3"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In a one-off non-MDL case, dismissing a case with prejudice for failure to prosecute is one of the severest penalties a court can impose.  Not surprisingly, most judges bend over backwards holding multiple hearings and entertaining multiple motions, scrupulously ensuring that the litigant’s every right is honored before dismissing a case with prejudice under FED. R. CIV. P. 41.</w:t>
      </w:r>
      <w:r w:rsidRPr="00FB0B2F">
        <w:rPr>
          <w:rFonts w:cs="Times New Roman"/>
          <w:kern w:val="0"/>
          <w:szCs w:val="24"/>
          <w:vertAlign w:val="superscript"/>
          <w14:ligatures w14:val="none"/>
        </w:rPr>
        <w:footnoteReference w:id="35"/>
      </w:r>
      <w:r w:rsidRPr="00FB0B2F">
        <w:rPr>
          <w:rFonts w:cs="Times New Roman"/>
          <w:kern w:val="0"/>
          <w:szCs w:val="24"/>
          <w14:ligatures w14:val="none"/>
        </w:rPr>
        <w:t xml:space="preserve">  But the deterrent effect of a Rule 41 dismissal, though real in a one-off case, has no meaningful effect on a so-called “aggregator” law firm in a mass-tort MDL, which manages hundreds of actions without any evidentiary basis who can make settlement of the claims more </w:t>
      </w:r>
      <w:r w:rsidRPr="00FB0B2F">
        <w:rPr>
          <w:rFonts w:cs="Times New Roman"/>
          <w:kern w:val="0"/>
          <w:szCs w:val="24"/>
          <w14:ligatures w14:val="none"/>
        </w:rPr>
        <w:lastRenderedPageBreak/>
        <w:t>economical than litigating individual Rule 41 show-cause hearings.</w:t>
      </w:r>
      <w:r w:rsidRPr="00FB0B2F">
        <w:rPr>
          <w:rFonts w:cs="Times New Roman"/>
          <w:kern w:val="0"/>
          <w:szCs w:val="24"/>
          <w:vertAlign w:val="superscript"/>
          <w14:ligatures w14:val="none"/>
        </w:rPr>
        <w:footnoteReference w:id="36"/>
      </w:r>
      <w:r w:rsidRPr="00FB0B2F">
        <w:rPr>
          <w:rFonts w:cs="Times New Roman"/>
          <w:kern w:val="0"/>
          <w:szCs w:val="24"/>
          <w14:ligatures w14:val="none"/>
        </w:rPr>
        <w:t xml:space="preserve"> Rule 11 was intended to address precisely such misconduct, but the bench and bar have been reluctant to apply it.</w:t>
      </w:r>
      <w:r w:rsidRPr="00FB0B2F">
        <w:rPr>
          <w:rFonts w:cs="Times New Roman"/>
          <w:kern w:val="0"/>
          <w:szCs w:val="24"/>
          <w:vertAlign w:val="superscript"/>
          <w14:ligatures w14:val="none"/>
        </w:rPr>
        <w:footnoteReference w:id="37"/>
      </w:r>
    </w:p>
    <w:p w14:paraId="076E2628"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 xml:space="preserve"> The major reason why parties do not seek deserved Rule 11 sanctions, and the corresponding need for MDL courts to act on their own, is the parties’ (defendants’ mostly) reluctance, born of the fears of stirring animosities that will complicate and delay ongoing management of the proceedings and impede or distort settlement negotiations.</w:t>
      </w:r>
      <w:r w:rsidRPr="00FB0B2F">
        <w:rPr>
          <w:rFonts w:cs="Times New Roman"/>
          <w:kern w:val="0"/>
          <w:szCs w:val="24"/>
          <w:vertAlign w:val="superscript"/>
          <w14:ligatures w14:val="none"/>
        </w:rPr>
        <w:footnoteReference w:id="38"/>
      </w:r>
      <w:r w:rsidRPr="00FB0B2F">
        <w:rPr>
          <w:rFonts w:cs="Times New Roman"/>
          <w:kern w:val="0"/>
          <w:szCs w:val="24"/>
          <w14:ligatures w14:val="none"/>
        </w:rPr>
        <w:t xml:space="preserve">  </w:t>
      </w:r>
    </w:p>
    <w:p w14:paraId="27BA7C43" w14:textId="77777777" w:rsidR="00FB0B2F" w:rsidRPr="00FB0B2F" w:rsidRDefault="00FB0B2F" w:rsidP="00FB0B2F">
      <w:pPr>
        <w:spacing w:after="0" w:line="360" w:lineRule="auto"/>
        <w:ind w:firstLine="720"/>
        <w:jc w:val="both"/>
        <w:rPr>
          <w:rFonts w:cs="Times New Roman"/>
          <w:color w:val="222222"/>
          <w:kern w:val="0"/>
          <w:szCs w:val="24"/>
          <w:shd w:val="clear" w:color="auto" w:fill="FFFFFF"/>
          <w14:ligatures w14:val="none"/>
        </w:rPr>
      </w:pPr>
      <w:r w:rsidRPr="00FB0B2F">
        <w:rPr>
          <w:rFonts w:cs="Times New Roman"/>
          <w:kern w:val="0"/>
          <w:szCs w:val="24"/>
          <w14:ligatures w14:val="none"/>
        </w:rPr>
        <w:t xml:space="preserve">Although courts have traditionally been reluctant to intervene unless requested by one of the parties, Rule 11 was amended to explicitly authorize a judge to impose a monetary sanction </w:t>
      </w:r>
      <w:r w:rsidRPr="00FB0B2F">
        <w:rPr>
          <w:rFonts w:cs="Times New Roman"/>
          <w:i/>
          <w:iCs/>
          <w:kern w:val="0"/>
          <w:szCs w:val="24"/>
          <w14:ligatures w14:val="none"/>
        </w:rPr>
        <w:t>on their own</w:t>
      </w:r>
      <w:r w:rsidRPr="00FB0B2F">
        <w:rPr>
          <w:rFonts w:cs="Times New Roman"/>
          <w:kern w:val="0"/>
          <w:szCs w:val="24"/>
          <w14:ligatures w14:val="none"/>
        </w:rPr>
        <w:t xml:space="preserve"> for violations of the rule.</w:t>
      </w:r>
      <w:r w:rsidRPr="00FB0B2F">
        <w:rPr>
          <w:rFonts w:cs="Times New Roman"/>
          <w:kern w:val="0"/>
          <w:szCs w:val="24"/>
          <w:vertAlign w:val="superscript"/>
          <w14:ligatures w14:val="none"/>
        </w:rPr>
        <w:footnoteReference w:id="39"/>
      </w:r>
      <w:r w:rsidRPr="00FB0B2F">
        <w:rPr>
          <w:rFonts w:cs="Times New Roman"/>
          <w:kern w:val="0"/>
          <w:szCs w:val="24"/>
          <w14:ligatures w14:val="none"/>
        </w:rPr>
        <w:t xml:space="preserve">  “Aggregators” who file many obviously frivolous or meritless actions or persist in denying case-dispositive factual contentions that are not warranted </w:t>
      </w:r>
      <w:r w:rsidRPr="00FB0B2F">
        <w:rPr>
          <w:rFonts w:cs="Times New Roman"/>
          <w:kern w:val="0"/>
          <w:szCs w:val="24"/>
          <w14:ligatures w14:val="none"/>
        </w:rPr>
        <w:lastRenderedPageBreak/>
        <w:t>on the evidence show contempt of court, which can be punished summarily after issuing a show-cause order and an opportunity to respond without providing a “safe harbor” to withdraw or correct the pleading.</w:t>
      </w:r>
      <w:r w:rsidRPr="00FB0B2F">
        <w:rPr>
          <w:rFonts w:cs="Times New Roman"/>
          <w:kern w:val="0"/>
          <w:szCs w:val="24"/>
          <w:vertAlign w:val="superscript"/>
          <w14:ligatures w14:val="none"/>
        </w:rPr>
        <w:footnoteReference w:id="40"/>
      </w:r>
      <w:r w:rsidRPr="00FB0B2F">
        <w:rPr>
          <w:rFonts w:cs="Times New Roman"/>
          <w:kern w:val="0"/>
          <w:szCs w:val="24"/>
          <w14:ligatures w14:val="none"/>
        </w:rPr>
        <w:t xml:space="preserve">  The court may hold a show-cause hearing giving the law firm an opportunity to respond after adequate time to find evidence</w:t>
      </w:r>
      <w:r w:rsidRPr="00FB0B2F">
        <w:rPr>
          <w:rFonts w:cs="Times New Roman"/>
          <w:color w:val="222222"/>
          <w:kern w:val="0"/>
          <w:szCs w:val="24"/>
          <w:shd w:val="clear" w:color="auto" w:fill="FFFFFF"/>
          <w14:ligatures w14:val="none"/>
        </w:rPr>
        <w:t xml:space="preserve"> supporting the allegation</w:t>
      </w:r>
      <w:r w:rsidRPr="00FB0B2F">
        <w:rPr>
          <w:rFonts w:cs="Times New Roman"/>
          <w:kern w:val="0"/>
          <w:szCs w:val="24"/>
          <w14:ligatures w14:val="none"/>
        </w:rPr>
        <w:t xml:space="preserve"> by </w:t>
      </w:r>
      <w:r w:rsidRPr="00FB0B2F">
        <w:rPr>
          <w:rFonts w:cs="Times New Roman"/>
          <w:color w:val="222222"/>
          <w:kern w:val="0"/>
          <w:szCs w:val="24"/>
          <w:shd w:val="clear" w:color="auto" w:fill="FFFFFF"/>
          <w14:ligatures w14:val="none"/>
        </w:rPr>
        <w:t>discovery, formal or informal, from opposing parties or third persons.</w:t>
      </w:r>
      <w:r w:rsidRPr="00FB0B2F">
        <w:rPr>
          <w:rFonts w:cs="Times New Roman"/>
          <w:color w:val="222222"/>
          <w:kern w:val="0"/>
          <w:szCs w:val="24"/>
          <w:shd w:val="clear" w:color="auto" w:fill="FFFFFF"/>
          <w:vertAlign w:val="superscript"/>
          <w14:ligatures w14:val="none"/>
        </w:rPr>
        <w:footnoteReference w:id="41"/>
      </w:r>
      <w:r w:rsidRPr="00FB0B2F">
        <w:rPr>
          <w:rFonts w:cs="Times New Roman"/>
          <w:color w:val="222222"/>
          <w:kern w:val="0"/>
          <w:szCs w:val="24"/>
          <w:shd w:val="clear" w:color="auto" w:fill="FFFFFF"/>
          <w14:ligatures w14:val="none"/>
        </w:rPr>
        <w:t xml:space="preserve">  </w:t>
      </w:r>
    </w:p>
    <w:p w14:paraId="383DE4DE"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t xml:space="preserve">The court should not be reluctant to summarily sanction </w:t>
      </w:r>
      <w:proofErr w:type="spellStart"/>
      <w:r w:rsidRPr="00FB0B2F">
        <w:rPr>
          <w:rFonts w:cs="Times New Roman"/>
          <w:i/>
          <w:iCs/>
          <w:kern w:val="0"/>
          <w:szCs w:val="24"/>
          <w14:ligatures w14:val="none"/>
        </w:rPr>
        <w:t>sua</w:t>
      </w:r>
      <w:proofErr w:type="spellEnd"/>
      <w:r w:rsidRPr="00FB0B2F">
        <w:rPr>
          <w:rFonts w:cs="Times New Roman"/>
          <w:i/>
          <w:iCs/>
          <w:kern w:val="0"/>
          <w:szCs w:val="24"/>
          <w14:ligatures w14:val="none"/>
        </w:rPr>
        <w:t xml:space="preserve"> sponte</w:t>
      </w:r>
      <w:r w:rsidRPr="00FB0B2F">
        <w:rPr>
          <w:rFonts w:cs="Times New Roman"/>
          <w:kern w:val="0"/>
          <w:szCs w:val="24"/>
          <w14:ligatures w14:val="none"/>
        </w:rPr>
        <w:t xml:space="preserve"> a law firm for repeated violations consistent with FED. R. CIV. P. 11(c)(3) to deter such repetitive conduct, taking into account “what amount, given the financial resources of the responsible person, is needed to deter that person from repetition in the same case; what amount is needed to deter similar activity by other litigants.”</w:t>
      </w:r>
      <w:r w:rsidRPr="00FB0B2F">
        <w:rPr>
          <w:rFonts w:cs="Times New Roman"/>
          <w:kern w:val="0"/>
          <w:szCs w:val="24"/>
          <w:vertAlign w:val="superscript"/>
          <w14:ligatures w14:val="none"/>
        </w:rPr>
        <w:footnoteReference w:id="42"/>
      </w:r>
      <w:r w:rsidRPr="00FB0B2F">
        <w:rPr>
          <w:rFonts w:cs="Times New Roman"/>
          <w:kern w:val="0"/>
          <w:szCs w:val="24"/>
          <w14:ligatures w14:val="none"/>
        </w:rPr>
        <w:t xml:space="preserve">  A court-ordered sanction provides the transferee judge with an effective deterrent in a mass-tort MDL, especially when it targets a single law firm that files large numbers of unsupportable actions, and not an individual lawyer.</w:t>
      </w:r>
      <w:r w:rsidRPr="00FB0B2F">
        <w:rPr>
          <w:rFonts w:cs="Times New Roman"/>
          <w:kern w:val="0"/>
          <w:szCs w:val="24"/>
          <w:vertAlign w:val="superscript"/>
          <w14:ligatures w14:val="none"/>
        </w:rPr>
        <w:footnoteReference w:id="43"/>
      </w:r>
    </w:p>
    <w:p w14:paraId="3981D9E9" w14:textId="77777777" w:rsidR="00FB0B2F" w:rsidRPr="00FB0B2F" w:rsidRDefault="00FB0B2F" w:rsidP="00FB0B2F">
      <w:pPr>
        <w:spacing w:after="0" w:line="360" w:lineRule="auto"/>
        <w:ind w:firstLine="720"/>
        <w:jc w:val="both"/>
        <w:rPr>
          <w:rFonts w:cs="Times New Roman"/>
          <w:kern w:val="0"/>
          <w:szCs w:val="24"/>
          <w14:ligatures w14:val="none"/>
        </w:rPr>
      </w:pPr>
      <w:r w:rsidRPr="00FB0B2F">
        <w:rPr>
          <w:rFonts w:cs="Times New Roman"/>
          <w:kern w:val="0"/>
          <w:szCs w:val="24"/>
          <w14:ligatures w14:val="none"/>
        </w:rPr>
        <w:lastRenderedPageBreak/>
        <w:t xml:space="preserve">The sanction should be imposed on the law firm. Sanctions on the individual lawyer carry greater professional consequences for the individual, a consequence that judges often are reluctant to accept. The fine is payable to the court. The court should consider issuing a notice in an early case-management order alerting all parties that the court may impose a penalty </w:t>
      </w:r>
      <w:proofErr w:type="spellStart"/>
      <w:r w:rsidRPr="00FB0B2F">
        <w:rPr>
          <w:rFonts w:cs="Times New Roman"/>
          <w:i/>
          <w:iCs/>
          <w:kern w:val="0"/>
          <w:szCs w:val="24"/>
          <w14:ligatures w14:val="none"/>
        </w:rPr>
        <w:t>sua</w:t>
      </w:r>
      <w:proofErr w:type="spellEnd"/>
      <w:r w:rsidRPr="00FB0B2F">
        <w:rPr>
          <w:rFonts w:cs="Times New Roman"/>
          <w:i/>
          <w:iCs/>
          <w:kern w:val="0"/>
          <w:szCs w:val="24"/>
          <w14:ligatures w14:val="none"/>
        </w:rPr>
        <w:t xml:space="preserve"> sponte</w:t>
      </w:r>
      <w:r w:rsidRPr="00FB0B2F">
        <w:rPr>
          <w:rFonts w:cs="Times New Roman"/>
          <w:kern w:val="0"/>
          <w:szCs w:val="24"/>
          <w14:ligatures w14:val="none"/>
        </w:rPr>
        <w:t xml:space="preserve"> on a law firm summarily for filing multiple frivolous or meritless actions that have no evidentiary support in accordance with Rule 11(c)(3).</w:t>
      </w:r>
      <w:r w:rsidRPr="00FB0B2F">
        <w:rPr>
          <w:rFonts w:cs="Times New Roman"/>
          <w:kern w:val="0"/>
          <w:szCs w:val="24"/>
          <w:vertAlign w:val="superscript"/>
          <w14:ligatures w14:val="none"/>
        </w:rPr>
        <w:footnoteReference w:id="44"/>
      </w:r>
      <w:r w:rsidRPr="00FB0B2F">
        <w:rPr>
          <w:rFonts w:cs="Times New Roman"/>
          <w:kern w:val="0"/>
          <w:szCs w:val="24"/>
          <w14:ligatures w14:val="none"/>
        </w:rPr>
        <w:t xml:space="preserve"> The prophylactic threat of such a sanction may facilitate the expeditious, economical, and just resolution of the litigation and, by encouraging compliance with Rule 11, reduce the need for actual sanctions.</w:t>
      </w:r>
      <w:r w:rsidRPr="00FB0B2F">
        <w:rPr>
          <w:rFonts w:cs="Times New Roman"/>
          <w:kern w:val="0"/>
          <w:szCs w:val="24"/>
          <w:vertAlign w:val="superscript"/>
          <w14:ligatures w14:val="none"/>
        </w:rPr>
        <w:footnoteReference w:id="45"/>
      </w:r>
      <w:r w:rsidRPr="00FB0B2F">
        <w:rPr>
          <w:rFonts w:cs="Times New Roman"/>
          <w:kern w:val="0"/>
          <w:szCs w:val="24"/>
          <w14:ligatures w14:val="none"/>
        </w:rPr>
        <w:t xml:space="preserve"> </w:t>
      </w:r>
    </w:p>
    <w:p w14:paraId="1F775EDA" w14:textId="77777777" w:rsidR="00C624D6" w:rsidRDefault="00C624D6"/>
    <w:sectPr w:rsidR="00C624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05F8B" w14:textId="77777777" w:rsidR="002F3D01" w:rsidRDefault="002F3D01" w:rsidP="00FB0B2F">
      <w:pPr>
        <w:spacing w:after="0" w:line="240" w:lineRule="auto"/>
      </w:pPr>
      <w:r>
        <w:separator/>
      </w:r>
    </w:p>
  </w:endnote>
  <w:endnote w:type="continuationSeparator" w:id="0">
    <w:p w14:paraId="7661DD20" w14:textId="77777777" w:rsidR="002F3D01" w:rsidRDefault="002F3D01" w:rsidP="00FB0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C018D" w14:textId="77777777" w:rsidR="002F3D01" w:rsidRDefault="002F3D01" w:rsidP="00FB0B2F">
      <w:pPr>
        <w:spacing w:after="0" w:line="240" w:lineRule="auto"/>
      </w:pPr>
      <w:r>
        <w:separator/>
      </w:r>
    </w:p>
  </w:footnote>
  <w:footnote w:type="continuationSeparator" w:id="0">
    <w:p w14:paraId="3C544F80" w14:textId="77777777" w:rsidR="002F3D01" w:rsidRDefault="002F3D01" w:rsidP="00FB0B2F">
      <w:pPr>
        <w:spacing w:after="0" w:line="240" w:lineRule="auto"/>
      </w:pPr>
      <w:r>
        <w:continuationSeparator/>
      </w:r>
    </w:p>
  </w:footnote>
  <w:footnote w:id="1">
    <w:p w14:paraId="2FF0F2CC" w14:textId="77777777" w:rsidR="00FB0B2F" w:rsidRPr="007301DD" w:rsidRDefault="00FB0B2F" w:rsidP="00FB0B2F">
      <w:pPr>
        <w:pStyle w:val="FootnoteText"/>
        <w:jc w:val="both"/>
      </w:pPr>
      <w:r w:rsidRPr="007301DD">
        <w:rPr>
          <w:rStyle w:val="FootnoteReference"/>
        </w:rPr>
        <w:footnoteRef/>
      </w:r>
      <w:r w:rsidRPr="007301DD">
        <w:t xml:space="preserve"> </w:t>
      </w:r>
      <w:r w:rsidRPr="007301DD">
        <w:rPr>
          <w:i/>
        </w:rPr>
        <w:t>Id.</w:t>
      </w:r>
      <w:r w:rsidRPr="007301DD">
        <w:t xml:space="preserve"> (“Research by the Federal Judicial Center showed that in nearly 90% of large MDLs a [Plaintiff Fact Sheet] is already employed”).  </w:t>
      </w:r>
      <w:r>
        <w:t>Courts also require the defendant to file comparable fact sheets.</w:t>
      </w:r>
    </w:p>
  </w:footnote>
  <w:footnote w:id="2">
    <w:p w14:paraId="499F46AA" w14:textId="77777777" w:rsidR="00FB0B2F" w:rsidRPr="007301DD" w:rsidRDefault="00FB0B2F" w:rsidP="00FB0B2F">
      <w:pPr>
        <w:pStyle w:val="FootnoteText"/>
        <w:jc w:val="both"/>
      </w:pPr>
      <w:r w:rsidRPr="007301DD">
        <w:rPr>
          <w:rStyle w:val="FootnoteReference"/>
        </w:rPr>
        <w:footnoteRef/>
      </w:r>
      <w:r w:rsidRPr="007301DD">
        <w:t xml:space="preserve"> Advisory Committee on Civil Rules, Agenda Book (April 23, 2021), </w:t>
      </w:r>
      <w:r w:rsidRPr="007301DD">
        <w:rPr>
          <w:i/>
        </w:rPr>
        <w:t xml:space="preserve">Multidistrict Litigation Subcommittee Report </w:t>
      </w:r>
      <w:r w:rsidRPr="007301DD">
        <w:t>at 159</w:t>
      </w:r>
      <w:r>
        <w:t xml:space="preserve">; </w:t>
      </w:r>
      <w:r w:rsidRPr="006032FA">
        <w:rPr>
          <w:i/>
          <w:iCs/>
        </w:rPr>
        <w:t>see</w:t>
      </w:r>
      <w:r>
        <w:t xml:space="preserve"> Best Practice, Rabiej Litigation Law Center Index for specific topic (full discussion describing fact sheets submitted in mass-tort MDLs). </w:t>
      </w:r>
      <w:r w:rsidRPr="007301DD">
        <w:t xml:space="preserve">  </w:t>
      </w:r>
    </w:p>
  </w:footnote>
  <w:footnote w:id="3">
    <w:p w14:paraId="7E66B754" w14:textId="77777777" w:rsidR="00FB0B2F" w:rsidRDefault="00FB0B2F" w:rsidP="00FB0B2F">
      <w:pPr>
        <w:pStyle w:val="FootnoteText"/>
        <w:jc w:val="both"/>
      </w:pPr>
      <w:r>
        <w:rPr>
          <w:rStyle w:val="FootnoteReference"/>
        </w:rPr>
        <w:footnoteRef/>
      </w:r>
      <w:r>
        <w:t xml:space="preserve"> The Advisory Committee on Bankruptcy Rules is keenly sensitive to the concerns of vendors of software programs who provide electronic “fillable” versions of the Official Forms for the public to use. Any local variations require changes to software.  </w:t>
      </w:r>
    </w:p>
  </w:footnote>
  <w:footnote w:id="4">
    <w:p w14:paraId="45940DF9" w14:textId="77777777" w:rsidR="00FB0B2F" w:rsidRDefault="00FB0B2F" w:rsidP="00FB0B2F">
      <w:pPr>
        <w:pStyle w:val="FootnoteText"/>
        <w:jc w:val="both"/>
      </w:pPr>
      <w:r>
        <w:rPr>
          <w:rStyle w:val="FootnoteReference"/>
        </w:rPr>
        <w:footnoteRef/>
      </w:r>
      <w:r>
        <w:t xml:space="preserve"> Fed. R. Bk. P. 9009(a).</w:t>
      </w:r>
    </w:p>
  </w:footnote>
  <w:footnote w:id="5">
    <w:p w14:paraId="5BE8D80E" w14:textId="77777777" w:rsidR="00FB0B2F" w:rsidRDefault="00FB0B2F" w:rsidP="00FB0B2F">
      <w:pPr>
        <w:pStyle w:val="FootnoteText"/>
        <w:jc w:val="both"/>
      </w:pPr>
      <w:r>
        <w:rPr>
          <w:rStyle w:val="FootnoteReference"/>
        </w:rPr>
        <w:footnoteRef/>
      </w:r>
      <w:r>
        <w:t xml:space="preserve"> </w:t>
      </w:r>
      <w:r>
        <w:rPr>
          <w:rFonts w:cs="Times New Roman"/>
        </w:rPr>
        <w:t xml:space="preserve">Fed. R. Bk. P. 3001(a) is one of only nine rules, which </w:t>
      </w:r>
      <w:proofErr w:type="gramStart"/>
      <w:r>
        <w:rPr>
          <w:rFonts w:cs="Times New Roman"/>
        </w:rPr>
        <w:t>permits</w:t>
      </w:r>
      <w:proofErr w:type="gramEnd"/>
      <w:r>
        <w:rPr>
          <w:rFonts w:cs="Times New Roman"/>
        </w:rPr>
        <w:t xml:space="preserve"> alterations to certain Official Forms.  </w:t>
      </w:r>
      <w:r w:rsidRPr="007376F9">
        <w:rPr>
          <w:rFonts w:cs="Times New Roman"/>
          <w:i/>
          <w:iCs/>
        </w:rPr>
        <w:t>See</w:t>
      </w:r>
      <w:r>
        <w:rPr>
          <w:rFonts w:cs="Times New Roman"/>
        </w:rPr>
        <w:t xml:space="preserve"> Administrative Office of United States Courts, website About the Rulemaking Process.</w:t>
      </w:r>
    </w:p>
  </w:footnote>
  <w:footnote w:id="6">
    <w:p w14:paraId="0EB57FAF" w14:textId="77777777" w:rsidR="00FB0B2F" w:rsidRDefault="00FB0B2F" w:rsidP="00FB0B2F">
      <w:pPr>
        <w:pStyle w:val="FootnoteText"/>
        <w:jc w:val="both"/>
      </w:pPr>
      <w:r>
        <w:rPr>
          <w:rStyle w:val="FootnoteReference"/>
        </w:rPr>
        <w:footnoteRef/>
      </w:r>
      <w:r w:rsidRPr="004633FC">
        <w:t>“In the subcommittee’s judgment, the added language –although imposing a standard and not an exacting rule—should make clear the intention of limiting changes to an Official Form but allowing appropriate deviations from a ‘pixel to pixel’ reproduction.”</w:t>
      </w:r>
      <w:r>
        <w:t xml:space="preserve"> </w:t>
      </w:r>
    </w:p>
  </w:footnote>
  <w:footnote w:id="7">
    <w:p w14:paraId="63F013F2" w14:textId="77777777" w:rsidR="00FB0B2F" w:rsidRDefault="00FB0B2F" w:rsidP="00FB0B2F">
      <w:pPr>
        <w:pStyle w:val="FootnoteText"/>
        <w:jc w:val="both"/>
      </w:pPr>
      <w:r>
        <w:rPr>
          <w:rStyle w:val="FootnoteReference"/>
        </w:rPr>
        <w:footnoteRef/>
      </w:r>
      <w:r>
        <w:t xml:space="preserve"> </w:t>
      </w:r>
      <w:r w:rsidRPr="002601D2">
        <w:rPr>
          <w:i/>
          <w:iCs/>
        </w:rPr>
        <w:t>See</w:t>
      </w:r>
      <w:r>
        <w:t xml:space="preserve"> Gibson, Elizabeth, Judicial Management of Mass Tort Bankruptcy Cases, pp. 75-76, Federal Judicial Center (2005).</w:t>
      </w:r>
    </w:p>
  </w:footnote>
  <w:footnote w:id="8">
    <w:p w14:paraId="0C3A0DAC" w14:textId="77777777" w:rsidR="00FB0B2F" w:rsidRDefault="00FB0B2F" w:rsidP="00FB0B2F">
      <w:pPr>
        <w:pStyle w:val="FootnoteText"/>
        <w:jc w:val="both"/>
      </w:pPr>
      <w:r>
        <w:rPr>
          <w:rStyle w:val="FootnoteReference"/>
        </w:rPr>
        <w:footnoteRef/>
      </w:r>
      <w:r>
        <w:t xml:space="preserve"> </w:t>
      </w:r>
      <w:r w:rsidRPr="002601D2">
        <w:rPr>
          <w:i/>
          <w:iCs/>
        </w:rPr>
        <w:t>Id</w:t>
      </w:r>
      <w:r>
        <w:t>. at p. 76.</w:t>
      </w:r>
    </w:p>
  </w:footnote>
  <w:footnote w:id="9">
    <w:p w14:paraId="2A2B4266" w14:textId="77777777" w:rsidR="00FB0B2F" w:rsidRDefault="00FB0B2F" w:rsidP="00FB0B2F">
      <w:pPr>
        <w:pStyle w:val="FootnoteText"/>
        <w:jc w:val="both"/>
      </w:pPr>
      <w:r>
        <w:rPr>
          <w:rStyle w:val="FootnoteReference"/>
        </w:rPr>
        <w:footnoteRef/>
      </w:r>
      <w:r>
        <w:t xml:space="preserve"> </w:t>
      </w:r>
      <w:r w:rsidRPr="00580E0E">
        <w:rPr>
          <w:i/>
          <w:iCs/>
        </w:rPr>
        <w:t>LTL Management LLC</w:t>
      </w:r>
      <w:r>
        <w:t>, 23-12825, Doc. 1021-3 (July 12, 2023).  (</w:t>
      </w:r>
      <w:r w:rsidRPr="009B7227">
        <w:rPr>
          <w:i/>
          <w:iCs/>
        </w:rPr>
        <w:t>Compare</w:t>
      </w:r>
      <w:r>
        <w:t xml:space="preserve"> </w:t>
      </w:r>
      <w:r>
        <w:rPr>
          <w:rFonts w:cs="Times New Roman"/>
        </w:rPr>
        <w:t xml:space="preserve">the information requested in </w:t>
      </w:r>
      <w:r w:rsidRPr="005511A2">
        <w:rPr>
          <w:rFonts w:cs="Times New Roman"/>
          <w:i/>
          <w:iCs/>
        </w:rPr>
        <w:t xml:space="preserve">LTL Management </w:t>
      </w:r>
      <w:r>
        <w:rPr>
          <w:rFonts w:cs="Times New Roman"/>
        </w:rPr>
        <w:t>with the abbreviated seven-page Plaintiff Fact Sheet in</w:t>
      </w:r>
      <w:r>
        <w:t xml:space="preserve"> </w:t>
      </w:r>
      <w:r w:rsidRPr="005511A2">
        <w:rPr>
          <w:i/>
          <w:iCs/>
        </w:rPr>
        <w:t>Bard Implanted Port Catheter</w:t>
      </w:r>
      <w:r>
        <w:t xml:space="preserve">, MDL No. 308, </w:t>
      </w:r>
      <w:r>
        <w:rPr>
          <w:rFonts w:cs="Times New Roman"/>
        </w:rPr>
        <w:t>which required information identifying the device, physician’s name, failure of device, removal information, cause if injury, and injury.  The plaintiff was required to submit medical records documenting the diagnosis and treatment.)</w:t>
      </w:r>
    </w:p>
  </w:footnote>
  <w:footnote w:id="10">
    <w:p w14:paraId="589EFE66" w14:textId="77777777" w:rsidR="00FB0B2F" w:rsidRDefault="00FB0B2F" w:rsidP="00FB0B2F">
      <w:pPr>
        <w:pStyle w:val="FootnoteText"/>
        <w:jc w:val="both"/>
      </w:pPr>
      <w:r>
        <w:rPr>
          <w:rStyle w:val="FootnoteReference"/>
        </w:rPr>
        <w:footnoteRef/>
      </w:r>
      <w:r>
        <w:t xml:space="preserve"> Gibson, Elizabeth, Judicial Management of Mass Tort Bankruptcy Cases, p. 77, Federal Judicial Center (2005) (“To conform with substantially to official Form 10 (predecessor to Form 410), the special claim form should elicit basic information about the nature and basis of the claim without creating an obstacle that will discourage persons from filing legitimate claims.”) </w:t>
      </w:r>
    </w:p>
  </w:footnote>
  <w:footnote w:id="11">
    <w:p w14:paraId="6692637F" w14:textId="77777777" w:rsidR="00FB0B2F" w:rsidRDefault="00FB0B2F" w:rsidP="00FB0B2F">
      <w:pPr>
        <w:pStyle w:val="FootnoteText"/>
      </w:pPr>
      <w:r>
        <w:rPr>
          <w:rStyle w:val="FootnoteReference"/>
        </w:rPr>
        <w:footnoteRef/>
      </w:r>
      <w:r>
        <w:t xml:space="preserve"> FED. R. CIV. P. 16.1, Committee Note (December 1, 2025).</w:t>
      </w:r>
    </w:p>
  </w:footnote>
  <w:footnote w:id="12">
    <w:p w14:paraId="4591A180" w14:textId="77777777" w:rsidR="00FB0B2F" w:rsidRPr="00021D77" w:rsidRDefault="00FB0B2F" w:rsidP="00FB0B2F">
      <w:pPr>
        <w:pStyle w:val="FootnoteText"/>
        <w:jc w:val="both"/>
        <w:rPr>
          <w:rFonts w:cs="Times New Roman"/>
        </w:rPr>
      </w:pPr>
      <w:r w:rsidRPr="00982255">
        <w:rPr>
          <w:rStyle w:val="FootnoteReference"/>
          <w:rFonts w:cs="Times New Roman"/>
        </w:rPr>
        <w:footnoteRef/>
      </w:r>
      <w:r w:rsidRPr="00982255">
        <w:rPr>
          <w:rFonts w:cs="Times New Roman"/>
        </w:rPr>
        <w:t xml:space="preserve"> </w:t>
      </w:r>
      <w:r w:rsidRPr="00982255">
        <w:rPr>
          <w:rFonts w:cs="Times New Roman"/>
          <w:i/>
          <w:iCs/>
        </w:rPr>
        <w:t xml:space="preserve">See </w:t>
      </w:r>
      <w:proofErr w:type="spellStart"/>
      <w:r w:rsidRPr="00982255">
        <w:rPr>
          <w:rFonts w:cs="Times New Roman"/>
        </w:rPr>
        <w:t>Rubris</w:t>
      </w:r>
      <w:proofErr w:type="spellEnd"/>
      <w:r w:rsidRPr="00982255">
        <w:rPr>
          <w:rFonts w:cs="Times New Roman"/>
        </w:rPr>
        <w:t xml:space="preserve"> Crosslink or Brown Greer’s MDL Centr</w:t>
      </w:r>
      <w:r>
        <w:rPr>
          <w:rFonts w:cs="Times New Roman"/>
        </w:rPr>
        <w:t>a</w:t>
      </w:r>
      <w:r w:rsidRPr="00982255">
        <w:rPr>
          <w:rFonts w:cs="Times New Roman"/>
        </w:rPr>
        <w:t xml:space="preserve">lity as popular platforms. </w:t>
      </w:r>
      <w:r w:rsidRPr="00982255">
        <w:rPr>
          <w:rFonts w:cs="Times New Roman"/>
          <w:i/>
          <w:iCs/>
        </w:rPr>
        <w:t>See also</w:t>
      </w:r>
      <w:r w:rsidRPr="00982255">
        <w:rPr>
          <w:rFonts w:cs="Times New Roman"/>
        </w:rPr>
        <w:t xml:space="preserve"> </w:t>
      </w:r>
      <w:r>
        <w:t>Best Practice, Rabiej Litigation Law Center Index for specific topic</w:t>
      </w:r>
      <w:r w:rsidRPr="00021D77">
        <w:rPr>
          <w:rFonts w:cs="Times New Roman"/>
        </w:rPr>
        <w:t>, which addresses a central-exchange platform containing, among other things, the parties’ fact sheets.</w:t>
      </w:r>
    </w:p>
  </w:footnote>
  <w:footnote w:id="13">
    <w:p w14:paraId="7EED8DE1" w14:textId="77777777" w:rsidR="00FB0B2F" w:rsidRDefault="00FB0B2F" w:rsidP="00FB0B2F">
      <w:pPr>
        <w:pStyle w:val="FootnoteText"/>
        <w:jc w:val="both"/>
      </w:pPr>
      <w:r>
        <w:rPr>
          <w:rStyle w:val="FootnoteReference"/>
        </w:rPr>
        <w:footnoteRef/>
      </w:r>
      <w:r>
        <w:t xml:space="preserve"> </w:t>
      </w:r>
      <w:r w:rsidRPr="0060162F">
        <w:rPr>
          <w:rFonts w:cs="Times New Roman"/>
          <w:i/>
          <w:iCs/>
        </w:rPr>
        <w:t xml:space="preserve">See In Re: Bard Implanted </w:t>
      </w:r>
      <w:r>
        <w:rPr>
          <w:rFonts w:cs="Times New Roman"/>
          <w:i/>
          <w:iCs/>
        </w:rPr>
        <w:t>P</w:t>
      </w:r>
      <w:r w:rsidRPr="0060162F">
        <w:rPr>
          <w:rFonts w:cs="Times New Roman"/>
          <w:i/>
          <w:iCs/>
        </w:rPr>
        <w:t xml:space="preserve">ort Catheter Prod. </w:t>
      </w:r>
      <w:proofErr w:type="spellStart"/>
      <w:r w:rsidRPr="0060162F">
        <w:rPr>
          <w:rFonts w:cs="Times New Roman"/>
          <w:i/>
          <w:iCs/>
        </w:rPr>
        <w:t>Liab</w:t>
      </w:r>
      <w:proofErr w:type="spellEnd"/>
      <w:r w:rsidRPr="0060162F">
        <w:rPr>
          <w:rFonts w:cs="Times New Roman"/>
          <w:i/>
          <w:iCs/>
        </w:rPr>
        <w:t>. Litig</w:t>
      </w:r>
      <w:r>
        <w:rPr>
          <w:rFonts w:cs="Times New Roman"/>
        </w:rPr>
        <w:t>., MDL No. 3081, Case Management Order No. 8, p.1 (Nov. 11, 2023) (Parties agreed to an “abbreviated Plaintiff Profile Form and an abbreviated Defendant Profile Form.”  Extensive fact sheets were used for bellwether cases.)</w:t>
      </w:r>
    </w:p>
  </w:footnote>
  <w:footnote w:id="14">
    <w:p w14:paraId="7A68DD88" w14:textId="77777777" w:rsidR="00FB0B2F" w:rsidRPr="00757079" w:rsidRDefault="00FB0B2F" w:rsidP="00FB0B2F">
      <w:pPr>
        <w:pStyle w:val="FootnoteText"/>
        <w:jc w:val="both"/>
        <w:rPr>
          <w:rFonts w:cs="Times New Roman"/>
        </w:rPr>
      </w:pPr>
      <w:r>
        <w:rPr>
          <w:rStyle w:val="FootnoteReference"/>
        </w:rPr>
        <w:footnoteRef/>
      </w:r>
      <w:r>
        <w:t xml:space="preserve"> </w:t>
      </w:r>
      <w:r w:rsidRPr="00E66D04">
        <w:rPr>
          <w:rFonts w:cs="Times New Roman"/>
          <w:i/>
          <w:iCs/>
        </w:rPr>
        <w:t>See</w:t>
      </w:r>
      <w:r>
        <w:rPr>
          <w:rFonts w:cs="Times New Roman"/>
        </w:rPr>
        <w:t>, FED. R. CIV. P. 16.1(b)(3)(B), Committee Note (December 1, 2025) (“Alternatively, in some cases, transferee judges have ordered that such exchanges of information (fact sheets) be made under Rule 33 or 34.”)</w:t>
      </w:r>
    </w:p>
  </w:footnote>
  <w:footnote w:id="15">
    <w:p w14:paraId="2407A0B8" w14:textId="77777777" w:rsidR="00FB0B2F" w:rsidRDefault="00FB0B2F" w:rsidP="00FB0B2F">
      <w:pPr>
        <w:pStyle w:val="NoSpacing"/>
        <w:jc w:val="both"/>
      </w:pPr>
      <w:r w:rsidRPr="000053D0">
        <w:rPr>
          <w:rStyle w:val="FootnoteReference"/>
          <w:sz w:val="20"/>
          <w:szCs w:val="20"/>
        </w:rPr>
        <w:footnoteRef/>
      </w:r>
      <w:r>
        <w:t xml:space="preserve"> </w:t>
      </w:r>
      <w:r w:rsidRPr="00386CED">
        <w:rPr>
          <w:rFonts w:cs="Times New Roman"/>
          <w:sz w:val="20"/>
          <w:szCs w:val="20"/>
        </w:rPr>
        <w:t>The Committee Note to Rule 16.1(b)(3)(B) describes “</w:t>
      </w:r>
      <w:r>
        <w:rPr>
          <w:rFonts w:cs="Times New Roman"/>
          <w:sz w:val="20"/>
          <w:szCs w:val="20"/>
        </w:rPr>
        <w:t>’</w:t>
      </w:r>
      <w:r w:rsidRPr="00386CED">
        <w:rPr>
          <w:rFonts w:cs="Times New Roman"/>
          <w:sz w:val="20"/>
          <w:szCs w:val="20"/>
        </w:rPr>
        <w:t xml:space="preserve">fact sheets’ or a ‘census’ as methods to take a survey of the claims and defenses presented, largely as a management method for planning and organizing proceedings.” But plaintiff and defendant fact sheets play a far greater role and provide not only information useful for case management, including the identities of parties and their </w:t>
      </w:r>
      <w:proofErr w:type="gramStart"/>
      <w:r w:rsidRPr="00386CED">
        <w:rPr>
          <w:rFonts w:cs="Times New Roman"/>
          <w:sz w:val="20"/>
          <w:szCs w:val="20"/>
        </w:rPr>
        <w:t>particular claims</w:t>
      </w:r>
      <w:proofErr w:type="gramEnd"/>
      <w:r w:rsidRPr="00386CED">
        <w:rPr>
          <w:rFonts w:cs="Times New Roman"/>
          <w:sz w:val="20"/>
          <w:szCs w:val="20"/>
        </w:rPr>
        <w:t xml:space="preserve">, but also information on the viability of the claim or defense asserted.  </w:t>
      </w:r>
    </w:p>
  </w:footnote>
  <w:footnote w:id="16">
    <w:p w14:paraId="53AD857D" w14:textId="77777777" w:rsidR="00FB0B2F" w:rsidRPr="001C67F1" w:rsidRDefault="00FB0B2F" w:rsidP="00FB0B2F">
      <w:pPr>
        <w:pStyle w:val="FootnoteText"/>
        <w:jc w:val="both"/>
        <w:rPr>
          <w:rFonts w:cs="Times New Roman"/>
        </w:rPr>
      </w:pPr>
      <w:r>
        <w:rPr>
          <w:rStyle w:val="FootnoteReference"/>
        </w:rPr>
        <w:footnoteRef/>
      </w:r>
      <w:r>
        <w:t xml:space="preserve"> </w:t>
      </w:r>
      <w:r w:rsidRPr="001C67F1">
        <w:rPr>
          <w:rFonts w:cs="Times New Roman"/>
        </w:rPr>
        <w:t>The court should be aware that defendants will settle claims</w:t>
      </w:r>
      <w:r>
        <w:rPr>
          <w:rFonts w:cs="Times New Roman"/>
        </w:rPr>
        <w:t xml:space="preserve"> that may not have evidentiary support as a strategic tactic to reduce the average-settlement amount, which creates a more favorable comparative metric when negotiating separate inventory settlements.   </w:t>
      </w:r>
    </w:p>
  </w:footnote>
  <w:footnote w:id="17">
    <w:p w14:paraId="42E6F3A9" w14:textId="77777777" w:rsidR="00FB0B2F" w:rsidRPr="00062EBC" w:rsidRDefault="00FB0B2F" w:rsidP="00FB0B2F">
      <w:pPr>
        <w:pStyle w:val="FootnoteText"/>
        <w:jc w:val="both"/>
        <w:rPr>
          <w:rFonts w:cs="Times New Roman"/>
        </w:rPr>
      </w:pPr>
      <w:r>
        <w:rPr>
          <w:rStyle w:val="FootnoteReference"/>
        </w:rPr>
        <w:footnoteRef/>
      </w:r>
      <w:r>
        <w:t xml:space="preserve"> </w:t>
      </w:r>
      <w:r>
        <w:rPr>
          <w:rFonts w:cs="Times New Roman"/>
        </w:rPr>
        <w:t>FED. R. CIV. P. 11, Committee Note (1983).</w:t>
      </w:r>
    </w:p>
  </w:footnote>
  <w:footnote w:id="18">
    <w:p w14:paraId="311E7FC6" w14:textId="77777777" w:rsidR="00FB0B2F" w:rsidRPr="00CA229A" w:rsidRDefault="00FB0B2F" w:rsidP="00FB0B2F">
      <w:pPr>
        <w:pStyle w:val="FootnoteText"/>
        <w:jc w:val="both"/>
        <w:rPr>
          <w:rFonts w:cs="Times New Roman"/>
        </w:rPr>
      </w:pPr>
      <w:r w:rsidRPr="00CA229A">
        <w:rPr>
          <w:rStyle w:val="FootnoteReference"/>
          <w:rFonts w:cs="Times New Roman"/>
        </w:rPr>
        <w:footnoteRef/>
      </w:r>
      <w:r w:rsidRPr="00CA229A">
        <w:rPr>
          <w:rFonts w:cs="Times New Roman"/>
        </w:rPr>
        <w:t xml:space="preserve"> </w:t>
      </w:r>
      <w:r w:rsidRPr="00944539">
        <w:rPr>
          <w:rFonts w:cs="Times New Roman"/>
          <w:i/>
          <w:iCs/>
        </w:rPr>
        <w:t>See</w:t>
      </w:r>
      <w:r>
        <w:rPr>
          <w:rFonts w:cs="Times New Roman"/>
        </w:rPr>
        <w:t xml:space="preserve"> FED. R. CIV. P. 8(a)(2); </w:t>
      </w:r>
      <w:proofErr w:type="gramStart"/>
      <w:r w:rsidRPr="00944539">
        <w:rPr>
          <w:rFonts w:cs="Times New Roman"/>
          <w:i/>
          <w:iCs/>
        </w:rPr>
        <w:t>see also</w:t>
      </w:r>
      <w:proofErr w:type="gramEnd"/>
      <w:r>
        <w:rPr>
          <w:rFonts w:cs="Times New Roman"/>
        </w:rPr>
        <w:t xml:space="preserve"> FED. R. CIV. P.</w:t>
      </w:r>
      <w:r w:rsidRPr="00CA229A">
        <w:rPr>
          <w:rFonts w:cs="Times New Roman"/>
        </w:rPr>
        <w:t xml:space="preserve"> 1</w:t>
      </w:r>
      <w:r>
        <w:rPr>
          <w:rFonts w:cs="Times New Roman"/>
        </w:rPr>
        <w:t>1,</w:t>
      </w:r>
      <w:r w:rsidRPr="00CA229A">
        <w:rPr>
          <w:rFonts w:cs="Times New Roman"/>
        </w:rPr>
        <w:t xml:space="preserve"> Committee </w:t>
      </w:r>
      <w:r>
        <w:rPr>
          <w:rFonts w:cs="Times New Roman"/>
        </w:rPr>
        <w:t>N</w:t>
      </w:r>
      <w:r w:rsidRPr="00CA229A">
        <w:rPr>
          <w:rFonts w:cs="Times New Roman"/>
        </w:rPr>
        <w:t xml:space="preserve">ote </w:t>
      </w:r>
      <w:r>
        <w:rPr>
          <w:rFonts w:cs="Times New Roman"/>
        </w:rPr>
        <w:t>(</w:t>
      </w:r>
      <w:r w:rsidRPr="00CA229A">
        <w:rPr>
          <w:rFonts w:cs="Times New Roman"/>
        </w:rPr>
        <w:t>1993) (</w:t>
      </w:r>
      <w:r>
        <w:rPr>
          <w:rFonts w:cs="Times New Roman"/>
        </w:rPr>
        <w:t xml:space="preserve">“That summary judgment is rendered against a </w:t>
      </w:r>
      <w:proofErr w:type="gramStart"/>
      <w:r>
        <w:rPr>
          <w:rFonts w:cs="Times New Roman"/>
        </w:rPr>
        <w:t>party</w:t>
      </w:r>
      <w:proofErr w:type="gramEnd"/>
      <w:r>
        <w:rPr>
          <w:rFonts w:cs="Times New Roman"/>
        </w:rPr>
        <w:t xml:space="preserve"> does not necessarily mean, for purposes of this certification, that it had no evidentiary support for its position.  On the other hand, if a party has evidence with respect to a contention that would suffice to defeat a motion for summary judgement based thereon, it </w:t>
      </w:r>
      <w:proofErr w:type="gramStart"/>
      <w:r>
        <w:rPr>
          <w:rFonts w:cs="Times New Roman"/>
        </w:rPr>
        <w:t>would</w:t>
      </w:r>
      <w:proofErr w:type="gramEnd"/>
      <w:r>
        <w:rPr>
          <w:rFonts w:cs="Times New Roman"/>
        </w:rPr>
        <w:t xml:space="preserve"> have sufficient ‘evidentiary support’ for purposes of Rule 11.”</w:t>
      </w:r>
    </w:p>
  </w:footnote>
  <w:footnote w:id="19">
    <w:p w14:paraId="7A189F8D" w14:textId="77777777" w:rsidR="00FB0B2F" w:rsidRPr="006A197E" w:rsidRDefault="00FB0B2F" w:rsidP="00FB0B2F">
      <w:pPr>
        <w:pStyle w:val="FootnoteText"/>
        <w:jc w:val="both"/>
        <w:rPr>
          <w:rFonts w:cs="Times New Roman"/>
        </w:rPr>
      </w:pPr>
      <w:r>
        <w:rPr>
          <w:rStyle w:val="FootnoteReference"/>
        </w:rPr>
        <w:footnoteRef/>
      </w:r>
      <w:r>
        <w:t xml:space="preserve"> </w:t>
      </w:r>
      <w:r>
        <w:rPr>
          <w:rFonts w:cs="Times New Roman"/>
          <w:i/>
          <w:iCs/>
        </w:rPr>
        <w:t>S</w:t>
      </w:r>
      <w:r w:rsidRPr="008225BB">
        <w:rPr>
          <w:rFonts w:cs="Times New Roman"/>
          <w:i/>
          <w:iCs/>
        </w:rPr>
        <w:t xml:space="preserve">ee In Re: Paraquat Prod. </w:t>
      </w:r>
      <w:proofErr w:type="spellStart"/>
      <w:r w:rsidRPr="008225BB">
        <w:rPr>
          <w:rFonts w:cs="Times New Roman"/>
          <w:i/>
          <w:iCs/>
        </w:rPr>
        <w:t>Liab</w:t>
      </w:r>
      <w:proofErr w:type="spellEnd"/>
      <w:r w:rsidRPr="008225BB">
        <w:rPr>
          <w:rFonts w:cs="Times New Roman"/>
          <w:i/>
          <w:iCs/>
        </w:rPr>
        <w:t>. Litig</w:t>
      </w:r>
      <w:r w:rsidRPr="008225BB">
        <w:rPr>
          <w:rFonts w:cs="Times New Roman"/>
        </w:rPr>
        <w:t xml:space="preserve">., MDL No. 3004, Case </w:t>
      </w:r>
      <w:r>
        <w:rPr>
          <w:rFonts w:cs="Times New Roman"/>
        </w:rPr>
        <w:t>M</w:t>
      </w:r>
      <w:r w:rsidRPr="008225BB">
        <w:rPr>
          <w:rFonts w:cs="Times New Roman"/>
        </w:rPr>
        <w:t>anagement Order No. 18 (May 15, 2023) (“parties</w:t>
      </w:r>
      <w:r>
        <w:rPr>
          <w:rFonts w:cs="Times New Roman"/>
        </w:rPr>
        <w:t xml:space="preserve"> ordered to meet and confer within the next two weeks regarding any pending cases that present theories of proof that </w:t>
      </w:r>
      <w:r w:rsidRPr="006A197E">
        <w:rPr>
          <w:rFonts w:cs="Times New Roman"/>
        </w:rPr>
        <w:t>are so implausible on their face that good faith demands their voluntary dismissal”).</w:t>
      </w:r>
    </w:p>
  </w:footnote>
  <w:footnote w:id="20">
    <w:p w14:paraId="1DADCF26" w14:textId="77777777" w:rsidR="00FB0B2F" w:rsidRDefault="00FB0B2F" w:rsidP="00FB0B2F">
      <w:pPr>
        <w:pStyle w:val="FootnoteText"/>
        <w:jc w:val="both"/>
      </w:pPr>
      <w:r>
        <w:rPr>
          <w:rStyle w:val="FootnoteReference"/>
        </w:rPr>
        <w:footnoteRef/>
      </w:r>
      <w:r>
        <w:t xml:space="preserve">  </w:t>
      </w:r>
      <w:r w:rsidRPr="0060162F">
        <w:rPr>
          <w:rFonts w:cs="Times New Roman"/>
          <w:i/>
          <w:iCs/>
        </w:rPr>
        <w:t xml:space="preserve">See In Re: Bard Implanted </w:t>
      </w:r>
      <w:r>
        <w:rPr>
          <w:rFonts w:cs="Times New Roman"/>
          <w:i/>
          <w:iCs/>
        </w:rPr>
        <w:t>P</w:t>
      </w:r>
      <w:r w:rsidRPr="0060162F">
        <w:rPr>
          <w:rFonts w:cs="Times New Roman"/>
          <w:i/>
          <w:iCs/>
        </w:rPr>
        <w:t xml:space="preserve">ort Catheter Prod. </w:t>
      </w:r>
      <w:proofErr w:type="spellStart"/>
      <w:r w:rsidRPr="0060162F">
        <w:rPr>
          <w:rFonts w:cs="Times New Roman"/>
          <w:i/>
          <w:iCs/>
        </w:rPr>
        <w:t>Liab</w:t>
      </w:r>
      <w:proofErr w:type="spellEnd"/>
      <w:r w:rsidRPr="0060162F">
        <w:rPr>
          <w:rFonts w:cs="Times New Roman"/>
          <w:i/>
          <w:iCs/>
        </w:rPr>
        <w:t>. Litig</w:t>
      </w:r>
      <w:r>
        <w:rPr>
          <w:rFonts w:cs="Times New Roman"/>
        </w:rPr>
        <w:t>., MDL No. 3081, Case Management Order No. 8, p. 1 (Nov. 22, 2023) (abbreviated profile form to be submitted within 30 days of filing the short-form complaint).</w:t>
      </w:r>
    </w:p>
  </w:footnote>
  <w:footnote w:id="21">
    <w:p w14:paraId="2FF0A013" w14:textId="77777777" w:rsidR="00FB0B2F" w:rsidRDefault="00FB0B2F" w:rsidP="00FB0B2F">
      <w:pPr>
        <w:pStyle w:val="FootnoteText"/>
        <w:jc w:val="both"/>
      </w:pPr>
      <w:r>
        <w:rPr>
          <w:rStyle w:val="FootnoteReference"/>
        </w:rPr>
        <w:footnoteRef/>
      </w:r>
      <w:r>
        <w:t xml:space="preserve"> </w:t>
      </w:r>
      <w:r>
        <w:rPr>
          <w:rFonts w:cs="Times New Roman"/>
        </w:rPr>
        <w:t>S</w:t>
      </w:r>
      <w:r w:rsidRPr="0060162F">
        <w:rPr>
          <w:rFonts w:cs="Times New Roman"/>
          <w:i/>
          <w:iCs/>
        </w:rPr>
        <w:t>ee</w:t>
      </w:r>
      <w:r>
        <w:rPr>
          <w:rFonts w:cs="Times New Roman"/>
          <w:i/>
          <w:iCs/>
        </w:rPr>
        <w:t xml:space="preserve"> </w:t>
      </w:r>
      <w:r w:rsidRPr="0060162F">
        <w:rPr>
          <w:rFonts w:cs="Times New Roman"/>
          <w:i/>
          <w:iCs/>
        </w:rPr>
        <w:t xml:space="preserve">In Re: Bard Implanted </w:t>
      </w:r>
      <w:r>
        <w:rPr>
          <w:rFonts w:cs="Times New Roman"/>
          <w:i/>
          <w:iCs/>
        </w:rPr>
        <w:t>P</w:t>
      </w:r>
      <w:r w:rsidRPr="0060162F">
        <w:rPr>
          <w:rFonts w:cs="Times New Roman"/>
          <w:i/>
          <w:iCs/>
        </w:rPr>
        <w:t xml:space="preserve">ort Catheter Prod. </w:t>
      </w:r>
      <w:proofErr w:type="spellStart"/>
      <w:r w:rsidRPr="0060162F">
        <w:rPr>
          <w:rFonts w:cs="Times New Roman"/>
          <w:i/>
          <w:iCs/>
        </w:rPr>
        <w:t>Liab</w:t>
      </w:r>
      <w:proofErr w:type="spellEnd"/>
      <w:r w:rsidRPr="0060162F">
        <w:rPr>
          <w:rFonts w:cs="Times New Roman"/>
          <w:i/>
          <w:iCs/>
        </w:rPr>
        <w:t>. Litig</w:t>
      </w:r>
      <w:r>
        <w:rPr>
          <w:rFonts w:cs="Times New Roman"/>
        </w:rPr>
        <w:t>., MDL No. 3081, Case Management Order No. 8, pp. 4-5 (Nov. 22, 2023) (describing the notice of deficiency process, which also includes an expedited process for incomplete profile forms).</w:t>
      </w:r>
    </w:p>
  </w:footnote>
  <w:footnote w:id="22">
    <w:p w14:paraId="3D39C661" w14:textId="77777777" w:rsidR="00FB0B2F" w:rsidRPr="00744482" w:rsidRDefault="00FB0B2F" w:rsidP="00FB0B2F">
      <w:pPr>
        <w:pStyle w:val="NoSpacing"/>
        <w:jc w:val="both"/>
        <w:rPr>
          <w:u w:val="single"/>
        </w:rPr>
      </w:pPr>
      <w:r>
        <w:rPr>
          <w:rStyle w:val="FootnoteReference"/>
        </w:rPr>
        <w:footnoteRef/>
      </w:r>
      <w:r>
        <w:t xml:space="preserve"> </w:t>
      </w:r>
      <w:r w:rsidRPr="00744482">
        <w:rPr>
          <w:rFonts w:cs="Times New Roman"/>
          <w:sz w:val="20"/>
          <w:szCs w:val="20"/>
        </w:rPr>
        <w:t xml:space="preserve">Similarly, a defendant </w:t>
      </w:r>
      <w:r>
        <w:rPr>
          <w:rFonts w:cs="Times New Roman"/>
          <w:sz w:val="20"/>
          <w:szCs w:val="20"/>
        </w:rPr>
        <w:t xml:space="preserve">may </w:t>
      </w:r>
      <w:r w:rsidRPr="00744482">
        <w:rPr>
          <w:rFonts w:cs="Times New Roman"/>
          <w:sz w:val="20"/>
          <w:szCs w:val="20"/>
        </w:rPr>
        <w:t xml:space="preserve">require an equal amount of time to vet the same number of cases and may not have gathered </w:t>
      </w:r>
      <w:r w:rsidRPr="006F7574">
        <w:rPr>
          <w:rFonts w:cs="Times New Roman"/>
          <w:sz w:val="20"/>
          <w:szCs w:val="20"/>
        </w:rPr>
        <w:t xml:space="preserve">evidentiary support to deny factual contentions.  </w:t>
      </w:r>
      <w:r w:rsidRPr="006F7574">
        <w:rPr>
          <w:sz w:val="20"/>
          <w:szCs w:val="20"/>
        </w:rPr>
        <w:t xml:space="preserve">The court should also be alert to situations when a law firm has overextended itself and requests longer or additional time to provide information.  </w:t>
      </w:r>
      <w:r w:rsidRPr="006F7574">
        <w:rPr>
          <w:i/>
          <w:iCs/>
          <w:sz w:val="20"/>
          <w:szCs w:val="20"/>
        </w:rPr>
        <w:t xml:space="preserve">See, In Re: Roundup Prod. </w:t>
      </w:r>
      <w:proofErr w:type="spellStart"/>
      <w:r w:rsidRPr="006F7574">
        <w:rPr>
          <w:i/>
          <w:iCs/>
          <w:sz w:val="20"/>
          <w:szCs w:val="20"/>
        </w:rPr>
        <w:t>Liab</w:t>
      </w:r>
      <w:proofErr w:type="spellEnd"/>
      <w:r w:rsidRPr="006F7574">
        <w:rPr>
          <w:i/>
          <w:iCs/>
          <w:sz w:val="20"/>
          <w:szCs w:val="20"/>
        </w:rPr>
        <w:t>. Litig</w:t>
      </w:r>
      <w:r w:rsidRPr="006F7574">
        <w:rPr>
          <w:sz w:val="20"/>
          <w:szCs w:val="20"/>
        </w:rPr>
        <w:t>., Case No. 16-md-02741-VC, MDL No. 2741, Doc. 18478 (June 4, 2024) (“The Court agreed that there was ‘something to be said for Monsanto’s argument that Pla</w:t>
      </w:r>
      <w:r>
        <w:rPr>
          <w:sz w:val="20"/>
          <w:szCs w:val="20"/>
        </w:rPr>
        <w:t>i</w:t>
      </w:r>
      <w:r w:rsidRPr="006F7574">
        <w:rPr>
          <w:sz w:val="20"/>
          <w:szCs w:val="20"/>
        </w:rPr>
        <w:t>ntiffs’ counsel simply should not have taken on more cases than they were able to competently handle at once, given the largely predictable demands of this litigation.”</w:t>
      </w:r>
      <w:r w:rsidRPr="00744482">
        <w:rPr>
          <w:rFonts w:cs="Times New Roman"/>
          <w:szCs w:val="24"/>
          <w:u w:val="single"/>
        </w:rPr>
        <w:t xml:space="preserve"> </w:t>
      </w:r>
    </w:p>
  </w:footnote>
  <w:footnote w:id="23">
    <w:p w14:paraId="6C7C4A08" w14:textId="77777777" w:rsidR="00FB0B2F" w:rsidRPr="006D3989" w:rsidRDefault="00FB0B2F" w:rsidP="00FB0B2F">
      <w:pPr>
        <w:pStyle w:val="FootnoteText"/>
        <w:jc w:val="both"/>
        <w:rPr>
          <w:rFonts w:cs="Times New Roman"/>
        </w:rPr>
      </w:pPr>
      <w:r w:rsidRPr="00744482">
        <w:rPr>
          <w:rStyle w:val="FootnoteReference"/>
        </w:rPr>
        <w:footnoteRef/>
      </w:r>
      <w:r w:rsidRPr="00744482">
        <w:t xml:space="preserve"> </w:t>
      </w:r>
      <w:r>
        <w:rPr>
          <w:rFonts w:cs="Times New Roman"/>
        </w:rPr>
        <w:t>FED. R. CIV. P.</w:t>
      </w:r>
      <w:r w:rsidRPr="00744482">
        <w:rPr>
          <w:rFonts w:cs="Times New Roman"/>
        </w:rPr>
        <w:t xml:space="preserve"> 11</w:t>
      </w:r>
      <w:r>
        <w:rPr>
          <w:rFonts w:cs="Times New Roman"/>
        </w:rPr>
        <w:t xml:space="preserve">, </w:t>
      </w:r>
      <w:r w:rsidRPr="00744482">
        <w:rPr>
          <w:rFonts w:cs="Times New Roman"/>
        </w:rPr>
        <w:t xml:space="preserve">Committee Notes </w:t>
      </w:r>
      <w:r>
        <w:rPr>
          <w:rFonts w:cs="Times New Roman"/>
        </w:rPr>
        <w:t>(</w:t>
      </w:r>
      <w:r w:rsidRPr="00744482">
        <w:rPr>
          <w:rFonts w:cs="Times New Roman"/>
        </w:rPr>
        <w:t>1983 and 1993);</w:t>
      </w:r>
      <w:r>
        <w:rPr>
          <w:rFonts w:cs="Times New Roman"/>
        </w:rPr>
        <w:t xml:space="preserve"> </w:t>
      </w:r>
      <w:r w:rsidRPr="006D3989">
        <w:rPr>
          <w:rFonts w:cs="Times New Roman"/>
          <w:i/>
          <w:iCs/>
        </w:rPr>
        <w:t>see also</w:t>
      </w:r>
      <w:r>
        <w:rPr>
          <w:rFonts w:cs="Times New Roman"/>
        </w:rPr>
        <w:t xml:space="preserve"> Comments on proposed FED. R. CIV. P. 16.1 submitted to Advisory Committee on Civil Rules by American Association of Justice (Feb. 15, 2024), which describe possible reasons justifying further investigation and discovery to gather evidentiary support of factual contentions.</w:t>
      </w:r>
    </w:p>
  </w:footnote>
  <w:footnote w:id="24">
    <w:p w14:paraId="77310A17" w14:textId="77777777" w:rsidR="00FB0B2F" w:rsidRPr="006F267A" w:rsidRDefault="00FB0B2F" w:rsidP="00FB0B2F">
      <w:pPr>
        <w:pStyle w:val="FootnoteText"/>
        <w:jc w:val="both"/>
        <w:rPr>
          <w:rFonts w:cs="Times New Roman"/>
        </w:rPr>
      </w:pPr>
      <w:r>
        <w:rPr>
          <w:rStyle w:val="FootnoteReference"/>
        </w:rPr>
        <w:footnoteRef/>
      </w:r>
      <w:r>
        <w:t xml:space="preserve"> </w:t>
      </w:r>
      <w:r>
        <w:rPr>
          <w:rFonts w:cs="Times New Roman"/>
        </w:rPr>
        <w:t xml:space="preserve">As part of the </w:t>
      </w:r>
      <w:proofErr w:type="spellStart"/>
      <w:r>
        <w:rPr>
          <w:rFonts w:cs="Times New Roman"/>
        </w:rPr>
        <w:t>Rubris</w:t>
      </w:r>
      <w:proofErr w:type="spellEnd"/>
      <w:r>
        <w:rPr>
          <w:rFonts w:cs="Times New Roman"/>
        </w:rPr>
        <w:t xml:space="preserve"> Crosslink or MDL Centrality intake process, for example, a litigant could be asked to check either a box that there is evidentiary support for the factual contentions or a box that there is no evidentiary support, but that the factual contentions will likely have evidentiary support after reasonable opportunity for further investigation or discovery.  The court should set an appropriate time for such inquiry after consulting the parties, </w:t>
      </w:r>
      <w:r w:rsidRPr="00DF31B7">
        <w:rPr>
          <w:rFonts w:cs="Times New Roman"/>
          <w:i/>
          <w:iCs/>
        </w:rPr>
        <w:t>e.g.,</w:t>
      </w:r>
      <w:r>
        <w:rPr>
          <w:rFonts w:cs="Times New Roman"/>
        </w:rPr>
        <w:t xml:space="preserve"> 6, 12, or 18 months, and be alerted of actions that fail to have evidentiary support after the designated time expires; </w:t>
      </w:r>
      <w:r w:rsidRPr="000924FC">
        <w:rPr>
          <w:rFonts w:cs="Times New Roman"/>
          <w:i/>
          <w:iCs/>
        </w:rPr>
        <w:t>see also</w:t>
      </w:r>
      <w:r>
        <w:rPr>
          <w:rFonts w:cs="Times New Roman"/>
        </w:rPr>
        <w:t xml:space="preserve"> </w:t>
      </w:r>
      <w:r w:rsidRPr="0067482F">
        <w:rPr>
          <w:i/>
          <w:iCs/>
        </w:rPr>
        <w:t>In Re: Depo-Provera (Depot Medroxyprogesterone Acetate</w:t>
      </w:r>
      <w:r w:rsidRPr="0067482F">
        <w:t>), MDL No. 3140,</w:t>
      </w:r>
      <w:r>
        <w:t xml:space="preserve"> CMO No. 4, Doc. 380 (July 14, 2025) (AI tool used in implementing deficiency-review process and reportedly reached an 84% confidence level, subject to human review.) </w:t>
      </w:r>
      <w:r>
        <w:rPr>
          <w:rFonts w:cs="Times New Roman"/>
        </w:rPr>
        <w:t xml:space="preserve"> </w:t>
      </w:r>
    </w:p>
  </w:footnote>
  <w:footnote w:id="25">
    <w:p w14:paraId="2F5D17DB" w14:textId="77777777" w:rsidR="00FB0B2F" w:rsidRPr="008652CA" w:rsidRDefault="00FB0B2F" w:rsidP="00FB0B2F">
      <w:pPr>
        <w:pStyle w:val="FootnoteText"/>
        <w:jc w:val="both"/>
        <w:rPr>
          <w:rFonts w:cs="Times New Roman"/>
        </w:rPr>
      </w:pPr>
      <w:r>
        <w:rPr>
          <w:rStyle w:val="FootnoteReference"/>
        </w:rPr>
        <w:footnoteRef/>
      </w:r>
      <w:r>
        <w:t xml:space="preserve"> </w:t>
      </w:r>
      <w:r w:rsidRPr="008652CA">
        <w:rPr>
          <w:rFonts w:cs="Times New Roman"/>
          <w:i/>
          <w:iCs/>
        </w:rPr>
        <w:t>See In Re</w:t>
      </w:r>
      <w:r>
        <w:rPr>
          <w:rFonts w:cs="Times New Roman"/>
          <w:i/>
          <w:iCs/>
        </w:rPr>
        <w:t>:</w:t>
      </w:r>
      <w:r w:rsidRPr="008652CA">
        <w:rPr>
          <w:rFonts w:cs="Times New Roman"/>
          <w:i/>
          <w:iCs/>
        </w:rPr>
        <w:t xml:space="preserve"> Stryker LFIT V40 Femoral Head Prod. </w:t>
      </w:r>
      <w:proofErr w:type="spellStart"/>
      <w:r w:rsidRPr="008652CA">
        <w:rPr>
          <w:rFonts w:cs="Times New Roman"/>
          <w:i/>
          <w:iCs/>
        </w:rPr>
        <w:t>Liab</w:t>
      </w:r>
      <w:proofErr w:type="spellEnd"/>
      <w:r w:rsidRPr="008652CA">
        <w:rPr>
          <w:rFonts w:cs="Times New Roman"/>
          <w:i/>
          <w:iCs/>
        </w:rPr>
        <w:t>. Litig.,</w:t>
      </w:r>
      <w:r>
        <w:rPr>
          <w:rFonts w:cs="Times New Roman"/>
        </w:rPr>
        <w:t xml:space="preserve"> MDL No. 2768, Case Management Order No. 8 (December 3, 2020) (Court ordered Plaintiff’s Executive Committee to review all open cases after ordering </w:t>
      </w:r>
      <w:proofErr w:type="gramStart"/>
      <w:r>
        <w:rPr>
          <w:rFonts w:cs="Times New Roman"/>
        </w:rPr>
        <w:t>all plaintiffs</w:t>
      </w:r>
      <w:proofErr w:type="gramEnd"/>
      <w:r>
        <w:rPr>
          <w:rFonts w:cs="Times New Roman"/>
        </w:rPr>
        <w:t xml:space="preserve"> to first review their cases to ensure that they met their ongoing reasonable inquiry obligation.).</w:t>
      </w:r>
    </w:p>
  </w:footnote>
  <w:footnote w:id="26">
    <w:p w14:paraId="2168FE02" w14:textId="77777777" w:rsidR="00FB0B2F" w:rsidRDefault="00FB0B2F" w:rsidP="00FB0B2F">
      <w:pPr>
        <w:pStyle w:val="FootnoteText"/>
        <w:jc w:val="both"/>
      </w:pPr>
      <w:r>
        <w:rPr>
          <w:rStyle w:val="FootnoteReference"/>
        </w:rPr>
        <w:footnoteRef/>
      </w:r>
      <w:r>
        <w:t xml:space="preserve"> </w:t>
      </w:r>
      <w:r w:rsidRPr="0044715B">
        <w:rPr>
          <w:i/>
          <w:iCs/>
        </w:rPr>
        <w:t>See</w:t>
      </w:r>
      <w:r>
        <w:t xml:space="preserve"> </w:t>
      </w:r>
      <w:r w:rsidRPr="0067482F">
        <w:rPr>
          <w:i/>
          <w:iCs/>
        </w:rPr>
        <w:t>In Re: Depo-Provera (Depot Medroxyprogesterone Acetate</w:t>
      </w:r>
      <w:r w:rsidRPr="0067482F">
        <w:t>), MDL No. 3140,</w:t>
      </w:r>
      <w:r>
        <w:t xml:space="preserve"> Pretrial Order No. 22 (Identification of Deficiencies in Threshold Proof of Use and Injury Requirements), Exhibit A, Doc. 281 (May 6, 2025) (Court adopts parties’ protocol identifying deficiencies in questionnaire and threshold documentation of claims). </w:t>
      </w:r>
    </w:p>
  </w:footnote>
  <w:footnote w:id="27">
    <w:p w14:paraId="53E55736" w14:textId="77777777" w:rsidR="00FB0B2F" w:rsidRDefault="00FB0B2F" w:rsidP="00FB0B2F">
      <w:pPr>
        <w:pStyle w:val="FootnoteText"/>
        <w:jc w:val="both"/>
      </w:pPr>
      <w:r>
        <w:rPr>
          <w:rStyle w:val="FootnoteReference"/>
        </w:rPr>
        <w:footnoteRef/>
      </w:r>
      <w:r>
        <w:t xml:space="preserve"> </w:t>
      </w:r>
      <w:r w:rsidRPr="0044715B">
        <w:rPr>
          <w:i/>
          <w:iCs/>
        </w:rPr>
        <w:t>See</w:t>
      </w:r>
      <w:r>
        <w:t xml:space="preserve"> </w:t>
      </w:r>
      <w:r w:rsidRPr="0067482F">
        <w:rPr>
          <w:i/>
          <w:iCs/>
        </w:rPr>
        <w:t>In Re: Depo-Provera (Depot Medroxyprogesterone Acetate</w:t>
      </w:r>
      <w:r w:rsidRPr="0067482F">
        <w:t>), MDL No. 3140,</w:t>
      </w:r>
      <w:r>
        <w:t xml:space="preserve"> Pretrial Order No. 22 (Identification of Deficiencies in Threshold Proof of Use and Injury Requirements), Doc. 281 (May 6, 2025) (court established procedure to dismiss cases that fail to respond to initial questionnaire on threshold proof of use and injury within 120 days from date of order or case filing).</w:t>
      </w:r>
    </w:p>
  </w:footnote>
  <w:footnote w:id="28">
    <w:p w14:paraId="204F8D35" w14:textId="77777777" w:rsidR="00FB0B2F" w:rsidRPr="00365679" w:rsidRDefault="00FB0B2F" w:rsidP="00FB0B2F">
      <w:pPr>
        <w:pStyle w:val="FootnoteText"/>
        <w:jc w:val="both"/>
        <w:rPr>
          <w:rFonts w:cs="Times New Roman"/>
        </w:rPr>
      </w:pPr>
      <w:r>
        <w:rPr>
          <w:rStyle w:val="FootnoteReference"/>
        </w:rPr>
        <w:footnoteRef/>
      </w:r>
      <w:r>
        <w:t xml:space="preserve"> </w:t>
      </w:r>
      <w:r>
        <w:rPr>
          <w:rFonts w:cs="Times New Roman"/>
        </w:rPr>
        <w:t xml:space="preserve">Although defendants generally disfavor Rule 11 sanction motions because they would poison settlement negotiations, would require individual notice and a 21-day window to amend or withdraw a complaint, and would likely be futile, filing multiple sanction motions simultaneously against a single outlier law-firm offender might not impede settlement negotiations and may be successful because it would affect only serious offenders and would not affect law firms who conscientiously comply with Rule 11.  </w:t>
      </w:r>
    </w:p>
  </w:footnote>
  <w:footnote w:id="29">
    <w:p w14:paraId="26E8F4E2" w14:textId="77777777" w:rsidR="00FB0B2F" w:rsidRPr="006A197E" w:rsidRDefault="00FB0B2F" w:rsidP="00FB0B2F">
      <w:pPr>
        <w:pStyle w:val="FootnoteText"/>
        <w:jc w:val="both"/>
        <w:rPr>
          <w:rFonts w:cs="Times New Roman"/>
        </w:rPr>
      </w:pPr>
      <w:r w:rsidRPr="006A197E">
        <w:rPr>
          <w:rStyle w:val="FootnoteReference"/>
          <w:rFonts w:cs="Times New Roman"/>
        </w:rPr>
        <w:footnoteRef/>
      </w:r>
      <w:r w:rsidRPr="006A197E">
        <w:rPr>
          <w:rFonts w:cs="Times New Roman"/>
        </w:rPr>
        <w:t xml:space="preserve"> Fed. R. Civ. P 11 (b) and (c)</w:t>
      </w:r>
      <w:r>
        <w:rPr>
          <w:rFonts w:cs="Times New Roman"/>
        </w:rPr>
        <w:t>,</w:t>
      </w:r>
      <w:r w:rsidRPr="006A197E">
        <w:rPr>
          <w:rFonts w:cs="Times New Roman"/>
        </w:rPr>
        <w:t xml:space="preserve"> Committee Note </w:t>
      </w:r>
      <w:r>
        <w:rPr>
          <w:rFonts w:cs="Times New Roman"/>
        </w:rPr>
        <w:t>(</w:t>
      </w:r>
      <w:r w:rsidRPr="006A197E">
        <w:rPr>
          <w:rFonts w:cs="Times New Roman"/>
        </w:rPr>
        <w:t>1993)</w:t>
      </w:r>
      <w:r>
        <w:rPr>
          <w:rFonts w:cs="Times New Roman"/>
        </w:rPr>
        <w:t>.</w:t>
      </w:r>
    </w:p>
  </w:footnote>
  <w:footnote w:id="30">
    <w:p w14:paraId="520758A5" w14:textId="77777777" w:rsidR="00FB0B2F" w:rsidRPr="00E438EE" w:rsidRDefault="00FB0B2F" w:rsidP="00FB0B2F">
      <w:pPr>
        <w:pStyle w:val="FootnoteText"/>
        <w:jc w:val="both"/>
        <w:rPr>
          <w:rFonts w:cs="Times New Roman"/>
        </w:rPr>
      </w:pPr>
      <w:r>
        <w:rPr>
          <w:rStyle w:val="FootnoteReference"/>
        </w:rPr>
        <w:footnoteRef/>
      </w:r>
      <w:r>
        <w:t xml:space="preserve"> </w:t>
      </w:r>
      <w:r>
        <w:rPr>
          <w:rFonts w:cs="Times New Roman"/>
        </w:rPr>
        <w:t>FED. R. CIV. P. 11(b) and (c), Committee Note (1993)</w:t>
      </w:r>
      <w:r w:rsidRPr="00DD4823">
        <w:rPr>
          <w:rFonts w:cs="Times New Roman"/>
        </w:rPr>
        <w:t xml:space="preserve"> </w:t>
      </w:r>
      <w:r>
        <w:rPr>
          <w:rFonts w:cs="Times New Roman"/>
        </w:rPr>
        <w:t xml:space="preserve">(“While sometimes helpful, formal amendment of the pleadings to withdraw an allegation or denial is not required by subdivision (b).”)  </w:t>
      </w:r>
    </w:p>
  </w:footnote>
  <w:footnote w:id="31">
    <w:p w14:paraId="7EE083E9" w14:textId="77777777" w:rsidR="00FB0B2F" w:rsidRPr="00AA51BD" w:rsidRDefault="00FB0B2F" w:rsidP="00FB0B2F">
      <w:pPr>
        <w:pStyle w:val="FootnoteText"/>
        <w:jc w:val="both"/>
        <w:rPr>
          <w:rFonts w:cs="Times New Roman"/>
        </w:rPr>
      </w:pPr>
      <w:r w:rsidRPr="00AA51BD">
        <w:rPr>
          <w:rStyle w:val="FootnoteReference"/>
          <w:rFonts w:cs="Times New Roman"/>
        </w:rPr>
        <w:footnoteRef/>
      </w:r>
      <w:r w:rsidRPr="00AA51BD">
        <w:rPr>
          <w:rFonts w:cs="Times New Roman"/>
        </w:rPr>
        <w:t xml:space="preserve"> </w:t>
      </w:r>
      <w:r>
        <w:rPr>
          <w:rFonts w:cs="Times New Roman"/>
        </w:rPr>
        <w:t>FED. R. CIV. P.</w:t>
      </w:r>
      <w:r w:rsidRPr="00AA51BD">
        <w:rPr>
          <w:rFonts w:cs="Times New Roman"/>
        </w:rPr>
        <w:t xml:space="preserve"> 11</w:t>
      </w:r>
      <w:r>
        <w:rPr>
          <w:rFonts w:cs="Times New Roman"/>
        </w:rPr>
        <w:t>,</w:t>
      </w:r>
      <w:r w:rsidRPr="00AA51BD">
        <w:rPr>
          <w:rFonts w:cs="Times New Roman"/>
        </w:rPr>
        <w:t xml:space="preserve"> Committee Note </w:t>
      </w:r>
      <w:r>
        <w:rPr>
          <w:rFonts w:cs="Times New Roman"/>
        </w:rPr>
        <w:t>(</w:t>
      </w:r>
      <w:r w:rsidRPr="00AA51BD">
        <w:rPr>
          <w:rFonts w:cs="Times New Roman"/>
        </w:rPr>
        <w:t>1993) (“</w:t>
      </w:r>
      <w:r>
        <w:rPr>
          <w:rFonts w:cs="Times New Roman"/>
        </w:rPr>
        <w:t>Denials of factual contentions involve somewhat different considerations.  Often, of course, a denial is premised upon the existence of evidence contradicting the alleged fact.  At other times a denial is permissible because, after an appropriate investigation, a party has no information concerning the matter or, indeed, has a reasonable basis for doubting the credibility of the only evidence relevant to the matter.  A party should not deny an allegation it knows to be true; but it is not required, simply because it lacks contradictory evidence, to admit an allegation that it believes is not true.”)</w:t>
      </w:r>
    </w:p>
  </w:footnote>
  <w:footnote w:id="32">
    <w:p w14:paraId="063176E9" w14:textId="77777777" w:rsidR="00FB0B2F" w:rsidRPr="00F228B0" w:rsidRDefault="00FB0B2F" w:rsidP="00FB0B2F">
      <w:pPr>
        <w:pStyle w:val="FootnoteText"/>
        <w:jc w:val="both"/>
        <w:rPr>
          <w:rFonts w:cs="Times New Roman"/>
        </w:rPr>
      </w:pPr>
      <w:r>
        <w:rPr>
          <w:rStyle w:val="FootnoteReference"/>
        </w:rPr>
        <w:footnoteRef/>
      </w:r>
      <w:r>
        <w:t xml:space="preserve"> </w:t>
      </w:r>
      <w:r>
        <w:rPr>
          <w:rFonts w:cs="Times New Roman"/>
        </w:rPr>
        <w:t>FED. R. CIV. P. 11, Committee Note (1983).</w:t>
      </w:r>
    </w:p>
  </w:footnote>
  <w:footnote w:id="33">
    <w:p w14:paraId="32AB8676" w14:textId="77777777" w:rsidR="00FB0B2F" w:rsidRPr="0024521F" w:rsidRDefault="00FB0B2F" w:rsidP="00FB0B2F">
      <w:pPr>
        <w:pStyle w:val="FootnoteText"/>
        <w:jc w:val="both"/>
        <w:rPr>
          <w:rFonts w:cs="Times New Roman"/>
        </w:rPr>
      </w:pPr>
      <w:r>
        <w:rPr>
          <w:rStyle w:val="FootnoteReference"/>
        </w:rPr>
        <w:footnoteRef/>
      </w:r>
      <w:r>
        <w:t xml:space="preserve"> </w:t>
      </w:r>
      <w:r>
        <w:rPr>
          <w:rFonts w:cs="Times New Roman"/>
        </w:rPr>
        <w:t>Identifying a specific law firm as an “aggregator” may require time, because actions in a mass-tort MDL may be spread out over a significant length of time.  Moreover, not every action filed by an aggregator will have no evidentiary basis. But a court that vigilantly monitors actions flagged by the central-exchange platform for failing to submit the minimum evidence agreed to by the parties can recognize them after multiple actions have been flagged.</w:t>
      </w:r>
    </w:p>
  </w:footnote>
  <w:footnote w:id="34">
    <w:p w14:paraId="79523115" w14:textId="77777777" w:rsidR="00FB0B2F" w:rsidRPr="00503391" w:rsidRDefault="00FB0B2F" w:rsidP="00FB0B2F">
      <w:pPr>
        <w:pStyle w:val="FootnoteText"/>
        <w:jc w:val="both"/>
        <w:rPr>
          <w:rFonts w:cs="Times New Roman"/>
        </w:rPr>
      </w:pPr>
      <w:r w:rsidRPr="00503391">
        <w:rPr>
          <w:rStyle w:val="FootnoteReference"/>
          <w:rFonts w:cs="Times New Roman"/>
        </w:rPr>
        <w:footnoteRef/>
      </w:r>
      <w:r w:rsidRPr="00503391">
        <w:rPr>
          <w:rFonts w:cs="Times New Roman"/>
        </w:rPr>
        <w:t xml:space="preserve"> </w:t>
      </w:r>
      <w:r>
        <w:rPr>
          <w:rFonts w:cs="Times New Roman"/>
        </w:rPr>
        <w:t>FED. R. CIV. P.</w:t>
      </w:r>
      <w:r w:rsidRPr="00503391">
        <w:rPr>
          <w:rFonts w:cs="Times New Roman"/>
        </w:rPr>
        <w:t xml:space="preserve"> 16.1</w:t>
      </w:r>
      <w:r>
        <w:rPr>
          <w:rFonts w:cs="Times New Roman"/>
        </w:rPr>
        <w:t>,</w:t>
      </w:r>
      <w:r w:rsidRPr="00503391">
        <w:rPr>
          <w:rFonts w:cs="Times New Roman"/>
        </w:rPr>
        <w:t xml:space="preserve"> Committee Note to Rule 16.1(b)(3)(B)</w:t>
      </w:r>
      <w:r>
        <w:rPr>
          <w:rFonts w:cs="Times New Roman"/>
        </w:rPr>
        <w:t xml:space="preserve"> (December 1, 2025.) </w:t>
      </w:r>
    </w:p>
  </w:footnote>
  <w:footnote w:id="35">
    <w:p w14:paraId="6131F920" w14:textId="77777777" w:rsidR="00FB0B2F" w:rsidRDefault="00FB0B2F" w:rsidP="00FB0B2F">
      <w:pPr>
        <w:pStyle w:val="FootnoteText"/>
        <w:jc w:val="both"/>
      </w:pPr>
      <w:r>
        <w:rPr>
          <w:rStyle w:val="FootnoteReference"/>
        </w:rPr>
        <w:footnoteRef/>
      </w:r>
      <w:r>
        <w:t xml:space="preserve"> </w:t>
      </w:r>
      <w:r w:rsidRPr="00842B85">
        <w:rPr>
          <w:rFonts w:cs="Times New Roman"/>
          <w:i/>
          <w:iCs/>
        </w:rPr>
        <w:t>But</w:t>
      </w:r>
      <w:r>
        <w:t xml:space="preserve"> </w:t>
      </w:r>
      <w:r>
        <w:rPr>
          <w:rFonts w:cs="Times New Roman"/>
        </w:rPr>
        <w:t>s</w:t>
      </w:r>
      <w:r w:rsidRPr="0060162F">
        <w:rPr>
          <w:rFonts w:cs="Times New Roman"/>
          <w:i/>
          <w:iCs/>
        </w:rPr>
        <w:t>ee</w:t>
      </w:r>
      <w:r>
        <w:rPr>
          <w:rFonts w:cs="Times New Roman"/>
          <w:i/>
          <w:iCs/>
        </w:rPr>
        <w:t xml:space="preserve"> </w:t>
      </w:r>
      <w:r w:rsidRPr="0060162F">
        <w:rPr>
          <w:rFonts w:cs="Times New Roman"/>
          <w:i/>
          <w:iCs/>
        </w:rPr>
        <w:t xml:space="preserve">In Re: Bard Implanted </w:t>
      </w:r>
      <w:r>
        <w:rPr>
          <w:rFonts w:cs="Times New Roman"/>
          <w:i/>
          <w:iCs/>
        </w:rPr>
        <w:t>P</w:t>
      </w:r>
      <w:r w:rsidRPr="0060162F">
        <w:rPr>
          <w:rFonts w:cs="Times New Roman"/>
          <w:i/>
          <w:iCs/>
        </w:rPr>
        <w:t xml:space="preserve">ort Catheter Prod. </w:t>
      </w:r>
      <w:proofErr w:type="spellStart"/>
      <w:r w:rsidRPr="0060162F">
        <w:rPr>
          <w:rFonts w:cs="Times New Roman"/>
          <w:i/>
          <w:iCs/>
        </w:rPr>
        <w:t>Liab</w:t>
      </w:r>
      <w:proofErr w:type="spellEnd"/>
      <w:r w:rsidRPr="0060162F">
        <w:rPr>
          <w:rFonts w:cs="Times New Roman"/>
          <w:i/>
          <w:iCs/>
        </w:rPr>
        <w:t>. Litig</w:t>
      </w:r>
      <w:r>
        <w:rPr>
          <w:rFonts w:cs="Times New Roman"/>
        </w:rPr>
        <w:t>., MDL No. 3081, Case Management Order No. 8, pp. 4-5 (Nov. 22, 2023) (adopting a leaner, more expedited review process that requires fewer defendant actions).</w:t>
      </w:r>
    </w:p>
  </w:footnote>
  <w:footnote w:id="36">
    <w:p w14:paraId="552F1C43" w14:textId="77777777" w:rsidR="00FB0B2F" w:rsidRDefault="00FB0B2F" w:rsidP="00FB0B2F">
      <w:pPr>
        <w:pStyle w:val="FootnoteText"/>
        <w:jc w:val="both"/>
      </w:pPr>
      <w:r>
        <w:t xml:space="preserve"> </w:t>
      </w:r>
      <w:r>
        <w:rPr>
          <w:rStyle w:val="FootnoteReference"/>
        </w:rPr>
        <w:footnoteRef/>
      </w:r>
      <w:r>
        <w:t xml:space="preserve"> </w:t>
      </w:r>
      <w:r>
        <w:rPr>
          <w:rFonts w:cs="Times New Roman"/>
        </w:rPr>
        <w:t>A court can dismiss an action for failure to prosecute because there is no evidentiary support under FED. R. CIV. P. 41.  But its deterrent effect can be limited because of the substantial time and effort expended.</w:t>
      </w:r>
      <w:r w:rsidRPr="008D2493">
        <w:rPr>
          <w:rFonts w:cs="Times New Roman"/>
          <w:i/>
          <w:iCs/>
        </w:rPr>
        <w:t xml:space="preserve"> </w:t>
      </w:r>
      <w:r w:rsidRPr="00027B06">
        <w:rPr>
          <w:rFonts w:cs="Times New Roman"/>
          <w:i/>
          <w:iCs/>
        </w:rPr>
        <w:t>See</w:t>
      </w:r>
      <w:r>
        <w:rPr>
          <w:rFonts w:cs="Times New Roman"/>
        </w:rPr>
        <w:t xml:space="preserve">, for example, </w:t>
      </w:r>
      <w:r w:rsidRPr="00027B06">
        <w:rPr>
          <w:rFonts w:cs="Times New Roman"/>
          <w:i/>
          <w:iCs/>
        </w:rPr>
        <w:t xml:space="preserve">In Re: Acetaminophen – ASD-ADHD Prod. </w:t>
      </w:r>
      <w:proofErr w:type="spellStart"/>
      <w:r w:rsidRPr="00027B06">
        <w:rPr>
          <w:rFonts w:cs="Times New Roman"/>
          <w:i/>
          <w:iCs/>
        </w:rPr>
        <w:t>Liab</w:t>
      </w:r>
      <w:proofErr w:type="spellEnd"/>
      <w:r w:rsidRPr="00027B06">
        <w:rPr>
          <w:rFonts w:cs="Times New Roman"/>
          <w:i/>
          <w:iCs/>
        </w:rPr>
        <w:t>. Litig</w:t>
      </w:r>
      <w:r>
        <w:rPr>
          <w:rFonts w:cs="Times New Roman"/>
        </w:rPr>
        <w:t xml:space="preserve">., MDL No-3043, Order: Plaintiff Fact Sheets, Doc. 56 (March 23, 2023) (Defendants can file a Notice of Deficiency, providing 14 days to respond to cure any deficiencies, providing an additional 14 days after the expiration of the first 14 days to cure any remaining deficiencies and then requesting the court to issue a show cause order why the case should not be dismissed.  The defendant and court must devote substantial time and effort to address individual actions, which cannot be done on scale, and thus the procedure does not provide adequate deterrence against a law firm who files many cases without evidentiary support.); </w:t>
      </w:r>
      <w:r w:rsidRPr="00BD4BFF">
        <w:rPr>
          <w:rFonts w:cs="Times New Roman"/>
          <w:i/>
          <w:iCs/>
        </w:rPr>
        <w:t xml:space="preserve">see also In Re: Bard </w:t>
      </w:r>
      <w:r>
        <w:rPr>
          <w:rFonts w:cs="Times New Roman"/>
          <w:i/>
          <w:iCs/>
        </w:rPr>
        <w:t>IVC Filters</w:t>
      </w:r>
      <w:r w:rsidRPr="00BD4BFF">
        <w:rPr>
          <w:rFonts w:cs="Times New Roman"/>
          <w:i/>
          <w:iCs/>
        </w:rPr>
        <w:t xml:space="preserve"> Prod. </w:t>
      </w:r>
      <w:proofErr w:type="spellStart"/>
      <w:r w:rsidRPr="00BD4BFF">
        <w:rPr>
          <w:rFonts w:cs="Times New Roman"/>
          <w:i/>
          <w:iCs/>
        </w:rPr>
        <w:t>Liab</w:t>
      </w:r>
      <w:proofErr w:type="spellEnd"/>
      <w:r w:rsidRPr="00BD4BFF">
        <w:rPr>
          <w:rFonts w:cs="Times New Roman"/>
          <w:i/>
          <w:iCs/>
        </w:rPr>
        <w:t>. Litig.,</w:t>
      </w:r>
      <w:r>
        <w:rPr>
          <w:rFonts w:cs="Times New Roman"/>
        </w:rPr>
        <w:t xml:space="preserve"> MDL No. 2641 (Case Management Order No. 5 Profile Forms December 17, 2015) (Plaintiff required to submit completed profile form (abbreviated fact sheet) within 60 days of filing; defendant can send a deficiency letter within 14 days of receipt of the profile form; plaintiffs have 20 days to cure the deficiency.) and </w:t>
      </w:r>
      <w:r>
        <w:rPr>
          <w:rFonts w:cs="Times New Roman"/>
          <w:i/>
          <w:iCs/>
        </w:rPr>
        <w:t>s</w:t>
      </w:r>
      <w:r w:rsidRPr="0060162F">
        <w:rPr>
          <w:rFonts w:cs="Times New Roman"/>
          <w:i/>
          <w:iCs/>
        </w:rPr>
        <w:t xml:space="preserve">ee </w:t>
      </w:r>
      <w:r>
        <w:rPr>
          <w:rFonts w:cs="Times New Roman"/>
          <w:i/>
          <w:iCs/>
        </w:rPr>
        <w:t xml:space="preserve">also </w:t>
      </w:r>
      <w:r w:rsidRPr="0060162F">
        <w:rPr>
          <w:rFonts w:cs="Times New Roman"/>
          <w:i/>
          <w:iCs/>
        </w:rPr>
        <w:t xml:space="preserve">In Re: Bard Implanted </w:t>
      </w:r>
      <w:r>
        <w:rPr>
          <w:rFonts w:cs="Times New Roman"/>
          <w:i/>
          <w:iCs/>
        </w:rPr>
        <w:t>P</w:t>
      </w:r>
      <w:r w:rsidRPr="0060162F">
        <w:rPr>
          <w:rFonts w:cs="Times New Roman"/>
          <w:i/>
          <w:iCs/>
        </w:rPr>
        <w:t xml:space="preserve">ort Catheter Prod. </w:t>
      </w:r>
      <w:proofErr w:type="spellStart"/>
      <w:r w:rsidRPr="0060162F">
        <w:rPr>
          <w:rFonts w:cs="Times New Roman"/>
          <w:i/>
          <w:iCs/>
        </w:rPr>
        <w:t>Liab</w:t>
      </w:r>
      <w:proofErr w:type="spellEnd"/>
      <w:r w:rsidRPr="0060162F">
        <w:rPr>
          <w:rFonts w:cs="Times New Roman"/>
          <w:i/>
          <w:iCs/>
        </w:rPr>
        <w:t>. Litig</w:t>
      </w:r>
      <w:r>
        <w:rPr>
          <w:rFonts w:cs="Times New Roman"/>
        </w:rPr>
        <w:t>., MDL No. 3081, Case Management Order No. 8 (Plaintiffs required to submit completed profile form (abbreviated fact sheet) within 30 days of filing; MDL Centrality alerts parties of incomplete submission; plaintiffs have 20 days to cure the deficiency, otherwise show-cause hearing for dismissal).</w:t>
      </w:r>
    </w:p>
  </w:footnote>
  <w:footnote w:id="37">
    <w:p w14:paraId="0B5C15CD" w14:textId="77777777" w:rsidR="00FB0B2F" w:rsidRPr="00F442CF" w:rsidRDefault="00FB0B2F" w:rsidP="00FB0B2F">
      <w:pPr>
        <w:pStyle w:val="FootnoteText"/>
        <w:jc w:val="both"/>
        <w:rPr>
          <w:rFonts w:cs="Times New Roman"/>
        </w:rPr>
      </w:pPr>
      <w:r>
        <w:rPr>
          <w:rStyle w:val="FootnoteReference"/>
        </w:rPr>
        <w:footnoteRef/>
      </w:r>
      <w:r>
        <w:t xml:space="preserve"> </w:t>
      </w:r>
      <w:r w:rsidRPr="00F442CF">
        <w:rPr>
          <w:rFonts w:cs="Times New Roman"/>
          <w:i/>
          <w:iCs/>
        </w:rPr>
        <w:t>But see</w:t>
      </w:r>
      <w:r>
        <w:rPr>
          <w:rFonts w:cs="Times New Roman"/>
        </w:rPr>
        <w:t xml:space="preserve"> comment on proposed new Rule 16.1 submitted to Advisory Committee on Civil Rules by Emily Acosta, a plaintiff lawyer from the Wagstaff law firm (Jan. 2, 2024) (asserting that “Rule 11 empowers a court to impose a broad array of sanctions to deter inappropriate behavior and provides a mechanism for the allegedly offending attorney (or law firm) to correct filings that (arguably) violate the Rule on an expedited basis to avoid the imposition </w:t>
      </w:r>
      <w:proofErr w:type="gramStart"/>
      <w:r>
        <w:rPr>
          <w:rFonts w:cs="Times New Roman"/>
        </w:rPr>
        <w:t>of  sanctions</w:t>
      </w:r>
      <w:proofErr w:type="gramEnd"/>
      <w:r>
        <w:rPr>
          <w:rFonts w:cs="Times New Roman"/>
        </w:rPr>
        <w:t>. Put another way, there is no problem raised by commenters, like DRI, that cannot be addressed using Rule 11. To the extent that there is a problem with ‘unsupportable claims,’ the solution is not merely to enact more rules, but rather to enforce those that litigants already have.”</w:t>
      </w:r>
      <w:r w:rsidRPr="001C537D">
        <w:rPr>
          <w:rFonts w:cs="Times New Roman"/>
          <w:i/>
          <w:iCs/>
        </w:rPr>
        <w:t xml:space="preserve"> </w:t>
      </w:r>
      <w:r w:rsidRPr="003B6064">
        <w:rPr>
          <w:rFonts w:cs="Times New Roman"/>
          <w:i/>
          <w:iCs/>
        </w:rPr>
        <w:t>See</w:t>
      </w:r>
      <w:r>
        <w:rPr>
          <w:rFonts w:cs="Times New Roman"/>
        </w:rPr>
        <w:t xml:space="preserve"> </w:t>
      </w:r>
      <w:r w:rsidRPr="001C537D">
        <w:rPr>
          <w:rFonts w:cs="Times New Roman"/>
          <w:i/>
          <w:iCs/>
        </w:rPr>
        <w:t>also</w:t>
      </w:r>
      <w:r>
        <w:rPr>
          <w:rFonts w:cs="Times New Roman"/>
        </w:rPr>
        <w:t xml:space="preserve"> Vetting the </w:t>
      </w:r>
      <w:proofErr w:type="spellStart"/>
      <w:r>
        <w:rPr>
          <w:rFonts w:cs="Times New Roman"/>
        </w:rPr>
        <w:t>Wether</w:t>
      </w:r>
      <w:proofErr w:type="spellEnd"/>
      <w:r>
        <w:rPr>
          <w:rFonts w:cs="Times New Roman"/>
        </w:rPr>
        <w:t>: One Shepherd’s View, Hon. M. Casey Rodgers, 89 UMKC Law Review No. 4, p. 873 (2021) (“The procedural safeguards used effectively in one-off cases (</w:t>
      </w:r>
      <w:r w:rsidRPr="001E0933">
        <w:rPr>
          <w:rFonts w:cs="Times New Roman"/>
          <w:i/>
          <w:iCs/>
        </w:rPr>
        <w:t>e.g.,</w:t>
      </w:r>
      <w:r>
        <w:rPr>
          <w:rFonts w:cs="Times New Roman"/>
        </w:rPr>
        <w:t xml:space="preserve"> federal pleading standards, discovery obligations, case-specific motions for summary judgment, and Rule 11 sanctions) are difficult to employ at scale in the MDL context, where the volume of individual cases in a single MDL can number in the hundreds, thousands, and even hundreds of thousands.  Left unchecked, high volumes of unsupportable claims can wreak havoc on an MDL.  They clog the docket, interfere with a court’s ability to establish a fair and informative bellwether process, frustrate efforts to assess the strengths and weaknesses of the </w:t>
      </w:r>
      <w:proofErr w:type="gramStart"/>
      <w:r>
        <w:rPr>
          <w:rFonts w:cs="Times New Roman"/>
        </w:rPr>
        <w:t>MDL as a whole, and</w:t>
      </w:r>
      <w:proofErr w:type="gramEnd"/>
      <w:r>
        <w:rPr>
          <w:rFonts w:cs="Times New Roman"/>
        </w:rPr>
        <w:t xml:space="preserve"> hamper settlement discussions.”)</w:t>
      </w:r>
    </w:p>
  </w:footnote>
  <w:footnote w:id="38">
    <w:p w14:paraId="66BD1CAE" w14:textId="77777777" w:rsidR="00FB0B2F" w:rsidRPr="008D2493" w:rsidRDefault="00FB0B2F" w:rsidP="00FB0B2F">
      <w:pPr>
        <w:pStyle w:val="FootnoteText"/>
        <w:jc w:val="both"/>
        <w:rPr>
          <w:rFonts w:cs="Times New Roman"/>
        </w:rPr>
      </w:pPr>
      <w:r>
        <w:rPr>
          <w:rStyle w:val="FootnoteReference"/>
        </w:rPr>
        <w:footnoteRef/>
      </w:r>
      <w:r>
        <w:t xml:space="preserve"> </w:t>
      </w:r>
      <w:r>
        <w:rPr>
          <w:rFonts w:cs="Times New Roman"/>
        </w:rPr>
        <w:t xml:space="preserve">Leadership </w:t>
      </w:r>
      <w:proofErr w:type="gramStart"/>
      <w:r>
        <w:rPr>
          <w:rFonts w:cs="Times New Roman"/>
        </w:rPr>
        <w:t>counsel</w:t>
      </w:r>
      <w:proofErr w:type="gramEnd"/>
      <w:r>
        <w:rPr>
          <w:rFonts w:cs="Times New Roman"/>
        </w:rPr>
        <w:t xml:space="preserve"> are appointed for their skill in reaching agreement with the other side.  Rule 11 motions poison settlement negotiations. Also, Rule 11 sanctions might not be pursued because of suspected futility and judicial antipathy. </w:t>
      </w:r>
    </w:p>
  </w:footnote>
  <w:footnote w:id="39">
    <w:p w14:paraId="00023CCC" w14:textId="77777777" w:rsidR="00FB0B2F" w:rsidRDefault="00FB0B2F" w:rsidP="00FB0B2F">
      <w:pPr>
        <w:pStyle w:val="FootnoteText"/>
        <w:jc w:val="both"/>
      </w:pPr>
      <w:r>
        <w:rPr>
          <w:rStyle w:val="FootnoteReference"/>
        </w:rPr>
        <w:footnoteRef/>
      </w:r>
      <w:r>
        <w:t xml:space="preserve"> </w:t>
      </w:r>
      <w:r>
        <w:rPr>
          <w:rFonts w:cs="Times New Roman"/>
        </w:rPr>
        <w:t>FED. R. CIV. P.</w:t>
      </w:r>
      <w:r w:rsidRPr="00225CA9">
        <w:rPr>
          <w:rFonts w:cs="Times New Roman"/>
        </w:rPr>
        <w:t xml:space="preserve"> 11(b) and (c)</w:t>
      </w:r>
      <w:r>
        <w:rPr>
          <w:rFonts w:cs="Times New Roman"/>
        </w:rPr>
        <w:t xml:space="preserve">, </w:t>
      </w:r>
      <w:r w:rsidRPr="00225CA9">
        <w:rPr>
          <w:rFonts w:cs="Times New Roman"/>
        </w:rPr>
        <w:t xml:space="preserve">Committee Note </w:t>
      </w:r>
      <w:r>
        <w:rPr>
          <w:rFonts w:cs="Times New Roman"/>
        </w:rPr>
        <w:t>(</w:t>
      </w:r>
      <w:r w:rsidRPr="00225CA9">
        <w:rPr>
          <w:rFonts w:cs="Times New Roman"/>
        </w:rPr>
        <w:t>1993)</w:t>
      </w:r>
      <w:r>
        <w:rPr>
          <w:rFonts w:cs="Times New Roman"/>
        </w:rPr>
        <w:t xml:space="preserve">; </w:t>
      </w:r>
      <w:r w:rsidRPr="0074504C">
        <w:rPr>
          <w:rFonts w:cs="Times New Roman"/>
          <w:i/>
          <w:iCs/>
        </w:rPr>
        <w:t>see also</w:t>
      </w:r>
      <w:r>
        <w:rPr>
          <w:rFonts w:cs="Times New Roman"/>
        </w:rPr>
        <w:t xml:space="preserve"> FED. R. CIV. P. 11, Committee Note (1983) (“Greater attention by the district courts to pleading and motion abuses and the imposition of sanctions when appropriate, should discourage dilatory or abusive tactics and help to streamline the litigation process by lessening frivolous claims or defenses.”)</w:t>
      </w:r>
    </w:p>
  </w:footnote>
  <w:footnote w:id="40">
    <w:p w14:paraId="70E2FBB4" w14:textId="77777777" w:rsidR="00FB0B2F" w:rsidRPr="00223039" w:rsidRDefault="00FB0B2F" w:rsidP="00FB0B2F">
      <w:pPr>
        <w:pStyle w:val="FootnoteText"/>
        <w:jc w:val="both"/>
        <w:rPr>
          <w:rFonts w:cs="Times New Roman"/>
        </w:rPr>
      </w:pPr>
      <w:r>
        <w:rPr>
          <w:rStyle w:val="FootnoteReference"/>
        </w:rPr>
        <w:footnoteRef/>
      </w:r>
      <w:r>
        <w:t xml:space="preserve"> </w:t>
      </w:r>
      <w:r>
        <w:rPr>
          <w:rFonts w:cs="Times New Roman"/>
        </w:rPr>
        <w:t>FED. R. CIV. P.</w:t>
      </w:r>
      <w:r w:rsidRPr="00225CA9">
        <w:rPr>
          <w:rFonts w:cs="Times New Roman"/>
        </w:rPr>
        <w:t xml:space="preserve"> 11(b) and (c)</w:t>
      </w:r>
      <w:r>
        <w:rPr>
          <w:rFonts w:cs="Times New Roman"/>
        </w:rPr>
        <w:t xml:space="preserve">, </w:t>
      </w:r>
      <w:r w:rsidRPr="00225CA9">
        <w:rPr>
          <w:rFonts w:cs="Times New Roman"/>
        </w:rPr>
        <w:t xml:space="preserve">Committee Note </w:t>
      </w:r>
      <w:r>
        <w:rPr>
          <w:rFonts w:cs="Times New Roman"/>
        </w:rPr>
        <w:t>(</w:t>
      </w:r>
      <w:r w:rsidRPr="00225CA9">
        <w:rPr>
          <w:rFonts w:cs="Times New Roman"/>
        </w:rPr>
        <w:t>1993)</w:t>
      </w:r>
      <w:r>
        <w:rPr>
          <w:rFonts w:cs="Times New Roman"/>
        </w:rPr>
        <w:t xml:space="preserve"> (“Since show cause orders will ordinarily be issued only in situations that are akin to a contempt of court, the rule does not provide a ‘safe harbor’ to a litigant for withdrawing a claim, defense,</w:t>
      </w:r>
      <w:r w:rsidRPr="00CA548F">
        <w:rPr>
          <w:rFonts w:cs="Times New Roman"/>
          <w:i/>
          <w:iCs/>
        </w:rPr>
        <w:t xml:space="preserve"> etc</w:t>
      </w:r>
      <w:r>
        <w:rPr>
          <w:rFonts w:cs="Times New Roman"/>
        </w:rPr>
        <w:t xml:space="preserve">., after a show cause order has been issued on the court’s initiative.”); Several circuits have held that a </w:t>
      </w:r>
      <w:proofErr w:type="spellStart"/>
      <w:r w:rsidRPr="00B13A21">
        <w:rPr>
          <w:rFonts w:cs="Times New Roman"/>
          <w:i/>
          <w:iCs/>
        </w:rPr>
        <w:t>sua</w:t>
      </w:r>
      <w:proofErr w:type="spellEnd"/>
      <w:r w:rsidRPr="00B13A21">
        <w:rPr>
          <w:rFonts w:cs="Times New Roman"/>
          <w:i/>
          <w:iCs/>
        </w:rPr>
        <w:t xml:space="preserve"> sponte</w:t>
      </w:r>
      <w:r>
        <w:rPr>
          <w:rFonts w:cs="Times New Roman"/>
        </w:rPr>
        <w:t xml:space="preserve"> sanction under Rule 11 is akin to a contempt of court and requires a showing of subjective bad faith. </w:t>
      </w:r>
      <w:r w:rsidRPr="00B13A21">
        <w:rPr>
          <w:rFonts w:cs="Times New Roman"/>
          <w:i/>
          <w:iCs/>
        </w:rPr>
        <w:t>In re Pennie &amp; Edmonds LLP</w:t>
      </w:r>
      <w:r>
        <w:rPr>
          <w:rFonts w:cs="Times New Roman"/>
        </w:rPr>
        <w:t xml:space="preserve">, 323 F.3d86, 90 (2d Cir. 2003); </w:t>
      </w:r>
      <w:r w:rsidRPr="00B13A21">
        <w:rPr>
          <w:rFonts w:cs="Times New Roman"/>
          <w:i/>
          <w:iCs/>
        </w:rPr>
        <w:t xml:space="preserve">United </w:t>
      </w:r>
      <w:proofErr w:type="spellStart"/>
      <w:r w:rsidRPr="00B13A21">
        <w:rPr>
          <w:rFonts w:cs="Times New Roman"/>
          <w:i/>
          <w:iCs/>
        </w:rPr>
        <w:t>Nat’l</w:t>
      </w:r>
      <w:proofErr w:type="spellEnd"/>
      <w:r w:rsidRPr="00B13A21">
        <w:rPr>
          <w:rFonts w:cs="Times New Roman"/>
          <w:i/>
          <w:iCs/>
        </w:rPr>
        <w:t xml:space="preserve"> Ins. Co. v. R &amp; D Latex Corp</w:t>
      </w:r>
      <w:r>
        <w:rPr>
          <w:rFonts w:cs="Times New Roman"/>
        </w:rPr>
        <w:t>., 242 F.3d 1102, 1115-1116 (9</w:t>
      </w:r>
      <w:r w:rsidRPr="00B13A21">
        <w:rPr>
          <w:rFonts w:cs="Times New Roman"/>
          <w:vertAlign w:val="superscript"/>
        </w:rPr>
        <w:t>th</w:t>
      </w:r>
      <w:r>
        <w:rPr>
          <w:rFonts w:cs="Times New Roman"/>
        </w:rPr>
        <w:t xml:space="preserve"> Cir. 2001). Other circuits apply the same standard of objective reasonableness that applies to sanctions imposed after a party moves and the 21-day safe harbor has expired. </w:t>
      </w:r>
      <w:r w:rsidRPr="00B13A21">
        <w:rPr>
          <w:rFonts w:cs="Times New Roman"/>
          <w:i/>
          <w:iCs/>
        </w:rPr>
        <w:t xml:space="preserve">Young v. City of </w:t>
      </w:r>
      <w:r>
        <w:rPr>
          <w:rFonts w:cs="Times New Roman"/>
          <w:i/>
          <w:iCs/>
        </w:rPr>
        <w:t>P</w:t>
      </w:r>
      <w:r w:rsidRPr="00B13A21">
        <w:rPr>
          <w:rFonts w:cs="Times New Roman"/>
          <w:i/>
          <w:iCs/>
        </w:rPr>
        <w:t>rovi</w:t>
      </w:r>
      <w:r>
        <w:rPr>
          <w:rFonts w:cs="Times New Roman"/>
          <w:i/>
          <w:iCs/>
        </w:rPr>
        <w:t>d</w:t>
      </w:r>
      <w:r w:rsidRPr="00B13A21">
        <w:rPr>
          <w:rFonts w:cs="Times New Roman"/>
          <w:i/>
          <w:iCs/>
        </w:rPr>
        <w:t>ence</w:t>
      </w:r>
      <w:r>
        <w:rPr>
          <w:rFonts w:cs="Times New Roman"/>
        </w:rPr>
        <w:t>, 404 F.3d 33, 39-40 (1</w:t>
      </w:r>
      <w:r w:rsidRPr="00B13A21">
        <w:rPr>
          <w:rFonts w:cs="Times New Roman"/>
          <w:vertAlign w:val="superscript"/>
        </w:rPr>
        <w:t>st</w:t>
      </w:r>
      <w:r>
        <w:rPr>
          <w:rFonts w:cs="Times New Roman"/>
        </w:rPr>
        <w:t xml:space="preserve"> Cir. 2005); </w:t>
      </w:r>
      <w:r w:rsidRPr="00B13A21">
        <w:rPr>
          <w:rFonts w:cs="Times New Roman"/>
          <w:i/>
          <w:iCs/>
        </w:rPr>
        <w:t>Lucas v. Duncan,</w:t>
      </w:r>
      <w:r>
        <w:rPr>
          <w:rFonts w:cs="Times New Roman"/>
        </w:rPr>
        <w:t xml:space="preserve"> 574 F.3d 772, 775-776 (D.C. Cir. 2009)</w:t>
      </w:r>
      <w:r w:rsidRPr="00225CA9">
        <w:rPr>
          <w:rFonts w:cs="Times New Roman"/>
        </w:rPr>
        <w:t>.</w:t>
      </w:r>
    </w:p>
  </w:footnote>
  <w:footnote w:id="41">
    <w:p w14:paraId="4EDF1EEE" w14:textId="77777777" w:rsidR="00FB0B2F" w:rsidRDefault="00FB0B2F" w:rsidP="00FB0B2F">
      <w:pPr>
        <w:pStyle w:val="FootnoteText"/>
        <w:jc w:val="both"/>
      </w:pPr>
      <w:r>
        <w:rPr>
          <w:rStyle w:val="FootnoteReference"/>
        </w:rPr>
        <w:footnoteRef/>
      </w:r>
      <w:r>
        <w:t xml:space="preserve"> </w:t>
      </w:r>
      <w:r>
        <w:rPr>
          <w:rFonts w:cs="Times New Roman"/>
        </w:rPr>
        <w:t>FED. R. CIV. P.</w:t>
      </w:r>
      <w:r w:rsidRPr="00C24F45">
        <w:rPr>
          <w:rFonts w:cs="Times New Roman"/>
        </w:rPr>
        <w:t xml:space="preserve"> 11(c)(5)(B);</w:t>
      </w:r>
      <w:r>
        <w:t xml:space="preserve"> </w:t>
      </w:r>
      <w:r>
        <w:rPr>
          <w:rFonts w:cs="Times New Roman"/>
        </w:rPr>
        <w:t>FED. R. CIV. P.</w:t>
      </w:r>
      <w:r w:rsidRPr="00225CA9">
        <w:rPr>
          <w:rFonts w:cs="Times New Roman"/>
        </w:rPr>
        <w:t xml:space="preserve"> 11(b) and (c)</w:t>
      </w:r>
      <w:r>
        <w:rPr>
          <w:rFonts w:cs="Times New Roman"/>
        </w:rPr>
        <w:t xml:space="preserve">, </w:t>
      </w:r>
      <w:r w:rsidRPr="00225CA9">
        <w:rPr>
          <w:rFonts w:cs="Times New Roman"/>
        </w:rPr>
        <w:t xml:space="preserve">Committee Note </w:t>
      </w:r>
      <w:r>
        <w:rPr>
          <w:rFonts w:cs="Times New Roman"/>
        </w:rPr>
        <w:t>(</w:t>
      </w:r>
      <w:r w:rsidRPr="00225CA9">
        <w:rPr>
          <w:rFonts w:cs="Times New Roman"/>
        </w:rPr>
        <w:t>1993)</w:t>
      </w:r>
      <w:r>
        <w:rPr>
          <w:rFonts w:cs="Times New Roman"/>
        </w:rPr>
        <w:t xml:space="preserve">; </w:t>
      </w:r>
      <w:r w:rsidRPr="00DA02BC">
        <w:rPr>
          <w:rFonts w:cs="Times New Roman"/>
          <w:i/>
          <w:iCs/>
        </w:rPr>
        <w:t>see</w:t>
      </w:r>
      <w:r>
        <w:rPr>
          <w:rFonts w:cs="Times New Roman"/>
        </w:rPr>
        <w:t xml:space="preserve"> FED. R. CIV. P.</w:t>
      </w:r>
      <w:r w:rsidRPr="00EA5977">
        <w:rPr>
          <w:rFonts w:cs="Times New Roman"/>
        </w:rPr>
        <w:t xml:space="preserve"> 11(b)(3) (</w:t>
      </w:r>
      <w:r>
        <w:rPr>
          <w:rFonts w:cs="Times New Roman"/>
        </w:rPr>
        <w:t xml:space="preserve">A lawyer filing a pleading based on information and belief must specifically identify that the factual contentions “will likely have evidentiary support after a reasonable opportunity for further investigation or discovery.”); </w:t>
      </w:r>
      <w:r w:rsidRPr="00AA3B32">
        <w:rPr>
          <w:rFonts w:cs="Times New Roman"/>
          <w:i/>
          <w:iCs/>
        </w:rPr>
        <w:t>see</w:t>
      </w:r>
      <w:r>
        <w:rPr>
          <w:rFonts w:cs="Times New Roman"/>
        </w:rPr>
        <w:t xml:space="preserve"> FED. R. CIV. P. 26(g), Committee Note (1983) (The duty to make a ‘reasonable inquiry’ is satisfied if the investigation undertaken by the attorney and the conclusions drawn therefrom are reasonable under the circumstances.... In making the inquiry, the attorney may rely on assertions by the client and on communications with other counsel in the case </w:t>
      </w:r>
      <w:proofErr w:type="gramStart"/>
      <w:r>
        <w:rPr>
          <w:rFonts w:cs="Times New Roman"/>
        </w:rPr>
        <w:t>as long as</w:t>
      </w:r>
      <w:proofErr w:type="gramEnd"/>
      <w:r>
        <w:rPr>
          <w:rFonts w:cs="Times New Roman"/>
        </w:rPr>
        <w:t xml:space="preserve"> that reliance is appropriate under the circumstances.”)</w:t>
      </w:r>
    </w:p>
  </w:footnote>
  <w:footnote w:id="42">
    <w:p w14:paraId="60B25F82" w14:textId="77777777" w:rsidR="00FB0B2F" w:rsidRPr="00225CA9" w:rsidRDefault="00FB0B2F" w:rsidP="00FB0B2F">
      <w:pPr>
        <w:pStyle w:val="FootnoteText"/>
        <w:jc w:val="both"/>
        <w:rPr>
          <w:rFonts w:cs="Times New Roman"/>
        </w:rPr>
      </w:pPr>
      <w:r w:rsidRPr="00225CA9">
        <w:rPr>
          <w:rStyle w:val="FootnoteReference"/>
          <w:rFonts w:cs="Times New Roman"/>
        </w:rPr>
        <w:footnoteRef/>
      </w:r>
      <w:r w:rsidRPr="00225CA9">
        <w:rPr>
          <w:rFonts w:cs="Times New Roman"/>
        </w:rPr>
        <w:t xml:space="preserve"> </w:t>
      </w:r>
      <w:r>
        <w:rPr>
          <w:rFonts w:cs="Times New Roman"/>
        </w:rPr>
        <w:t>FED. R. CIV. P.</w:t>
      </w:r>
      <w:r w:rsidRPr="00225CA9">
        <w:rPr>
          <w:rFonts w:cs="Times New Roman"/>
        </w:rPr>
        <w:t xml:space="preserve"> 11(b) and (c)</w:t>
      </w:r>
      <w:r>
        <w:rPr>
          <w:rFonts w:cs="Times New Roman"/>
        </w:rPr>
        <w:t xml:space="preserve">, </w:t>
      </w:r>
      <w:r w:rsidRPr="00225CA9">
        <w:rPr>
          <w:rFonts w:cs="Times New Roman"/>
        </w:rPr>
        <w:t xml:space="preserve">Committee Note </w:t>
      </w:r>
      <w:r>
        <w:rPr>
          <w:rFonts w:cs="Times New Roman"/>
        </w:rPr>
        <w:t>(</w:t>
      </w:r>
      <w:r w:rsidRPr="00225CA9">
        <w:rPr>
          <w:rFonts w:cs="Times New Roman"/>
        </w:rPr>
        <w:t>1993)</w:t>
      </w:r>
      <w:r>
        <w:rPr>
          <w:rFonts w:cs="Times New Roman"/>
        </w:rPr>
        <w:t xml:space="preserve">; </w:t>
      </w:r>
      <w:r w:rsidRPr="00816574">
        <w:rPr>
          <w:rFonts w:cs="Times New Roman"/>
          <w:i/>
          <w:iCs/>
        </w:rPr>
        <w:t>see</w:t>
      </w:r>
      <w:r>
        <w:rPr>
          <w:rFonts w:cs="Times New Roman"/>
        </w:rPr>
        <w:t xml:space="preserve"> FED. R. CIV. P. 11(c)(4); see also FED. R. CIV. P. 11(b) and (c), Committee Note (1993 (“This restriction (involving frivolous contentions of law) does not limit the court’s power to impose sanctions or remedial orders that may have collateral financial consequences upon a party, such as dismissal of a claim, preclusion of a defense, or reparation of amended pleadings.”)</w:t>
      </w:r>
    </w:p>
  </w:footnote>
  <w:footnote w:id="43">
    <w:p w14:paraId="3606F045" w14:textId="77777777" w:rsidR="00FB0B2F" w:rsidRPr="008959E8" w:rsidRDefault="00FB0B2F" w:rsidP="00FB0B2F">
      <w:pPr>
        <w:jc w:val="both"/>
        <w:rPr>
          <w:rFonts w:cs="Times New Roman"/>
        </w:rPr>
      </w:pPr>
      <w:r w:rsidRPr="008959E8">
        <w:rPr>
          <w:rStyle w:val="FootnoteReference"/>
          <w:rFonts w:cs="Times New Roman"/>
        </w:rPr>
        <w:footnoteRef/>
      </w:r>
      <w:r w:rsidRPr="008959E8">
        <w:rPr>
          <w:rFonts w:cs="Times New Roman"/>
        </w:rPr>
        <w:t xml:space="preserve"> </w:t>
      </w:r>
      <w:r w:rsidRPr="00034852">
        <w:rPr>
          <w:rFonts w:cs="Times New Roman"/>
          <w:i/>
          <w:iCs/>
          <w:sz w:val="20"/>
          <w:szCs w:val="20"/>
        </w:rPr>
        <w:t xml:space="preserve">See </w:t>
      </w:r>
      <w:r>
        <w:rPr>
          <w:rFonts w:cs="Times New Roman"/>
          <w:sz w:val="20"/>
          <w:szCs w:val="20"/>
        </w:rPr>
        <w:t>FED. R. CIV. P.</w:t>
      </w:r>
      <w:r w:rsidRPr="00034852">
        <w:rPr>
          <w:rFonts w:cs="Times New Roman"/>
          <w:sz w:val="20"/>
          <w:szCs w:val="20"/>
        </w:rPr>
        <w:t xml:space="preserve"> 26(g), Committee Note (1983) (“Sanctions to deter discovery abuse would be more effective if they were diligently applied ‘not merely to penalize those whose conduct may be deemed to warrant such a sanction, but to deter those who might be tempted to such conduct in the absence of such a deterrent’....Thus the premise of Rule 26(g) is that imposing sanctions on attorneys who fail to meet the rule’s standards will significantly reduce abuse by imposing disadvantages therefor.”)</w:t>
      </w:r>
      <w:r>
        <w:rPr>
          <w:rFonts w:cs="Times New Roman"/>
          <w:sz w:val="20"/>
          <w:szCs w:val="20"/>
        </w:rPr>
        <w:t xml:space="preserve">; </w:t>
      </w:r>
      <w:r w:rsidRPr="00034852">
        <w:rPr>
          <w:rFonts w:cs="Times New Roman"/>
          <w:i/>
          <w:iCs/>
          <w:sz w:val="20"/>
          <w:szCs w:val="20"/>
        </w:rPr>
        <w:t>see also</w:t>
      </w:r>
      <w:r w:rsidRPr="00034852">
        <w:rPr>
          <w:rFonts w:cs="Times New Roman"/>
          <w:sz w:val="20"/>
          <w:szCs w:val="20"/>
        </w:rPr>
        <w:t xml:space="preserve"> </w:t>
      </w:r>
      <w:proofErr w:type="spellStart"/>
      <w:r w:rsidRPr="00034852">
        <w:rPr>
          <w:rFonts w:cs="Times New Roman"/>
          <w:i/>
          <w:iCs/>
          <w:sz w:val="20"/>
          <w:szCs w:val="20"/>
        </w:rPr>
        <w:t>Franatovich</w:t>
      </w:r>
      <w:proofErr w:type="spellEnd"/>
      <w:r w:rsidRPr="00034852">
        <w:rPr>
          <w:rFonts w:cs="Times New Roman"/>
          <w:i/>
          <w:iCs/>
          <w:sz w:val="20"/>
          <w:szCs w:val="20"/>
        </w:rPr>
        <w:t xml:space="preserve"> v. Allied Trust Ins. Co.,</w:t>
      </w:r>
      <w:r w:rsidRPr="00034852">
        <w:rPr>
          <w:rFonts w:eastAsia="Times New Roman" w:cs="Times New Roman"/>
          <w:i/>
          <w:iCs/>
          <w:sz w:val="20"/>
          <w:szCs w:val="20"/>
        </w:rPr>
        <w:t xml:space="preserve"> Civ. Action No. 22-2552, Eastern District of Louisiana</w:t>
      </w:r>
      <w:r w:rsidRPr="00034852">
        <w:rPr>
          <w:rFonts w:eastAsia="Times New Roman" w:cs="Times New Roman"/>
          <w:sz w:val="20"/>
          <w:szCs w:val="20"/>
        </w:rPr>
        <w:t xml:space="preserve"> (Mar. 16, 2023) (</w:t>
      </w:r>
      <w:r w:rsidRPr="00034852">
        <w:rPr>
          <w:rFonts w:cs="Times New Roman"/>
          <w:color w:val="4A4A4A"/>
          <w:sz w:val="20"/>
          <w:szCs w:val="20"/>
          <w:shd w:val="clear" w:color="auto" w:fill="FFFFFF"/>
        </w:rPr>
        <w:t xml:space="preserve">court imposes Rule 11 sanction summarily on law firm for filing frivolous actions, among other misconduct); </w:t>
      </w:r>
      <w:r w:rsidRPr="00034852">
        <w:rPr>
          <w:rFonts w:cs="Times New Roman"/>
          <w:i/>
          <w:iCs/>
          <w:color w:val="4A4A4A"/>
          <w:sz w:val="20"/>
          <w:szCs w:val="20"/>
          <w:shd w:val="clear" w:color="auto" w:fill="FFFFFF"/>
        </w:rPr>
        <w:t>see</w:t>
      </w:r>
      <w:r w:rsidRPr="00034852">
        <w:rPr>
          <w:rFonts w:cs="Times New Roman"/>
          <w:color w:val="4A4A4A"/>
          <w:sz w:val="20"/>
          <w:szCs w:val="20"/>
          <w:shd w:val="clear" w:color="auto" w:fill="FFFFFF"/>
        </w:rPr>
        <w:t xml:space="preserve"> </w:t>
      </w:r>
      <w:r w:rsidRPr="00034852">
        <w:rPr>
          <w:rFonts w:cs="Times New Roman"/>
          <w:i/>
          <w:iCs/>
          <w:sz w:val="20"/>
          <w:szCs w:val="20"/>
        </w:rPr>
        <w:t>also</w:t>
      </w:r>
      <w:r w:rsidRPr="00034852">
        <w:rPr>
          <w:rFonts w:cs="Times New Roman"/>
          <w:sz w:val="20"/>
          <w:szCs w:val="20"/>
        </w:rPr>
        <w:t xml:space="preserve"> Attachment B to Letter to Hon. Robert E. Keeton, Chairman, from Advisory Committee on Civil Rules (May 1, 1992) ([A]</w:t>
      </w:r>
      <w:proofErr w:type="spellStart"/>
      <w:r w:rsidRPr="00034852">
        <w:rPr>
          <w:rFonts w:cs="Times New Roman"/>
          <w:sz w:val="20"/>
          <w:szCs w:val="20"/>
        </w:rPr>
        <w:t>cknowledging</w:t>
      </w:r>
      <w:proofErr w:type="spellEnd"/>
      <w:r w:rsidRPr="00034852">
        <w:rPr>
          <w:rFonts w:cs="Times New Roman"/>
          <w:sz w:val="20"/>
          <w:szCs w:val="20"/>
        </w:rPr>
        <w:t xml:space="preserve"> that eliminating the mandatory sanction under Rule 11 would tempt some litigants “to conduct less of a pre-filing investigation tha</w:t>
      </w:r>
      <w:r w:rsidRPr="0046525A">
        <w:rPr>
          <w:rFonts w:cs="Times New Roman"/>
          <w:sz w:val="20"/>
          <w:szCs w:val="20"/>
        </w:rPr>
        <w:t>n under the current rule.  The Advisory Committee believes that this risk is justified, on balance, by the benefit from the changes.</w:t>
      </w:r>
      <w:r>
        <w:rPr>
          <w:rFonts w:cs="Times New Roman"/>
          <w:sz w:val="20"/>
          <w:szCs w:val="20"/>
        </w:rPr>
        <w:t>”</w:t>
      </w:r>
      <w:r w:rsidRPr="0046525A">
        <w:rPr>
          <w:rFonts w:cs="Times New Roman"/>
          <w:sz w:val="20"/>
          <w:szCs w:val="20"/>
        </w:rPr>
        <w:t>)</w:t>
      </w:r>
    </w:p>
  </w:footnote>
  <w:footnote w:id="44">
    <w:p w14:paraId="433C4C13" w14:textId="77777777" w:rsidR="00FB0B2F" w:rsidRDefault="00FB0B2F" w:rsidP="00FB0B2F">
      <w:pPr>
        <w:pStyle w:val="FootnoteText"/>
        <w:jc w:val="both"/>
      </w:pPr>
      <w:r>
        <w:rPr>
          <w:rStyle w:val="FootnoteReference"/>
        </w:rPr>
        <w:footnoteRef/>
      </w:r>
      <w:r>
        <w:t xml:space="preserve"> </w:t>
      </w:r>
      <w:r w:rsidRPr="006831B5">
        <w:rPr>
          <w:rFonts w:cs="Times New Roman"/>
        </w:rPr>
        <w:t xml:space="preserve">Examples </w:t>
      </w:r>
      <w:r>
        <w:rPr>
          <w:rFonts w:cs="Times New Roman"/>
        </w:rPr>
        <w:t>of bad faith in instituting or conducting litigation may include: (</w:t>
      </w:r>
      <w:proofErr w:type="spellStart"/>
      <w:r>
        <w:rPr>
          <w:rFonts w:cs="Times New Roman"/>
        </w:rPr>
        <w:t>i</w:t>
      </w:r>
      <w:proofErr w:type="spellEnd"/>
      <w:r>
        <w:rPr>
          <w:rFonts w:cs="Times New Roman"/>
        </w:rPr>
        <w:t xml:space="preserve">) plaintiff states that they have no information concerning their exposure to the product; (ii) plaintiff has no medical evidence supporting diagnosis of disease; (iii) plaintiff claims to have used product in a form in which it never existed; and (iv) filing claims on behalf of already deceased plaintiffs.   </w:t>
      </w:r>
      <w:r w:rsidRPr="006831B5">
        <w:rPr>
          <w:rFonts w:cs="Times New Roman"/>
          <w:i/>
          <w:iCs/>
        </w:rPr>
        <w:t xml:space="preserve">See Paraquat Prod. </w:t>
      </w:r>
      <w:proofErr w:type="spellStart"/>
      <w:r w:rsidRPr="006831B5">
        <w:rPr>
          <w:rFonts w:cs="Times New Roman"/>
          <w:i/>
          <w:iCs/>
        </w:rPr>
        <w:t>Liab</w:t>
      </w:r>
      <w:proofErr w:type="spellEnd"/>
      <w:r w:rsidRPr="006831B5">
        <w:rPr>
          <w:rFonts w:cs="Times New Roman"/>
          <w:i/>
          <w:iCs/>
        </w:rPr>
        <w:t>. Litig</w:t>
      </w:r>
      <w:r>
        <w:rPr>
          <w:rFonts w:cs="Times New Roman"/>
        </w:rPr>
        <w:t xml:space="preserve">., MDL No. 3004, Case Management Order No. 18, fn. 4 (May 15, 2023). </w:t>
      </w:r>
    </w:p>
  </w:footnote>
  <w:footnote w:id="45">
    <w:p w14:paraId="7B3F59E7" w14:textId="77777777" w:rsidR="00FB0B2F" w:rsidRPr="006745C3" w:rsidRDefault="00FB0B2F" w:rsidP="00FB0B2F">
      <w:pPr>
        <w:pStyle w:val="FootnoteText"/>
        <w:rPr>
          <w:rFonts w:cs="Times New Roman"/>
        </w:rPr>
      </w:pPr>
      <w:r>
        <w:rPr>
          <w:rStyle w:val="FootnoteReference"/>
        </w:rPr>
        <w:footnoteRef/>
      </w:r>
      <w:r>
        <w:t xml:space="preserve"> </w:t>
      </w:r>
      <w:r w:rsidRPr="006745C3">
        <w:rPr>
          <w:rFonts w:cs="Times New Roman"/>
          <w:i/>
          <w:iCs/>
        </w:rPr>
        <w:t>See</w:t>
      </w:r>
      <w:r>
        <w:rPr>
          <w:rFonts w:cs="Times New Roman"/>
        </w:rPr>
        <w:t xml:space="preserve"> Minutes, Civil Rules Committee meeting, page 10 (May 1991) (“Judge </w:t>
      </w:r>
      <w:proofErr w:type="spellStart"/>
      <w:r>
        <w:rPr>
          <w:rFonts w:cs="Times New Roman"/>
        </w:rPr>
        <w:t>Bertlesman</w:t>
      </w:r>
      <w:proofErr w:type="spellEnd"/>
      <w:r>
        <w:rPr>
          <w:rFonts w:cs="Times New Roman"/>
        </w:rPr>
        <w:t xml:space="preserve"> (member) reported that he often used warnings (Rule 11 sanctions) to get parties to find necessary proof or withdraw.”)</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B2F"/>
    <w:rsid w:val="002F3D01"/>
    <w:rsid w:val="006B3368"/>
    <w:rsid w:val="007213F0"/>
    <w:rsid w:val="00C624D6"/>
    <w:rsid w:val="00C654FF"/>
    <w:rsid w:val="00C95781"/>
    <w:rsid w:val="00C971A6"/>
    <w:rsid w:val="00F709A6"/>
    <w:rsid w:val="00FB0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6B4C0"/>
  <w15:chartTrackingRefBased/>
  <w15:docId w15:val="{C8F0B82B-59D6-4071-A1C8-AE16FE48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0B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B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0B2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0B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0B2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0B2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0B2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B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B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0B2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B2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B0B2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B0B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0B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0B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0B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0B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B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B2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B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B0B2F"/>
    <w:pPr>
      <w:spacing w:before="160"/>
      <w:jc w:val="center"/>
    </w:pPr>
    <w:rPr>
      <w:i/>
      <w:iCs/>
      <w:color w:val="404040" w:themeColor="text1" w:themeTint="BF"/>
    </w:rPr>
  </w:style>
  <w:style w:type="character" w:customStyle="1" w:styleId="QuoteChar">
    <w:name w:val="Quote Char"/>
    <w:basedOn w:val="DefaultParagraphFont"/>
    <w:link w:val="Quote"/>
    <w:uiPriority w:val="29"/>
    <w:rsid w:val="00FB0B2F"/>
    <w:rPr>
      <w:i/>
      <w:iCs/>
      <w:color w:val="404040" w:themeColor="text1" w:themeTint="BF"/>
    </w:rPr>
  </w:style>
  <w:style w:type="paragraph" w:styleId="ListParagraph">
    <w:name w:val="List Paragraph"/>
    <w:basedOn w:val="Normal"/>
    <w:uiPriority w:val="34"/>
    <w:qFormat/>
    <w:rsid w:val="00FB0B2F"/>
    <w:pPr>
      <w:ind w:left="720"/>
      <w:contextualSpacing/>
    </w:pPr>
  </w:style>
  <w:style w:type="character" w:styleId="IntenseEmphasis">
    <w:name w:val="Intense Emphasis"/>
    <w:basedOn w:val="DefaultParagraphFont"/>
    <w:uiPriority w:val="21"/>
    <w:qFormat/>
    <w:rsid w:val="00FB0B2F"/>
    <w:rPr>
      <w:i/>
      <w:iCs/>
      <w:color w:val="0F4761" w:themeColor="accent1" w:themeShade="BF"/>
    </w:rPr>
  </w:style>
  <w:style w:type="paragraph" w:styleId="IntenseQuote">
    <w:name w:val="Intense Quote"/>
    <w:basedOn w:val="Normal"/>
    <w:next w:val="Normal"/>
    <w:link w:val="IntenseQuoteChar"/>
    <w:uiPriority w:val="30"/>
    <w:qFormat/>
    <w:rsid w:val="00FB0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B2F"/>
    <w:rPr>
      <w:i/>
      <w:iCs/>
      <w:color w:val="0F4761" w:themeColor="accent1" w:themeShade="BF"/>
    </w:rPr>
  </w:style>
  <w:style w:type="character" w:styleId="IntenseReference">
    <w:name w:val="Intense Reference"/>
    <w:basedOn w:val="DefaultParagraphFont"/>
    <w:uiPriority w:val="32"/>
    <w:qFormat/>
    <w:rsid w:val="00FB0B2F"/>
    <w:rPr>
      <w:b/>
      <w:bCs/>
      <w:smallCaps/>
      <w:color w:val="0F4761" w:themeColor="accent1" w:themeShade="BF"/>
      <w:spacing w:val="5"/>
    </w:rPr>
  </w:style>
  <w:style w:type="paragraph" w:styleId="NoSpacing">
    <w:name w:val="No Spacing"/>
    <w:uiPriority w:val="1"/>
    <w:qFormat/>
    <w:rsid w:val="00FB0B2F"/>
    <w:pPr>
      <w:spacing w:after="0" w:line="240" w:lineRule="auto"/>
    </w:pPr>
  </w:style>
  <w:style w:type="paragraph" w:styleId="FootnoteText">
    <w:name w:val="footnote text"/>
    <w:aliases w:val="fn Text"/>
    <w:basedOn w:val="Normal"/>
    <w:link w:val="FootnoteTextChar"/>
    <w:uiPriority w:val="99"/>
    <w:unhideWhenUsed/>
    <w:qFormat/>
    <w:rsid w:val="00FB0B2F"/>
    <w:pPr>
      <w:spacing w:after="0" w:line="240" w:lineRule="auto"/>
    </w:pPr>
    <w:rPr>
      <w:color w:val="000000" w:themeColor="text1"/>
      <w:kern w:val="0"/>
      <w:sz w:val="20"/>
      <w:szCs w:val="20"/>
      <w14:ligatures w14:val="none"/>
    </w:rPr>
  </w:style>
  <w:style w:type="character" w:customStyle="1" w:styleId="FootnoteTextChar">
    <w:name w:val="Footnote Text Char"/>
    <w:aliases w:val="fn Text Char"/>
    <w:basedOn w:val="DefaultParagraphFont"/>
    <w:link w:val="FootnoteText"/>
    <w:uiPriority w:val="99"/>
    <w:rsid w:val="00FB0B2F"/>
    <w:rPr>
      <w:color w:val="000000" w:themeColor="text1"/>
      <w:kern w:val="0"/>
      <w:sz w:val="20"/>
      <w:szCs w:val="20"/>
      <w14:ligatures w14:val="none"/>
    </w:rPr>
  </w:style>
  <w:style w:type="character" w:styleId="FootnoteReference">
    <w:name w:val="footnote reference"/>
    <w:aliases w:val="fn Reference"/>
    <w:basedOn w:val="DefaultParagraphFont"/>
    <w:uiPriority w:val="99"/>
    <w:unhideWhenUsed/>
    <w:qFormat/>
    <w:rsid w:val="00FB0B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4953</Words>
  <Characters>28234</Characters>
  <Application>Microsoft Office Word</Application>
  <DocSecurity>0</DocSecurity>
  <Lines>235</Lines>
  <Paragraphs>66</Paragraphs>
  <ScaleCrop>false</ScaleCrop>
  <Company/>
  <LinksUpToDate>false</LinksUpToDate>
  <CharactersWithSpaces>33121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Rabiej</dc:creator>
  <cp:keywords/>
  <dc:description/>
  <cp:lastModifiedBy>John Rabiej</cp:lastModifiedBy>
  <cp:revision>1</cp:revision>
  <dcterms:created xsi:type="dcterms:W3CDTF">2026-09-07T22:47:00Z</dcterms:created>
  <dcterms:modified xsi:type="dcterms:W3CDTF">2026-09-07T22:58:00Z</dcterms:modified>
</cp:coreProperties>
</file>